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1E8D76">
      <w:pPr>
        <w:pStyle w:val="146"/>
        <w:spacing w:after="0" w:line="560" w:lineRule="exact"/>
        <w:rPr>
          <w:rFonts w:eastAsia="楷体_GB2312"/>
          <w:i/>
          <w:color w:val="FF0000"/>
          <w:lang w:val="en-US" w:eastAsia="zh-CN"/>
        </w:rPr>
      </w:pPr>
      <w:bookmarkStart w:id="0" w:name="_Hlk219879752"/>
      <w:bookmarkStart w:id="1" w:name="OLE_LINK3"/>
      <w:bookmarkStart w:id="897" w:name="_GoBack"/>
      <w:bookmarkEnd w:id="897"/>
      <w:r>
        <w:rPr>
          <w:rFonts w:eastAsia="楷体_GB2312"/>
          <w:i/>
          <w:color w:val="FF0000"/>
          <w:lang w:eastAsia="zh-CN"/>
        </w:rPr>
        <w:t>【注：本合同版本根据人民银行、金融监管总局资产证券化相关规定以及交易商协会相关自律规则起草，作为个人汽车贷款资产支持证券的标准范本供市场机构参考</w:t>
      </w:r>
      <w:r>
        <w:rPr>
          <w:rStyle w:val="38"/>
          <w:rFonts w:eastAsia="楷体_GB2312"/>
          <w:i/>
          <w:color w:val="FF0000"/>
          <w:lang w:eastAsia="zh-CN"/>
        </w:rPr>
        <w:footnoteReference w:id="0"/>
      </w:r>
      <w:r>
        <w:rPr>
          <w:rFonts w:eastAsia="楷体_GB2312"/>
          <w:i/>
          <w:color w:val="FF0000"/>
          <w:lang w:eastAsia="zh-CN"/>
        </w:rPr>
        <w:t>。开展个人汽车贷款资产支持证券的贷款</w:t>
      </w:r>
      <w:r>
        <w:rPr>
          <w:rFonts w:eastAsia="楷体_GB2312"/>
          <w:i/>
          <w:color w:val="FF0000"/>
          <w:lang w:val="en-US" w:eastAsia="zh-CN"/>
        </w:rPr>
        <w:t>资产</w:t>
      </w:r>
      <w:r>
        <w:rPr>
          <w:rFonts w:eastAsia="楷体_GB2312"/>
          <w:i/>
          <w:color w:val="FF0000"/>
          <w:lang w:eastAsia="zh-CN"/>
        </w:rPr>
        <w:t>应符合相关监管要求及交易商协会相关自律规则。】</w:t>
      </w:r>
      <w:bookmarkEnd w:id="0"/>
    </w:p>
    <w:p w14:paraId="7225BC29">
      <w:pPr>
        <w:pStyle w:val="146"/>
        <w:spacing w:after="0" w:line="560" w:lineRule="exact"/>
        <w:jc w:val="right"/>
        <w:rPr>
          <w:rFonts w:eastAsia="楷体_GB2312"/>
          <w:lang w:val="en-US" w:eastAsia="zh-CN"/>
        </w:rPr>
      </w:pPr>
      <w:r>
        <w:rPr>
          <w:rFonts w:eastAsia="楷体_GB2312"/>
          <w:lang w:eastAsia="zh-CN"/>
        </w:rPr>
        <w:t>合同编号：</w:t>
      </w:r>
      <w:r>
        <w:rPr>
          <w:rFonts w:eastAsia="楷体_GB2312"/>
          <w:lang w:val="en-US" w:eastAsia="zh-CN"/>
        </w:rPr>
        <w:t>【信托合同编号】</w:t>
      </w:r>
    </w:p>
    <w:p w14:paraId="2CB057FF">
      <w:pPr>
        <w:pStyle w:val="146"/>
        <w:spacing w:after="0" w:line="560" w:lineRule="exact"/>
        <w:jc w:val="right"/>
        <w:rPr>
          <w:rFonts w:eastAsia="楷体_GB2312"/>
          <w:sz w:val="32"/>
          <w:szCs w:val="32"/>
          <w:lang w:val="en-US" w:eastAsia="zh-CN"/>
        </w:rPr>
      </w:pPr>
      <w:r>
        <w:rPr>
          <w:rFonts w:eastAsia="楷体_GB2312"/>
          <w:color w:val="000000"/>
          <w:lang w:eastAsia="zh-CN"/>
        </w:rPr>
        <w:t>信托产品登记编码：【】</w:t>
      </w:r>
    </w:p>
    <w:bookmarkEnd w:id="1"/>
    <w:p w14:paraId="042CA915">
      <w:pPr>
        <w:spacing w:line="560" w:lineRule="exact"/>
        <w:rPr>
          <w:rFonts w:eastAsia="楷体_GB2312"/>
          <w:b/>
          <w:sz w:val="36"/>
          <w:szCs w:val="36"/>
          <w:lang w:eastAsia="zh-CN"/>
        </w:rPr>
      </w:pPr>
    </w:p>
    <w:p w14:paraId="405F3D22">
      <w:pPr>
        <w:spacing w:line="560" w:lineRule="exact"/>
        <w:jc w:val="center"/>
        <w:rPr>
          <w:rFonts w:eastAsia="楷体_GB2312"/>
          <w:b/>
          <w:sz w:val="36"/>
          <w:szCs w:val="36"/>
          <w:lang w:eastAsia="zh-CN"/>
        </w:rPr>
      </w:pPr>
    </w:p>
    <w:p w14:paraId="20B9052A">
      <w:pPr>
        <w:spacing w:line="560" w:lineRule="exact"/>
        <w:jc w:val="center"/>
        <w:rPr>
          <w:rFonts w:eastAsia="楷体_GB2312"/>
          <w:b/>
          <w:color w:val="000000"/>
          <w:sz w:val="36"/>
          <w:szCs w:val="36"/>
        </w:rPr>
      </w:pPr>
      <w:r>
        <w:rPr>
          <w:rFonts w:eastAsia="楷体_GB2312"/>
          <w:b/>
          <w:color w:val="000000"/>
          <w:sz w:val="36"/>
          <w:szCs w:val="36"/>
        </w:rPr>
        <w:t>【发起机构全称】</w:t>
      </w:r>
    </w:p>
    <w:p w14:paraId="7507DE7E">
      <w:pPr>
        <w:tabs>
          <w:tab w:val="left" w:pos="426"/>
          <w:tab w:val="left" w:pos="851"/>
        </w:tabs>
        <w:spacing w:line="560" w:lineRule="exact"/>
        <w:jc w:val="center"/>
        <w:rPr>
          <w:rFonts w:eastAsia="楷体_GB2312"/>
          <w:b/>
          <w:color w:val="000000"/>
        </w:rPr>
      </w:pPr>
      <w:r>
        <w:rPr>
          <w:rFonts w:eastAsia="楷体_GB2312"/>
          <w:b/>
          <w:color w:val="000000"/>
        </w:rPr>
        <w:t>（作为委托人和发起机构）</w:t>
      </w:r>
    </w:p>
    <w:p w14:paraId="49EF777E">
      <w:pPr>
        <w:spacing w:line="560" w:lineRule="exact"/>
        <w:jc w:val="center"/>
        <w:rPr>
          <w:rFonts w:eastAsia="楷体_GB2312"/>
          <w:b/>
          <w:color w:val="000000"/>
          <w:sz w:val="28"/>
          <w:szCs w:val="28"/>
        </w:rPr>
      </w:pPr>
    </w:p>
    <w:p w14:paraId="02C7F006">
      <w:pPr>
        <w:spacing w:line="560" w:lineRule="exact"/>
        <w:jc w:val="center"/>
        <w:rPr>
          <w:rFonts w:eastAsia="楷体_GB2312"/>
          <w:b/>
          <w:color w:val="000000"/>
          <w:sz w:val="36"/>
          <w:szCs w:val="36"/>
        </w:rPr>
      </w:pPr>
      <w:r>
        <w:rPr>
          <w:rFonts w:eastAsia="楷体_GB2312"/>
          <w:b/>
          <w:color w:val="000000"/>
          <w:sz w:val="36"/>
          <w:szCs w:val="36"/>
        </w:rPr>
        <w:t>与</w:t>
      </w:r>
    </w:p>
    <w:p w14:paraId="4B4FC216">
      <w:pPr>
        <w:spacing w:line="560" w:lineRule="exact"/>
        <w:jc w:val="center"/>
        <w:rPr>
          <w:rFonts w:eastAsia="楷体_GB2312"/>
          <w:b/>
          <w:color w:val="000000"/>
          <w:sz w:val="28"/>
          <w:szCs w:val="28"/>
        </w:rPr>
      </w:pPr>
    </w:p>
    <w:p w14:paraId="4DD5B0C4">
      <w:pPr>
        <w:spacing w:line="560" w:lineRule="exact"/>
        <w:jc w:val="center"/>
        <w:rPr>
          <w:rFonts w:eastAsia="楷体_GB2312"/>
          <w:b/>
          <w:color w:val="000000"/>
          <w:sz w:val="36"/>
          <w:szCs w:val="36"/>
        </w:rPr>
      </w:pPr>
      <w:r>
        <w:rPr>
          <w:rFonts w:eastAsia="楷体_GB2312"/>
          <w:b/>
          <w:color w:val="000000"/>
          <w:sz w:val="36"/>
          <w:szCs w:val="36"/>
        </w:rPr>
        <w:t>【受托机构全称】</w:t>
      </w:r>
    </w:p>
    <w:p w14:paraId="19EB39D4">
      <w:pPr>
        <w:spacing w:line="560" w:lineRule="exact"/>
        <w:jc w:val="center"/>
        <w:rPr>
          <w:rFonts w:eastAsia="楷体_GB2312"/>
          <w:b/>
          <w:color w:val="000000"/>
        </w:rPr>
      </w:pPr>
      <w:r>
        <w:rPr>
          <w:rFonts w:eastAsia="楷体_GB2312"/>
          <w:b/>
          <w:color w:val="000000"/>
        </w:rPr>
        <w:t>（作为受托人、受托机构和发行人）</w:t>
      </w:r>
    </w:p>
    <w:p w14:paraId="70163FB2">
      <w:pPr>
        <w:spacing w:line="560" w:lineRule="exact"/>
        <w:jc w:val="center"/>
        <w:rPr>
          <w:rFonts w:eastAsia="楷体_GB2312"/>
          <w:b/>
          <w:color w:val="000000"/>
          <w:szCs w:val="21"/>
        </w:rPr>
      </w:pPr>
    </w:p>
    <w:p w14:paraId="20968D05">
      <w:pPr>
        <w:spacing w:line="560" w:lineRule="exact"/>
        <w:jc w:val="center"/>
        <w:rPr>
          <w:rFonts w:eastAsia="楷体_GB2312"/>
          <w:b/>
          <w:color w:val="000000"/>
          <w:szCs w:val="21"/>
        </w:rPr>
      </w:pPr>
    </w:p>
    <w:p w14:paraId="4AACCE4F">
      <w:pPr>
        <w:spacing w:line="560" w:lineRule="exact"/>
        <w:jc w:val="center"/>
        <w:rPr>
          <w:rFonts w:eastAsia="楷体_GB2312"/>
          <w:b/>
          <w:color w:val="000000"/>
          <w:sz w:val="36"/>
          <w:szCs w:val="36"/>
          <w:lang w:eastAsia="zh-CN"/>
        </w:rPr>
      </w:pPr>
      <w:r>
        <w:rPr>
          <w:rFonts w:eastAsia="楷体_GB2312"/>
          <w:b/>
          <w:color w:val="000000"/>
          <w:sz w:val="36"/>
          <w:szCs w:val="36"/>
        </w:rPr>
        <w:t>【信托名称】</w:t>
      </w:r>
    </w:p>
    <w:p w14:paraId="62739034">
      <w:pPr>
        <w:spacing w:line="560" w:lineRule="exact"/>
        <w:jc w:val="center"/>
        <w:rPr>
          <w:rFonts w:eastAsia="楷体_GB2312"/>
          <w:b/>
          <w:color w:val="000000"/>
          <w:sz w:val="36"/>
          <w:szCs w:val="36"/>
          <w:lang w:eastAsia="zh-CN"/>
        </w:rPr>
      </w:pPr>
      <w:r>
        <w:rPr>
          <w:rFonts w:hint="eastAsia" w:eastAsia="楷体_GB2312"/>
          <w:b/>
          <w:color w:val="000000"/>
          <w:sz w:val="36"/>
          <w:szCs w:val="36"/>
          <w:lang w:eastAsia="zh-CN"/>
        </w:rPr>
        <w:t>之</w:t>
      </w:r>
    </w:p>
    <w:p w14:paraId="066FFD20">
      <w:pPr>
        <w:spacing w:line="560" w:lineRule="exact"/>
        <w:jc w:val="center"/>
        <w:rPr>
          <w:rFonts w:eastAsia="楷体_GB2312"/>
          <w:b/>
          <w:color w:val="000000"/>
          <w:sz w:val="36"/>
          <w:szCs w:val="36"/>
        </w:rPr>
      </w:pPr>
      <w:r>
        <w:rPr>
          <w:rFonts w:eastAsia="楷体_GB2312"/>
          <w:b/>
          <w:color w:val="000000"/>
          <w:sz w:val="36"/>
          <w:szCs w:val="36"/>
        </w:rPr>
        <w:t>信托合同</w:t>
      </w:r>
    </w:p>
    <w:p w14:paraId="114E6D20">
      <w:pPr>
        <w:spacing w:line="560" w:lineRule="exact"/>
        <w:jc w:val="center"/>
        <w:rPr>
          <w:rFonts w:eastAsia="楷体_GB2312"/>
          <w:color w:val="000000"/>
          <w:sz w:val="28"/>
        </w:rPr>
      </w:pPr>
    </w:p>
    <w:p w14:paraId="08BD1675">
      <w:pPr>
        <w:spacing w:line="560" w:lineRule="exact"/>
        <w:jc w:val="center"/>
        <w:rPr>
          <w:rFonts w:eastAsia="楷体_GB2312"/>
          <w:b/>
          <w:color w:val="000000"/>
          <w:sz w:val="28"/>
          <w:szCs w:val="28"/>
        </w:rPr>
      </w:pPr>
      <w:r>
        <w:rPr>
          <w:rFonts w:eastAsia="楷体_GB2312"/>
          <w:b/>
          <w:color w:val="000000"/>
          <w:sz w:val="28"/>
          <w:szCs w:val="28"/>
        </w:rPr>
        <w:t>中国</w:t>
      </w:r>
      <w:r>
        <w:rPr>
          <w:rFonts w:eastAsia="楷体_GB2312"/>
          <w:b/>
          <w:color w:val="000000"/>
          <w:sz w:val="28"/>
          <w:szCs w:val="28"/>
        </w:rPr>
        <w:tab/>
      </w:r>
      <w:r>
        <w:rPr>
          <w:rFonts w:eastAsia="楷体_GB2312"/>
          <w:b/>
          <w:bCs/>
          <w:color w:val="000000"/>
          <w:sz w:val="28"/>
          <w:szCs w:val="28"/>
        </w:rPr>
        <w:t>【  】</w:t>
      </w:r>
    </w:p>
    <w:p w14:paraId="591331F6">
      <w:pPr>
        <w:spacing w:line="560" w:lineRule="exact"/>
        <w:jc w:val="center"/>
        <w:rPr>
          <w:rFonts w:eastAsia="楷体_GB2312"/>
          <w:color w:val="000000"/>
          <w:sz w:val="28"/>
          <w:szCs w:val="28"/>
        </w:rPr>
      </w:pPr>
      <w:r>
        <w:rPr>
          <w:rFonts w:eastAsia="楷体_GB2312"/>
          <w:b/>
          <w:bCs/>
          <w:color w:val="000000"/>
          <w:sz w:val="28"/>
          <w:szCs w:val="28"/>
        </w:rPr>
        <w:t>【  】年【  】</w:t>
      </w:r>
      <w:r>
        <w:rPr>
          <w:rFonts w:eastAsia="楷体_GB2312"/>
          <w:b/>
          <w:color w:val="000000"/>
          <w:sz w:val="28"/>
          <w:szCs w:val="28"/>
        </w:rPr>
        <w:t>月</w:t>
      </w:r>
    </w:p>
    <w:p w14:paraId="507091B1">
      <w:pPr>
        <w:pStyle w:val="147"/>
        <w:spacing w:before="0" w:line="560" w:lineRule="exact"/>
        <w:rPr>
          <w:rFonts w:eastAsia="楷体_GB2312"/>
          <w:sz w:val="28"/>
          <w:szCs w:val="28"/>
        </w:rPr>
        <w:sectPr>
          <w:footerReference r:id="rId6" w:type="first"/>
          <w:footerReference r:id="rId4" w:type="default"/>
          <w:footerReference r:id="rId5" w:type="even"/>
          <w:pgSz w:w="11906" w:h="16838"/>
          <w:pgMar w:top="1440" w:right="1800" w:bottom="1440" w:left="1800" w:header="851" w:footer="992" w:gutter="0"/>
          <w:pgNumType w:start="0"/>
          <w:cols w:space="720" w:num="1"/>
          <w:titlePg/>
          <w:docGrid w:type="lines" w:linePitch="312" w:charSpace="0"/>
        </w:sectPr>
      </w:pPr>
    </w:p>
    <w:p w14:paraId="09921FA7">
      <w:pPr>
        <w:spacing w:line="360" w:lineRule="auto"/>
        <w:jc w:val="center"/>
        <w:rPr>
          <w:rFonts w:eastAsia="楷体_GB2312"/>
          <w:lang w:eastAsia="zh-CN"/>
        </w:rPr>
      </w:pPr>
    </w:p>
    <w:p w14:paraId="45D4EFCE">
      <w:pPr>
        <w:spacing w:line="360" w:lineRule="auto"/>
        <w:jc w:val="center"/>
        <w:rPr>
          <w:rFonts w:eastAsia="楷体_GB2312"/>
          <w:b/>
          <w:lang w:eastAsia="zh-CN"/>
        </w:rPr>
      </w:pPr>
      <w:r>
        <w:rPr>
          <w:rFonts w:eastAsia="楷体_GB2312"/>
          <w:b/>
          <w:lang w:val="zh-CN" w:eastAsia="zh-CN"/>
        </w:rPr>
        <w:t>目</w:t>
      </w:r>
      <w:r>
        <w:rPr>
          <w:rFonts w:eastAsia="楷体_GB2312"/>
          <w:b/>
          <w:lang w:val="zh-CN" w:eastAsia="zh-CN"/>
        </w:rPr>
        <w:tab/>
      </w:r>
      <w:r>
        <w:rPr>
          <w:rFonts w:eastAsia="楷体_GB2312"/>
          <w:b/>
          <w:lang w:val="zh-CN" w:eastAsia="zh-CN"/>
        </w:rPr>
        <w:t>录</w:t>
      </w:r>
    </w:p>
    <w:p w14:paraId="302D3D22">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Fonts w:ascii="Times New Roman" w:hAnsi="Times New Roman" w:eastAsia="楷体_GB2312" w:cs="Times New Roman"/>
          <w:b w:val="0"/>
          <w:bCs w:val="0"/>
          <w:caps w:val="0"/>
          <w:sz w:val="24"/>
          <w:szCs w:val="24"/>
        </w:rPr>
        <w:fldChar w:fldCharType="begin"/>
      </w:r>
      <w:r>
        <w:rPr>
          <w:rFonts w:ascii="Times New Roman" w:hAnsi="Times New Roman" w:eastAsia="楷体_GB2312" w:cs="Times New Roman"/>
          <w:b w:val="0"/>
          <w:bCs w:val="0"/>
          <w:caps w:val="0"/>
          <w:sz w:val="24"/>
          <w:szCs w:val="24"/>
        </w:rPr>
        <w:instrText xml:space="preserve"> TOC \o "1-1" \h \z \u </w:instrText>
      </w:r>
      <w:r>
        <w:rPr>
          <w:rFonts w:ascii="Times New Roman" w:hAnsi="Times New Roman" w:eastAsia="楷体_GB2312" w:cs="Times New Roman"/>
          <w:b w:val="0"/>
          <w:bCs w:val="0"/>
          <w:caps w:val="0"/>
          <w:sz w:val="24"/>
          <w:szCs w:val="24"/>
        </w:rPr>
        <w:fldChar w:fldCharType="separate"/>
      </w: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"_Toc227955275"</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1</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定义</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_Toc227955275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3</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528F1BD8">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"_Toc227955276"</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2</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信托目的</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_Toc227955276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3</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572C1F5C">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"_Toc227955277"</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3</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信托的设立</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_Toc227955277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3</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52BBE9DB">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"_Toc227955278"</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4</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不合格资产的赎回</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_Toc227955278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10</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0E0763CF">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"_Toc227955279"</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lang w:eastAsia="zh-CN"/>
        </w:rPr>
        <w:t>5</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清仓回购</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_Toc227955279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12</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4C8CA93B">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"_Toc227955280"</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lang w:eastAsia="zh-CN"/>
        </w:rPr>
        <w:t>6</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lang w:eastAsia="zh-CN"/>
        </w:rPr>
        <w:t>权利完善通知</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_Toc227955280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15</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4B451CA4">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"_Toc227955281"</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lang w:eastAsia="zh-CN"/>
        </w:rPr>
        <w:t>7</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lang w:eastAsia="zh-CN"/>
        </w:rPr>
        <w:t>信托受益权和资产支持证券</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_Toc227955281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19</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3568A21C">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"_Toc227955282"</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8</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信托</w:t>
      </w:r>
      <w:r>
        <w:rPr>
          <w:rStyle w:val="36"/>
          <w:rFonts w:ascii="Times New Roman" w:hAnsi="Times New Roman" w:eastAsia="楷体_GB2312" w:cs="Times New Roman"/>
          <w:sz w:val="24"/>
          <w:szCs w:val="24"/>
          <w:lang w:eastAsia="zh-CN"/>
        </w:rPr>
        <w:t>账户</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_Toc227955282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27</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0A1FE08B">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"_Toc227955283"</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lang w:eastAsia="zh-CN"/>
        </w:rPr>
        <w:t>9</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lang w:eastAsia="zh-CN"/>
        </w:rPr>
        <w:t>回收款的转付、核算与分配</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_Toc227955283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29</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03F5FC35">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"_Toc227955284"</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10</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信托的终止与清算</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_Toc227955284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46</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0ED92A37">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"_Toc227955285"</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lang w:eastAsia="zh-CN"/>
        </w:rPr>
        <w:t>11</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lang w:eastAsia="zh-CN"/>
        </w:rPr>
        <w:t>委托人的权利、义务及陈述与保证</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_Toc227955285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47</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3C3532DB">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"_Toc227955286"</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lang w:eastAsia="zh-CN"/>
        </w:rPr>
        <w:t>12</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lang w:eastAsia="zh-CN"/>
        </w:rPr>
        <w:t>受托人的权利、义务及陈述与保证</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_Toc227955286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56</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5FECE235">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"_Toc227955287"</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13</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受益人</w:t>
      </w:r>
      <w:r>
        <w:rPr>
          <w:rStyle w:val="36"/>
          <w:rFonts w:ascii="Times New Roman" w:hAnsi="Times New Roman" w:eastAsia="楷体_GB2312" w:cs="Times New Roman"/>
          <w:sz w:val="24"/>
          <w:szCs w:val="24"/>
          <w:lang w:eastAsia="zh-CN"/>
        </w:rPr>
        <w:t>的权利与义务</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_Toc227955287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62</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1DAF059D">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"_Toc227955288"</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14</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信托财产的管理与保管</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_Toc227955288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64</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5E772343">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"_Toc227955289"</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15</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受托人的更换</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_Toc227955289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65</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1B90A945">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"_Toc227955290"</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16</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信托的核算</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_Toc227955290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67</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17BA6D13">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"_Toc227955291"</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17</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费用和报酬</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_Toc227955291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67</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65F71D6F">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"_Toc227955292"</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18</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税负承担</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_Toc227955292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70</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5431199E">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"_Toc227955293"</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lang w:eastAsia="zh-CN"/>
        </w:rPr>
        <w:t>19</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lang w:eastAsia="zh-CN"/>
        </w:rPr>
        <w:t>资产支持证券持有人大会</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_Toc227955293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70</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7AB0AA9F">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"_Toc227955294"</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20</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赔偿和免责</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_Toc227955294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77</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668E8900">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"_Toc227955295"</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21</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信息披露</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_Toc227955295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79</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052AACEE">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"_Toc227955296"</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22</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保密条款</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_Toc227955296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81</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5138D777">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"_Toc227955297"</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23</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不可抗力</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_Toc227955297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83</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0CAEC221">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"_Toc227955298"</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24</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法律适用和争议解决</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_Toc227955298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84</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275A33EC">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"_Toc227955299"</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25</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有限追索和诉讼禁止</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_Toc227955299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84</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4A86A699">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"_Toc227955300"</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26</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合同的转让</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_Toc227955300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85</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2AB20876">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"_Toc227955301"</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27</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通知和送达</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_Toc227955301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85</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0AFB5848">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"_Toc227955302"</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28</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修改和弃权</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_Toc227955302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87</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67768B95">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"_Toc227955303"</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29</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条款的独立性</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_Toc227955303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88</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49D5D3A1">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"_Toc227955304"</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30</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合同的生效与终止</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_Toc227955304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88</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2B24B509">
      <w:pPr>
        <w:pStyle w:val="19"/>
        <w:tabs>
          <w:tab w:val="left" w:pos="480"/>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"_Toc227955305"</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31</w:t>
      </w:r>
      <w:r>
        <w:rPr>
          <w:rFonts w:ascii="Times New Roman" w:hAnsi="Times New Roman" w:eastAsia="楷体_GB2312" w:cs="Times New Roman"/>
          <w:b w:val="0"/>
          <w:bCs w:val="0"/>
          <w:caps w:val="0"/>
          <w:kern w:val="2"/>
          <w:sz w:val="24"/>
          <w:szCs w:val="24"/>
          <w:lang w:eastAsia="zh-CN"/>
          <w14:ligatures w14:val="standardContextual"/>
        </w:rPr>
        <w:tab/>
      </w:r>
      <w:r>
        <w:rPr>
          <w:rStyle w:val="36"/>
          <w:rFonts w:ascii="Times New Roman" w:hAnsi="Times New Roman" w:eastAsia="楷体_GB2312" w:cs="Times New Roman"/>
          <w:sz w:val="24"/>
          <w:szCs w:val="24"/>
        </w:rPr>
        <w:t>合同文本</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_Toc227955305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89</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3A41E32D">
      <w:pPr>
        <w:pStyle w:val="19"/>
        <w:tabs>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"_Toc227955306"</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lang w:eastAsia="zh-CN"/>
        </w:rPr>
        <w:t>附件一：基础资产清单格式</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_Toc227955306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92</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0CB50513">
      <w:pPr>
        <w:pStyle w:val="19"/>
        <w:tabs>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"_Toc227955307"</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lang w:eastAsia="zh-CN"/>
        </w:rPr>
        <w:t>附件二：信托财产文件交付确认函</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_Toc227955307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93</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17906792">
      <w:pPr>
        <w:pStyle w:val="19"/>
        <w:tabs>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"_Toc227955308"</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lang w:eastAsia="zh-CN"/>
        </w:rPr>
        <w:t>附件三：《清仓回购通知书》格式</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_Toc227955308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94</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19E21253">
      <w:pPr>
        <w:pStyle w:val="19"/>
        <w:tabs>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"_Toc227955309"</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lang w:eastAsia="zh-CN"/>
        </w:rPr>
        <w:t>附件四：清仓回购要约通知格式</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_Toc227955309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95</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10E5BC2B">
      <w:pPr>
        <w:pStyle w:val="19"/>
        <w:tabs>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"_Toc227955310"</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lang w:eastAsia="zh-CN"/>
        </w:rPr>
        <w:t>附件五：清仓回购承诺通知格式</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_Toc227955310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97</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58707212">
      <w:pPr>
        <w:pStyle w:val="19"/>
        <w:tabs>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"_Toc227955311"</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lang w:eastAsia="zh-CN"/>
        </w:rPr>
        <w:t>附件六：权利完善通知的格式</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_Toc227955311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98</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6CD4FC12">
      <w:pPr>
        <w:pStyle w:val="19"/>
        <w:tabs>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"_Toc227955312"</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lang w:eastAsia="zh-CN"/>
        </w:rPr>
        <w:t>附件七：授权书的格式</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_Toc227955312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108</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41D72F15">
      <w:pPr>
        <w:pStyle w:val="19"/>
        <w:tabs>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"_Toc227955313"</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lang w:eastAsia="zh-CN"/>
        </w:rPr>
        <w:t>附件八：信托会计处理的具体原则和方式</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_Toc227955313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109</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77360BDF">
      <w:pPr>
        <w:pStyle w:val="19"/>
        <w:tabs>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"_Toc227955314"</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lang w:val="en-GB" w:eastAsia="zh-CN"/>
        </w:rPr>
        <w:t>附件九：受托机构报告格式</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_Toc227955314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111</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6F7262A5">
      <w:pPr>
        <w:pStyle w:val="19"/>
        <w:tabs>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"_Toc227955315"</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rPr>
        <w:t>附件十：重大事件报告书参考格式</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_Toc227955315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132</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123F3EDE">
      <w:pPr>
        <w:pStyle w:val="19"/>
        <w:tabs>
          <w:tab w:val="right" w:leader="dot" w:pos="8297"/>
        </w:tabs>
        <w:rPr>
          <w:rFonts w:ascii="Times New Roman" w:hAnsi="Times New Roman" w:eastAsia="楷体_GB2312" w:cs="Times New Roman"/>
          <w:b w:val="0"/>
          <w:bCs w:val="0"/>
          <w:caps w:val="0"/>
          <w:kern w:val="2"/>
          <w:sz w:val="24"/>
          <w:szCs w:val="24"/>
          <w:lang w:eastAsia="zh-CN"/>
          <w14:ligatures w14:val="standardContextual"/>
        </w:rPr>
      </w:pPr>
      <w:r>
        <w:rPr>
          <w:rStyle w:val="36"/>
          <w:rFonts w:ascii="Times New Roman" w:hAnsi="Times New Roman" w:eastAsia="楷体_GB2312" w:cs="Times New Roman"/>
          <w:sz w:val="24"/>
          <w:szCs w:val="24"/>
        </w:rPr>
        <w:fldChar w:fldCharType="begin"/>
      </w:r>
      <w:r>
        <w:rPr>
          <w:rStyle w:val="36"/>
          <w:rFonts w:ascii="Times New Roman" w:hAnsi="Times New Roman" w:eastAsia="楷体_GB2312" w:cs="Times New Roman"/>
          <w:sz w:val="24"/>
          <w:szCs w:val="24"/>
        </w:rPr>
        <w:instrText xml:space="preserve"> </w:instrText>
      </w:r>
      <w:r>
        <w:rPr>
          <w:rFonts w:ascii="Times New Roman" w:hAnsi="Times New Roman" w:eastAsia="楷体_GB2312" w:cs="Times New Roman"/>
          <w:sz w:val="24"/>
          <w:szCs w:val="24"/>
        </w:rPr>
        <w:instrText xml:space="preserve">HYPERLINK \l "_Toc227955316"</w:instrText>
      </w:r>
      <w:r>
        <w:rPr>
          <w:rStyle w:val="36"/>
          <w:rFonts w:ascii="Times New Roman" w:hAnsi="Times New Roman" w:eastAsia="楷体_GB2312" w:cs="Times New Roman"/>
          <w:sz w:val="24"/>
          <w:szCs w:val="24"/>
        </w:rPr>
        <w:instrText xml:space="preserve"> </w:instrText>
      </w:r>
      <w:r>
        <w:rPr>
          <w:rStyle w:val="36"/>
          <w:rFonts w:ascii="Times New Roman" w:hAnsi="Times New Roman" w:eastAsia="楷体_GB2312" w:cs="Times New Roman"/>
          <w:sz w:val="24"/>
          <w:szCs w:val="24"/>
        </w:rPr>
        <w:fldChar w:fldCharType="separate"/>
      </w:r>
      <w:r>
        <w:rPr>
          <w:rStyle w:val="36"/>
          <w:rFonts w:ascii="Times New Roman" w:hAnsi="Times New Roman" w:eastAsia="楷体_GB2312" w:cs="Times New Roman"/>
          <w:sz w:val="24"/>
          <w:szCs w:val="24"/>
          <w:lang w:val="en-GB" w:eastAsia="zh-CN"/>
        </w:rPr>
        <w:t>附件十一：优先A1级资产支持证券本金摊还计划表</w:t>
      </w:r>
      <w:r>
        <w:rPr>
          <w:rFonts w:ascii="Times New Roman" w:hAnsi="Times New Roman" w:eastAsia="楷体_GB2312" w:cs="Times New Roman"/>
          <w:sz w:val="24"/>
          <w:szCs w:val="24"/>
        </w:rPr>
        <w:tab/>
      </w:r>
      <w:r>
        <w:rPr>
          <w:rFonts w:ascii="Times New Roman" w:hAnsi="Times New Roman" w:eastAsia="楷体_GB2312" w:cs="Times New Roman"/>
          <w:sz w:val="24"/>
          <w:szCs w:val="24"/>
        </w:rPr>
        <w:fldChar w:fldCharType="begin"/>
      </w:r>
      <w:r>
        <w:rPr>
          <w:rFonts w:ascii="Times New Roman" w:hAnsi="Times New Roman" w:eastAsia="楷体_GB2312" w:cs="Times New Roman"/>
          <w:sz w:val="24"/>
          <w:szCs w:val="24"/>
        </w:rPr>
        <w:instrText xml:space="preserve"> PAGEREF _Toc227955316 \h </w:instrText>
      </w:r>
      <w:r>
        <w:rPr>
          <w:rFonts w:ascii="Times New Roman" w:hAnsi="Times New Roman" w:eastAsia="楷体_GB2312" w:cs="Times New Roman"/>
          <w:sz w:val="24"/>
          <w:szCs w:val="24"/>
        </w:rPr>
        <w:fldChar w:fldCharType="separate"/>
      </w:r>
      <w:r>
        <w:rPr>
          <w:rFonts w:ascii="Times New Roman" w:hAnsi="Times New Roman" w:eastAsia="楷体_GB2312" w:cs="Times New Roman"/>
          <w:sz w:val="24"/>
          <w:szCs w:val="24"/>
        </w:rPr>
        <w:t>134</w:t>
      </w:r>
      <w:r>
        <w:rPr>
          <w:rFonts w:ascii="Times New Roman" w:hAnsi="Times New Roman" w:eastAsia="楷体_GB2312" w:cs="Times New Roman"/>
          <w:sz w:val="24"/>
          <w:szCs w:val="24"/>
        </w:rPr>
        <w:fldChar w:fldCharType="end"/>
      </w:r>
      <w:r>
        <w:rPr>
          <w:rStyle w:val="36"/>
          <w:rFonts w:ascii="Times New Roman" w:hAnsi="Times New Roman" w:eastAsia="楷体_GB2312" w:cs="Times New Roman"/>
          <w:sz w:val="24"/>
          <w:szCs w:val="24"/>
        </w:rPr>
        <w:fldChar w:fldCharType="end"/>
      </w:r>
    </w:p>
    <w:p w14:paraId="104656BA">
      <w:pPr>
        <w:spacing w:line="360" w:lineRule="auto"/>
        <w:rPr>
          <w:rFonts w:eastAsia="楷体_GB2312"/>
          <w:lang w:eastAsia="zh-CN"/>
        </w:rPr>
      </w:pPr>
      <w:r>
        <w:rPr>
          <w:rFonts w:eastAsia="楷体_GB2312"/>
          <w:b/>
          <w:bCs/>
          <w:caps/>
        </w:rPr>
        <w:fldChar w:fldCharType="end"/>
      </w:r>
    </w:p>
    <w:p w14:paraId="7579E6D9">
      <w:pPr>
        <w:rPr>
          <w:rFonts w:eastAsia="楷体_GB2312"/>
          <w:lang w:eastAsia="zh-CN"/>
        </w:rPr>
      </w:pPr>
      <w:r>
        <w:rPr>
          <w:rFonts w:eastAsia="楷体_GB2312"/>
          <w:lang w:eastAsia="zh-CN"/>
        </w:rPr>
        <w:br w:type="page"/>
      </w:r>
    </w:p>
    <w:p w14:paraId="609A0565">
      <w:pPr>
        <w:spacing w:line="360" w:lineRule="auto"/>
        <w:jc w:val="center"/>
        <w:rPr>
          <w:rFonts w:eastAsia="楷体_GB2312"/>
          <w:lang w:eastAsia="zh-CN"/>
        </w:rPr>
        <w:sectPr>
          <w:footerReference r:id="rId8" w:type="first"/>
          <w:footerReference r:id="rId7" w:type="default"/>
          <w:pgSz w:w="11907" w:h="16839"/>
          <w:pgMar w:top="1440" w:right="1800" w:bottom="1440" w:left="1800" w:header="720" w:footer="720" w:gutter="0"/>
          <w:pgNumType w:start="0"/>
          <w:cols w:space="720" w:num="1"/>
          <w:titlePg/>
          <w:docGrid w:linePitch="360" w:charSpace="0"/>
        </w:sectPr>
      </w:pPr>
    </w:p>
    <w:p w14:paraId="0FCDE98F">
      <w:pPr>
        <w:spacing w:line="360" w:lineRule="auto"/>
        <w:jc w:val="center"/>
        <w:rPr>
          <w:rFonts w:eastAsia="楷体_GB2312"/>
          <w:b/>
          <w:sz w:val="30"/>
          <w:szCs w:val="30"/>
          <w:lang w:eastAsia="zh-CN"/>
        </w:rPr>
      </w:pPr>
      <w:r>
        <w:rPr>
          <w:rFonts w:eastAsia="楷体_GB2312"/>
          <w:b/>
          <w:sz w:val="30"/>
          <w:szCs w:val="30"/>
          <w:lang w:eastAsia="zh-CN"/>
        </w:rPr>
        <w:t>【信托名称】</w:t>
      </w:r>
    </w:p>
    <w:p w14:paraId="6985BBB5">
      <w:pPr>
        <w:spacing w:line="360" w:lineRule="auto"/>
        <w:jc w:val="center"/>
        <w:rPr>
          <w:rFonts w:eastAsia="楷体_GB2312"/>
          <w:b/>
          <w:sz w:val="30"/>
          <w:szCs w:val="30"/>
          <w:lang w:eastAsia="zh-CN"/>
        </w:rPr>
      </w:pPr>
      <w:r>
        <w:rPr>
          <w:rFonts w:eastAsia="楷体_GB2312"/>
          <w:b/>
          <w:sz w:val="30"/>
          <w:szCs w:val="30"/>
          <w:lang w:eastAsia="zh-CN"/>
        </w:rPr>
        <w:t>之</w:t>
      </w:r>
    </w:p>
    <w:p w14:paraId="4A7F07C3">
      <w:pPr>
        <w:spacing w:line="360" w:lineRule="auto"/>
        <w:jc w:val="center"/>
        <w:rPr>
          <w:rFonts w:eastAsia="楷体_GB2312"/>
          <w:sz w:val="30"/>
          <w:szCs w:val="30"/>
          <w:lang w:eastAsia="zh-CN"/>
        </w:rPr>
      </w:pPr>
      <w:r>
        <w:rPr>
          <w:rFonts w:eastAsia="楷体_GB2312"/>
          <w:b/>
          <w:sz w:val="30"/>
          <w:szCs w:val="30"/>
          <w:lang w:eastAsia="zh-CN"/>
        </w:rPr>
        <w:t>信托合同</w:t>
      </w:r>
    </w:p>
    <w:p w14:paraId="0659AB18">
      <w:pPr>
        <w:spacing w:line="360" w:lineRule="auto"/>
        <w:rPr>
          <w:rFonts w:eastAsia="楷体_GB2312"/>
          <w:b/>
          <w:lang w:eastAsia="zh-CN"/>
        </w:rPr>
      </w:pPr>
    </w:p>
    <w:p w14:paraId="390576BC">
      <w:pPr>
        <w:spacing w:line="360" w:lineRule="auto"/>
        <w:rPr>
          <w:rFonts w:eastAsia="楷体_GB2312"/>
          <w:b/>
          <w:lang w:eastAsia="zh-CN"/>
        </w:rPr>
      </w:pPr>
      <w:r>
        <w:rPr>
          <w:rFonts w:eastAsia="楷体_GB2312"/>
          <w:b/>
          <w:lang w:eastAsia="zh-CN"/>
        </w:rPr>
        <w:t>《【信托名称】之信托合同》（“本合同”）由下列双方于【    】年【    】月【    】日在中国【  】市【  】区签订。</w:t>
      </w:r>
    </w:p>
    <w:p w14:paraId="21A8DAEC">
      <w:pPr>
        <w:spacing w:line="360" w:lineRule="auto"/>
        <w:jc w:val="center"/>
        <w:rPr>
          <w:rFonts w:eastAsia="楷体_GB2312"/>
          <w:b/>
          <w:sz w:val="32"/>
          <w:lang w:eastAsia="zh-CN"/>
        </w:rPr>
      </w:pPr>
    </w:p>
    <w:p w14:paraId="65E3544B">
      <w:pPr>
        <w:tabs>
          <w:tab w:val="left" w:pos="2025"/>
          <w:tab w:val="left" w:pos="8928"/>
        </w:tabs>
        <w:spacing w:line="360" w:lineRule="auto"/>
        <w:rPr>
          <w:rFonts w:eastAsia="楷体_GB2312"/>
          <w:b/>
          <w:bCs/>
          <w:shd w:val="pct10" w:color="auto" w:fill="FFFFFF"/>
          <w:lang w:eastAsia="zh-CN"/>
        </w:rPr>
      </w:pPr>
      <w:r>
        <w:rPr>
          <w:rFonts w:eastAsia="楷体_GB2312"/>
          <w:b/>
          <w:lang w:eastAsia="zh-CN"/>
        </w:rPr>
        <w:t>委托人：</w:t>
      </w:r>
      <w:r>
        <w:rPr>
          <w:rFonts w:eastAsia="楷体_GB2312"/>
          <w:b/>
          <w:lang w:eastAsia="zh-CN"/>
        </w:rPr>
        <w:tab/>
      </w:r>
      <w:r>
        <w:rPr>
          <w:rFonts w:eastAsia="楷体_GB2312"/>
          <w:b/>
          <w:bCs/>
          <w:lang w:eastAsia="zh-CN"/>
        </w:rPr>
        <w:t>【发起机构全称】</w:t>
      </w:r>
    </w:p>
    <w:p w14:paraId="5D25A2CD">
      <w:pPr>
        <w:tabs>
          <w:tab w:val="left" w:pos="2025"/>
          <w:tab w:val="left" w:pos="8928"/>
        </w:tabs>
        <w:spacing w:line="360" w:lineRule="auto"/>
        <w:rPr>
          <w:rFonts w:eastAsia="楷体_GB2312"/>
          <w:bCs/>
          <w:lang w:eastAsia="zh-CN"/>
        </w:rPr>
      </w:pPr>
      <w:r>
        <w:rPr>
          <w:rFonts w:eastAsia="楷体_GB2312"/>
          <w:bCs/>
          <w:lang w:eastAsia="zh-CN"/>
        </w:rPr>
        <w:t>法定代表人：</w:t>
      </w:r>
      <w:r>
        <w:rPr>
          <w:rFonts w:eastAsia="楷体_GB2312"/>
          <w:bCs/>
          <w:lang w:eastAsia="zh-CN"/>
        </w:rPr>
        <w:tab/>
      </w:r>
      <w:r>
        <w:rPr>
          <w:rFonts w:eastAsia="楷体_GB2312"/>
          <w:bCs/>
          <w:lang w:eastAsia="zh-CN"/>
        </w:rPr>
        <w:t>【】</w:t>
      </w:r>
    </w:p>
    <w:p w14:paraId="07E37F59">
      <w:pPr>
        <w:tabs>
          <w:tab w:val="left" w:pos="2025"/>
          <w:tab w:val="left" w:pos="8928"/>
        </w:tabs>
        <w:spacing w:line="360" w:lineRule="auto"/>
        <w:ind w:left="2040" w:hanging="2040" w:hangingChars="850"/>
        <w:rPr>
          <w:rFonts w:eastAsia="楷体_GB2312"/>
          <w:bCs/>
          <w:lang w:eastAsia="zh-CN"/>
        </w:rPr>
      </w:pPr>
      <w:r>
        <w:rPr>
          <w:rFonts w:eastAsia="楷体_GB2312"/>
          <w:bCs/>
          <w:lang w:eastAsia="zh-CN"/>
        </w:rPr>
        <w:t>住所地：</w:t>
      </w:r>
      <w:r>
        <w:rPr>
          <w:rFonts w:eastAsia="楷体_GB2312"/>
          <w:bCs/>
          <w:lang w:eastAsia="zh-CN"/>
        </w:rPr>
        <w:tab/>
      </w:r>
      <w:r>
        <w:rPr>
          <w:rFonts w:eastAsia="楷体_GB2312"/>
          <w:bCs/>
          <w:lang w:eastAsia="zh-CN"/>
        </w:rPr>
        <w:t>【】</w:t>
      </w:r>
    </w:p>
    <w:p w14:paraId="3D9929E3">
      <w:pPr>
        <w:tabs>
          <w:tab w:val="left" w:pos="2025"/>
          <w:tab w:val="left" w:pos="8928"/>
        </w:tabs>
        <w:spacing w:line="360" w:lineRule="auto"/>
        <w:rPr>
          <w:rFonts w:eastAsia="楷体_GB2312"/>
          <w:b/>
          <w:lang w:eastAsia="zh-CN"/>
        </w:rPr>
      </w:pPr>
    </w:p>
    <w:p w14:paraId="37E8B7EA">
      <w:pPr>
        <w:tabs>
          <w:tab w:val="left" w:pos="2025"/>
          <w:tab w:val="left" w:pos="8928"/>
        </w:tabs>
        <w:spacing w:line="360" w:lineRule="auto"/>
        <w:rPr>
          <w:rFonts w:eastAsia="楷体_GB2312"/>
          <w:b/>
          <w:lang w:eastAsia="zh-CN"/>
        </w:rPr>
      </w:pPr>
      <w:r>
        <w:rPr>
          <w:rFonts w:eastAsia="楷体_GB2312"/>
          <w:b/>
          <w:lang w:eastAsia="zh-CN"/>
        </w:rPr>
        <w:t>受托人：</w:t>
      </w:r>
      <w:r>
        <w:rPr>
          <w:rFonts w:eastAsia="楷体_GB2312"/>
          <w:b/>
          <w:lang w:eastAsia="zh-CN"/>
        </w:rPr>
        <w:tab/>
      </w:r>
      <w:r>
        <w:rPr>
          <w:rFonts w:eastAsia="楷体_GB2312"/>
          <w:b/>
          <w:lang w:eastAsia="zh-CN"/>
        </w:rPr>
        <w:t>【受托机构全称】</w:t>
      </w:r>
    </w:p>
    <w:p w14:paraId="75E46CAA">
      <w:pPr>
        <w:tabs>
          <w:tab w:val="left" w:pos="2025"/>
          <w:tab w:val="left" w:pos="8928"/>
        </w:tabs>
        <w:spacing w:line="360" w:lineRule="auto"/>
        <w:rPr>
          <w:rFonts w:eastAsia="楷体_GB2312"/>
          <w:lang w:eastAsia="zh-CN"/>
        </w:rPr>
      </w:pPr>
      <w:r>
        <w:rPr>
          <w:rFonts w:eastAsia="楷体_GB2312"/>
          <w:lang w:eastAsia="zh-CN"/>
        </w:rPr>
        <w:t>法定代表人：</w:t>
      </w:r>
      <w:r>
        <w:rPr>
          <w:rFonts w:eastAsia="楷体_GB2312"/>
          <w:lang w:eastAsia="zh-CN"/>
        </w:rPr>
        <w:tab/>
      </w:r>
      <w:r>
        <w:rPr>
          <w:rFonts w:eastAsia="楷体_GB2312"/>
          <w:lang w:eastAsia="zh-CN"/>
        </w:rPr>
        <w:t>【】</w:t>
      </w:r>
    </w:p>
    <w:p w14:paraId="57299BBC">
      <w:pPr>
        <w:tabs>
          <w:tab w:val="left" w:pos="2025"/>
          <w:tab w:val="left" w:pos="8928"/>
        </w:tabs>
        <w:spacing w:line="360" w:lineRule="auto"/>
        <w:rPr>
          <w:rFonts w:eastAsia="楷体_GB2312"/>
          <w:bCs/>
          <w:lang w:eastAsia="zh-CN"/>
        </w:rPr>
      </w:pPr>
      <w:r>
        <w:rPr>
          <w:rFonts w:eastAsia="楷体_GB2312"/>
          <w:bCs/>
          <w:lang w:eastAsia="zh-CN"/>
        </w:rPr>
        <w:t>住所地：</w:t>
      </w:r>
      <w:r>
        <w:rPr>
          <w:rFonts w:eastAsia="楷体_GB2312"/>
          <w:bCs/>
          <w:lang w:eastAsia="zh-CN"/>
        </w:rPr>
        <w:tab/>
      </w:r>
      <w:r>
        <w:rPr>
          <w:rFonts w:eastAsia="楷体_GB2312"/>
          <w:bCs/>
          <w:lang w:eastAsia="zh-CN"/>
        </w:rPr>
        <w:t>【】</w:t>
      </w:r>
    </w:p>
    <w:p w14:paraId="72485D60">
      <w:pPr>
        <w:tabs>
          <w:tab w:val="left" w:pos="0"/>
          <w:tab w:val="left" w:pos="8928"/>
        </w:tabs>
        <w:spacing w:line="360" w:lineRule="auto"/>
        <w:rPr>
          <w:rFonts w:eastAsia="楷体_GB2312"/>
          <w:bCs/>
          <w:lang w:eastAsia="zh-CN"/>
        </w:rPr>
      </w:pPr>
    </w:p>
    <w:p w14:paraId="5D332329">
      <w:pPr>
        <w:tabs>
          <w:tab w:val="left" w:pos="0"/>
          <w:tab w:val="left" w:pos="8928"/>
        </w:tabs>
        <w:spacing w:line="360" w:lineRule="auto"/>
        <w:rPr>
          <w:rFonts w:eastAsia="楷体_GB2312"/>
          <w:bCs/>
          <w:lang w:eastAsia="zh-CN"/>
        </w:rPr>
      </w:pPr>
      <w:r>
        <w:rPr>
          <w:rFonts w:eastAsia="楷体_GB2312"/>
          <w:bCs/>
          <w:lang w:eastAsia="zh-CN"/>
        </w:rPr>
        <w:t>以上主体合称为</w:t>
      </w:r>
      <w:r>
        <w:rPr>
          <w:rFonts w:eastAsia="楷体_GB2312"/>
          <w:lang w:eastAsia="zh-CN"/>
        </w:rPr>
        <w:t>“</w:t>
      </w:r>
      <w:r>
        <w:rPr>
          <w:rFonts w:eastAsia="楷体_GB2312"/>
          <w:bCs/>
          <w:lang w:eastAsia="zh-CN"/>
        </w:rPr>
        <w:t>双方</w:t>
      </w:r>
      <w:r>
        <w:rPr>
          <w:rFonts w:eastAsia="楷体_GB2312"/>
          <w:lang w:eastAsia="zh-CN"/>
        </w:rPr>
        <w:t>”</w:t>
      </w:r>
      <w:r>
        <w:rPr>
          <w:rFonts w:eastAsia="楷体_GB2312"/>
          <w:bCs/>
          <w:lang w:eastAsia="zh-CN"/>
        </w:rPr>
        <w:t>，单称为</w:t>
      </w:r>
      <w:r>
        <w:rPr>
          <w:rFonts w:eastAsia="楷体_GB2312"/>
          <w:lang w:eastAsia="zh-CN"/>
        </w:rPr>
        <w:t>“</w:t>
      </w:r>
      <w:r>
        <w:rPr>
          <w:rFonts w:eastAsia="楷体_GB2312"/>
          <w:bCs/>
          <w:lang w:eastAsia="zh-CN"/>
        </w:rPr>
        <w:t>一方</w:t>
      </w:r>
      <w:r>
        <w:rPr>
          <w:rFonts w:eastAsia="楷体_GB2312"/>
          <w:lang w:eastAsia="zh-CN"/>
        </w:rPr>
        <w:t>”</w:t>
      </w:r>
      <w:r>
        <w:rPr>
          <w:rFonts w:eastAsia="楷体_GB2312"/>
          <w:bCs/>
          <w:lang w:eastAsia="zh-CN"/>
        </w:rPr>
        <w:t>。</w:t>
      </w:r>
    </w:p>
    <w:p w14:paraId="0DD8BC55">
      <w:pPr>
        <w:pStyle w:val="11"/>
        <w:spacing w:line="360" w:lineRule="auto"/>
        <w:rPr>
          <w:rFonts w:ascii="Times New Roman" w:hAnsi="Times New Roman" w:cs="Times New Roman"/>
          <w:lang w:eastAsia="zh-CN"/>
        </w:rPr>
      </w:pPr>
    </w:p>
    <w:p w14:paraId="4EBDB396">
      <w:pPr>
        <w:pStyle w:val="11"/>
        <w:spacing w:line="360" w:lineRule="auto"/>
        <w:rPr>
          <w:rFonts w:ascii="Times New Roman" w:hAnsi="Times New Roman" w:cs="Times New Roman"/>
        </w:rPr>
      </w:pPr>
      <w:r>
        <w:rPr>
          <w:rFonts w:ascii="Times New Roman" w:hAnsi="Times New Roman" w:cs="Times New Roman"/>
        </w:rPr>
        <w:t>鉴于：</w:t>
      </w:r>
    </w:p>
    <w:p w14:paraId="5E9F6FDC">
      <w:pPr>
        <w:spacing w:line="360" w:lineRule="auto"/>
        <w:rPr>
          <w:rFonts w:eastAsia="楷体_GB2312"/>
        </w:rPr>
      </w:pPr>
    </w:p>
    <w:p w14:paraId="25933A1E">
      <w:pPr>
        <w:pStyle w:val="59"/>
        <w:numPr>
          <w:ilvl w:val="0"/>
          <w:numId w:val="7"/>
        </w:numPr>
        <w:tabs>
          <w:tab w:val="left" w:pos="900"/>
          <w:tab w:val="left" w:pos="1785"/>
        </w:tabs>
        <w:rPr>
          <w:rFonts w:eastAsia="楷体_GB2312"/>
        </w:rPr>
      </w:pPr>
      <w:r>
        <w:rPr>
          <w:rFonts w:eastAsia="楷体_GB2312"/>
        </w:rPr>
        <w:t>“委托人”愿意将其合法所有的初始“基础资产”委托给“受托人”设立“信托”，由“受托人”发行“资产支持证券”，并由“受托人”管理、运用和处分“信托财产”；</w:t>
      </w:r>
    </w:p>
    <w:p w14:paraId="1C2959A8">
      <w:pPr>
        <w:pStyle w:val="59"/>
        <w:ind w:firstLine="0"/>
        <w:rPr>
          <w:rFonts w:eastAsia="楷体_GB2312"/>
        </w:rPr>
      </w:pPr>
    </w:p>
    <w:p w14:paraId="796143D1">
      <w:pPr>
        <w:pStyle w:val="59"/>
        <w:numPr>
          <w:ilvl w:val="0"/>
          <w:numId w:val="7"/>
        </w:numPr>
        <w:tabs>
          <w:tab w:val="left" w:pos="425"/>
          <w:tab w:val="left" w:pos="992"/>
        </w:tabs>
        <w:rPr>
          <w:rFonts w:eastAsia="楷体_GB2312"/>
        </w:rPr>
      </w:pPr>
      <w:r>
        <w:rPr>
          <w:rFonts w:eastAsia="楷体_GB2312"/>
        </w:rPr>
        <w:t>“受托人”同意接受“委托人”的委托，并同意根据本合同及其他“交易文件”的约定发行“资产支持证券”及管理、运用、处分“信托财产”。</w:t>
      </w:r>
    </w:p>
    <w:p w14:paraId="23739533">
      <w:pPr>
        <w:pStyle w:val="59"/>
        <w:ind w:firstLine="0"/>
        <w:rPr>
          <w:rFonts w:eastAsia="楷体_GB2312"/>
        </w:rPr>
      </w:pPr>
    </w:p>
    <w:p w14:paraId="242F8B23">
      <w:pPr>
        <w:spacing w:line="360" w:lineRule="auto"/>
        <w:ind w:firstLine="480"/>
        <w:jc w:val="both"/>
        <w:rPr>
          <w:rFonts w:eastAsia="楷体_GB2312"/>
          <w:lang w:eastAsia="zh-CN"/>
        </w:rPr>
      </w:pPr>
      <w:r>
        <w:rPr>
          <w:rFonts w:eastAsia="楷体_GB2312"/>
          <w:lang w:eastAsia="zh-CN"/>
        </w:rPr>
        <w:t>根据《中华人民共和国信托法》《中华人民共和国民法典》《信托公司管理办法》《信贷资产证券化试点管理办法》《金融机构信贷资产证券化试点监督管理办法》及其他应适用的“中国”“法律”的规定，本着平等、互利、诚实信用的原则，在充分友好协商的基础上达成本合同，以昭信守。</w:t>
      </w:r>
    </w:p>
    <w:p w14:paraId="4EF98DBD">
      <w:pPr>
        <w:spacing w:line="360" w:lineRule="auto"/>
        <w:jc w:val="both"/>
        <w:rPr>
          <w:rFonts w:eastAsia="楷体_GB2312"/>
          <w:b/>
          <w:i/>
          <w:iCs/>
          <w:color w:val="FF0000"/>
          <w:lang w:eastAsia="zh-CN"/>
        </w:rPr>
      </w:pPr>
      <w:r>
        <w:rPr>
          <w:rFonts w:eastAsia="楷体_GB2312"/>
          <w:b/>
          <w:i/>
          <w:color w:val="FF0000"/>
          <w:lang w:eastAsia="zh-CN"/>
        </w:rPr>
        <w:t>【注：1、本标准</w:t>
      </w:r>
      <w:r>
        <w:rPr>
          <w:rFonts w:hint="eastAsia" w:eastAsia="楷体_GB2312"/>
          <w:b/>
          <w:i/>
          <w:color w:val="FF0000"/>
          <w:lang w:eastAsia="zh-CN"/>
        </w:rPr>
        <w:t>合同</w:t>
      </w:r>
      <w:r>
        <w:rPr>
          <w:rFonts w:eastAsia="楷体_GB2312"/>
          <w:b/>
          <w:i/>
          <w:color w:val="FF0000"/>
          <w:lang w:eastAsia="zh-CN"/>
        </w:rPr>
        <w:t>中包含了信托设立后持续购买资产的安排。</w:t>
      </w:r>
      <w:r>
        <w:rPr>
          <w:rFonts w:eastAsia="楷体_GB2312"/>
          <w:b/>
          <w:bCs/>
          <w:i/>
          <w:color w:val="FF0000"/>
        </w:rPr>
        <w:t>如具体项目不涉及持续购买安排，使用时需删除持续购买相关内容</w:t>
      </w:r>
      <w:r>
        <w:rPr>
          <w:rFonts w:eastAsia="楷体_GB2312"/>
          <w:b/>
          <w:i/>
          <w:color w:val="FF0000"/>
          <w:lang w:eastAsia="zh-CN"/>
        </w:rPr>
        <w:t>。2、</w:t>
      </w:r>
      <w:r>
        <w:rPr>
          <w:rFonts w:eastAsia="楷体_GB2312"/>
          <w:b/>
          <w:i/>
          <w:iCs/>
          <w:color w:val="FF0000"/>
          <w:lang w:eastAsia="zh-CN"/>
        </w:rPr>
        <w:t>就本合同引用的法律法规，均应根据届时适用的最新法律法规进行补充和调整，下同。】</w:t>
      </w:r>
    </w:p>
    <w:p w14:paraId="56BF6533">
      <w:pPr>
        <w:spacing w:line="360" w:lineRule="auto"/>
        <w:jc w:val="both"/>
        <w:rPr>
          <w:rFonts w:eastAsia="楷体_GB2312"/>
          <w:b/>
          <w:i/>
          <w:iCs/>
          <w:color w:val="FF0000"/>
          <w:lang w:eastAsia="zh-CN"/>
        </w:rPr>
      </w:pPr>
    </w:p>
    <w:p w14:paraId="079A31B1">
      <w:pPr>
        <w:widowControl w:val="0"/>
        <w:numPr>
          <w:ilvl w:val="0"/>
          <w:numId w:val="8"/>
        </w:numPr>
        <w:spacing w:line="360" w:lineRule="auto"/>
        <w:jc w:val="both"/>
        <w:outlineLvl w:val="0"/>
        <w:rPr>
          <w:rFonts w:eastAsia="楷体_GB2312"/>
          <w:b/>
        </w:rPr>
      </w:pPr>
      <w:bookmarkStart w:id="2" w:name="_Toc166105861"/>
      <w:bookmarkStart w:id="3" w:name="_Toc92612901"/>
      <w:bookmarkStart w:id="4" w:name="_Toc110153411"/>
      <w:bookmarkStart w:id="5" w:name="_Toc207007297"/>
      <w:bookmarkStart w:id="6" w:name="_Toc111281763"/>
      <w:bookmarkStart w:id="7" w:name="_Toc69138578"/>
      <w:bookmarkStart w:id="8" w:name="_Toc201569372"/>
      <w:bookmarkStart w:id="9" w:name="_Toc75510460"/>
      <w:bookmarkStart w:id="10" w:name="_Toc227955275"/>
      <w:bookmarkStart w:id="11" w:name="_Toc454484848"/>
      <w:r>
        <w:rPr>
          <w:rFonts w:eastAsia="楷体_GB2312"/>
          <w:b/>
        </w:rPr>
        <w:t>定义</w:t>
      </w:r>
      <w:bookmarkEnd w:id="2"/>
      <w:bookmarkEnd w:id="3"/>
      <w:bookmarkEnd w:id="4"/>
      <w:bookmarkEnd w:id="5"/>
      <w:bookmarkEnd w:id="6"/>
      <w:bookmarkEnd w:id="7"/>
      <w:bookmarkEnd w:id="8"/>
      <w:bookmarkEnd w:id="9"/>
      <w:bookmarkEnd w:id="10"/>
      <w:bookmarkEnd w:id="11"/>
    </w:p>
    <w:p w14:paraId="417116D0">
      <w:pPr>
        <w:spacing w:line="360" w:lineRule="auto"/>
        <w:jc w:val="both"/>
        <w:rPr>
          <w:rFonts w:eastAsia="楷体_GB2312"/>
          <w:b/>
        </w:rPr>
      </w:pPr>
    </w:p>
    <w:p w14:paraId="2A84F64A">
      <w:pPr>
        <w:spacing w:line="360" w:lineRule="auto"/>
        <w:ind w:left="425" w:leftChars="177"/>
        <w:jc w:val="both"/>
        <w:rPr>
          <w:rFonts w:eastAsia="楷体_GB2312"/>
          <w:lang w:eastAsia="zh-CN"/>
        </w:rPr>
      </w:pPr>
      <w:r>
        <w:rPr>
          <w:rFonts w:eastAsia="楷体_GB2312"/>
          <w:lang w:eastAsia="zh-CN"/>
        </w:rPr>
        <w:t>在本合同中，除非上下文另有解释或文义另作说明，本合同中的词语或简称以及所述的解释规则与由本合同双方签订的《【信托名称】主定义表》（以下简称“《主定义表》”）中所定义的词语以及所列示的解释规则，具有相同的含义。</w:t>
      </w:r>
    </w:p>
    <w:p w14:paraId="49E94EB9">
      <w:pPr>
        <w:spacing w:line="360" w:lineRule="auto"/>
        <w:jc w:val="both"/>
        <w:rPr>
          <w:rFonts w:eastAsia="楷体_GB2312"/>
          <w:bCs/>
          <w:lang w:eastAsia="zh-CN"/>
        </w:rPr>
      </w:pPr>
    </w:p>
    <w:p w14:paraId="167DE0E2">
      <w:pPr>
        <w:widowControl w:val="0"/>
        <w:numPr>
          <w:ilvl w:val="0"/>
          <w:numId w:val="8"/>
        </w:numPr>
        <w:spacing w:line="360" w:lineRule="auto"/>
        <w:jc w:val="both"/>
        <w:outlineLvl w:val="0"/>
        <w:rPr>
          <w:rFonts w:eastAsia="楷体_GB2312"/>
          <w:b/>
          <w:bCs/>
        </w:rPr>
      </w:pPr>
      <w:bookmarkStart w:id="12" w:name="_Toc166105862"/>
      <w:bookmarkStart w:id="13" w:name="_Toc207007298"/>
      <w:bookmarkStart w:id="14" w:name="_Toc110153412"/>
      <w:bookmarkStart w:id="15" w:name="_Toc111281764"/>
      <w:bookmarkStart w:id="16" w:name="_Toc227955276"/>
      <w:bookmarkStart w:id="17" w:name="_Toc454484849"/>
      <w:bookmarkStart w:id="18" w:name="_Toc75510461"/>
      <w:bookmarkStart w:id="19" w:name="_Toc201569373"/>
      <w:bookmarkStart w:id="20" w:name="_Toc69138579"/>
      <w:r>
        <w:rPr>
          <w:rFonts w:eastAsia="楷体_GB2312"/>
          <w:b/>
          <w:bCs/>
        </w:rPr>
        <w:t>信托目的</w:t>
      </w:r>
      <w:bookmarkEnd w:id="12"/>
      <w:bookmarkEnd w:id="13"/>
      <w:bookmarkEnd w:id="14"/>
      <w:bookmarkEnd w:id="15"/>
      <w:bookmarkEnd w:id="16"/>
      <w:bookmarkEnd w:id="17"/>
      <w:bookmarkEnd w:id="18"/>
      <w:bookmarkEnd w:id="19"/>
      <w:bookmarkEnd w:id="20"/>
    </w:p>
    <w:p w14:paraId="7628F120">
      <w:pPr>
        <w:tabs>
          <w:tab w:val="left" w:pos="900"/>
        </w:tabs>
        <w:spacing w:line="360" w:lineRule="auto"/>
        <w:ind w:left="821" w:leftChars="342" w:firstLine="240" w:firstLineChars="100"/>
        <w:jc w:val="both"/>
        <w:rPr>
          <w:rFonts w:eastAsia="楷体_GB2312"/>
          <w:bCs/>
        </w:rPr>
      </w:pPr>
    </w:p>
    <w:p w14:paraId="1BB74D37">
      <w:pPr>
        <w:widowControl w:val="0"/>
        <w:numPr>
          <w:ilvl w:val="1"/>
          <w:numId w:val="8"/>
        </w:numPr>
        <w:spacing w:line="360" w:lineRule="auto"/>
        <w:jc w:val="both"/>
        <w:rPr>
          <w:rFonts w:eastAsia="楷体_GB2312"/>
          <w:lang w:eastAsia="zh-CN"/>
        </w:rPr>
      </w:pPr>
      <w:r>
        <w:rPr>
          <w:rFonts w:eastAsia="楷体_GB2312"/>
          <w:lang w:eastAsia="zh-CN"/>
        </w:rPr>
        <w:t>为了实现个人汽车贷款的证券化，“委托人”基于对“受托人”的信任，根据本合同将其合法所有的初始“基础资产”信托予“受托人”，由“受托人”设立“信托”作为特殊目的载体，为“资产支持证券持有人”的利益</w:t>
      </w:r>
      <w:r>
        <w:rPr>
          <w:rFonts w:eastAsia="楷体_GB2312"/>
          <w:bCs/>
          <w:lang w:eastAsia="zh-CN"/>
        </w:rPr>
        <w:t>管理、运用和处分</w:t>
      </w:r>
      <w:r>
        <w:rPr>
          <w:rFonts w:eastAsia="楷体_GB2312"/>
          <w:lang w:eastAsia="zh-CN"/>
        </w:rPr>
        <w:t>“</w:t>
      </w:r>
      <w:r>
        <w:rPr>
          <w:rFonts w:eastAsia="楷体_GB2312"/>
          <w:bCs/>
          <w:lang w:eastAsia="zh-CN"/>
        </w:rPr>
        <w:t>信托财产</w:t>
      </w:r>
      <w:r>
        <w:rPr>
          <w:rFonts w:eastAsia="楷体_GB2312"/>
          <w:lang w:eastAsia="zh-CN"/>
        </w:rPr>
        <w:t>”。</w:t>
      </w:r>
    </w:p>
    <w:p w14:paraId="621A02BB">
      <w:pPr>
        <w:tabs>
          <w:tab w:val="left" w:pos="900"/>
        </w:tabs>
        <w:spacing w:line="360" w:lineRule="auto"/>
        <w:jc w:val="both"/>
        <w:rPr>
          <w:rFonts w:eastAsia="楷体_GB2312"/>
          <w:lang w:eastAsia="zh-CN"/>
        </w:rPr>
      </w:pPr>
    </w:p>
    <w:p w14:paraId="1AE7B247">
      <w:pPr>
        <w:widowControl w:val="0"/>
        <w:numPr>
          <w:ilvl w:val="1"/>
          <w:numId w:val="8"/>
        </w:numPr>
        <w:spacing w:line="360" w:lineRule="auto"/>
        <w:jc w:val="both"/>
        <w:rPr>
          <w:rFonts w:eastAsia="楷体_GB2312"/>
          <w:lang w:eastAsia="zh-CN"/>
        </w:rPr>
      </w:pPr>
      <w:r>
        <w:rPr>
          <w:rFonts w:eastAsia="楷体_GB2312"/>
          <w:lang w:eastAsia="zh-CN"/>
        </w:rPr>
        <w:t>通过“信托”的设立，实现初始“基础资产”与“委托人”的其他自有资产的风险隔离，实现初始“基础资产”与“受托人”自身的破产风险相隔离，实现投资者以“信托财产”为限进行追索，从而保护“资产支持证券持有人”的利益，提高金融资源优化配置效率。</w:t>
      </w:r>
    </w:p>
    <w:p w14:paraId="45AF0850">
      <w:pPr>
        <w:spacing w:line="360" w:lineRule="auto"/>
        <w:jc w:val="both"/>
        <w:rPr>
          <w:rFonts w:eastAsia="楷体_GB2312"/>
          <w:bCs/>
          <w:lang w:eastAsia="zh-CN"/>
        </w:rPr>
      </w:pPr>
    </w:p>
    <w:p w14:paraId="66DEB994">
      <w:pPr>
        <w:widowControl w:val="0"/>
        <w:numPr>
          <w:ilvl w:val="0"/>
          <w:numId w:val="8"/>
        </w:numPr>
        <w:spacing w:line="360" w:lineRule="auto"/>
        <w:jc w:val="both"/>
        <w:outlineLvl w:val="0"/>
        <w:rPr>
          <w:rFonts w:eastAsia="楷体_GB2312"/>
          <w:b/>
        </w:rPr>
      </w:pPr>
      <w:bookmarkStart w:id="21" w:name="_Toc201569374"/>
      <w:bookmarkStart w:id="22" w:name="_Toc75510462"/>
      <w:bookmarkStart w:id="23" w:name="_Toc207007299"/>
      <w:bookmarkStart w:id="24" w:name="_Toc69138580"/>
      <w:bookmarkStart w:id="25" w:name="_Toc110153413"/>
      <w:bookmarkStart w:id="26" w:name="_Toc111281765"/>
      <w:bookmarkStart w:id="27" w:name="_Toc454484850"/>
      <w:bookmarkStart w:id="28" w:name="_Toc92612903"/>
      <w:bookmarkStart w:id="29" w:name="_Toc227955277"/>
      <w:bookmarkStart w:id="30" w:name="_Toc166105863"/>
      <w:r>
        <w:rPr>
          <w:rFonts w:eastAsia="楷体_GB2312"/>
          <w:b/>
        </w:rPr>
        <w:t>信托的设立</w:t>
      </w:r>
      <w:bookmarkEnd w:id="21"/>
      <w:bookmarkEnd w:id="22"/>
      <w:bookmarkEnd w:id="23"/>
      <w:bookmarkEnd w:id="24"/>
      <w:bookmarkEnd w:id="25"/>
      <w:bookmarkEnd w:id="26"/>
      <w:bookmarkEnd w:id="27"/>
      <w:bookmarkEnd w:id="28"/>
      <w:bookmarkEnd w:id="29"/>
      <w:bookmarkEnd w:id="30"/>
    </w:p>
    <w:p w14:paraId="09825EC7">
      <w:pPr>
        <w:spacing w:line="360" w:lineRule="auto"/>
        <w:jc w:val="both"/>
        <w:rPr>
          <w:rFonts w:eastAsia="楷体_GB2312"/>
          <w:b/>
        </w:rPr>
      </w:pPr>
    </w:p>
    <w:p w14:paraId="697A9D01">
      <w:pPr>
        <w:widowControl w:val="0"/>
        <w:numPr>
          <w:ilvl w:val="1"/>
          <w:numId w:val="8"/>
        </w:numPr>
        <w:tabs>
          <w:tab w:val="left" w:pos="900"/>
          <w:tab w:val="clear" w:pos="992"/>
        </w:tabs>
        <w:spacing w:line="360" w:lineRule="auto"/>
        <w:jc w:val="both"/>
        <w:outlineLvl w:val="1"/>
        <w:rPr>
          <w:rFonts w:eastAsia="楷体_GB2312"/>
          <w:b/>
        </w:rPr>
      </w:pPr>
      <w:bookmarkStart w:id="31" w:name="_Toc110153414"/>
      <w:bookmarkStart w:id="32" w:name="_Toc201569375"/>
      <w:bookmarkStart w:id="33" w:name="_Toc111281766"/>
      <w:r>
        <w:rPr>
          <w:rFonts w:eastAsia="楷体_GB2312"/>
          <w:b/>
        </w:rPr>
        <w:t>信托的名称</w:t>
      </w:r>
      <w:bookmarkEnd w:id="31"/>
      <w:bookmarkEnd w:id="32"/>
      <w:bookmarkEnd w:id="33"/>
    </w:p>
    <w:p w14:paraId="1FE62FB8">
      <w:pPr>
        <w:spacing w:line="360" w:lineRule="auto"/>
        <w:ind w:left="420"/>
        <w:jc w:val="both"/>
        <w:rPr>
          <w:rFonts w:eastAsia="楷体_GB2312"/>
          <w:b/>
        </w:rPr>
      </w:pPr>
    </w:p>
    <w:p w14:paraId="5CC15F16">
      <w:pPr>
        <w:spacing w:line="360" w:lineRule="auto"/>
        <w:ind w:left="840" w:firstLine="57" w:firstLineChars="24"/>
        <w:jc w:val="both"/>
        <w:rPr>
          <w:rFonts w:eastAsia="楷体_GB2312"/>
          <w:bCs/>
          <w:lang w:eastAsia="zh-CN"/>
        </w:rPr>
      </w:pPr>
      <w:r>
        <w:rPr>
          <w:rFonts w:eastAsia="楷体_GB2312"/>
          <w:lang w:eastAsia="zh-CN"/>
        </w:rPr>
        <w:t>“</w:t>
      </w:r>
      <w:r>
        <w:rPr>
          <w:rFonts w:eastAsia="楷体_GB2312"/>
          <w:bCs/>
          <w:lang w:eastAsia="zh-CN"/>
        </w:rPr>
        <w:t>信托</w:t>
      </w:r>
      <w:r>
        <w:rPr>
          <w:rFonts w:eastAsia="楷体_GB2312"/>
          <w:lang w:eastAsia="zh-CN"/>
        </w:rPr>
        <w:t>”</w:t>
      </w:r>
      <w:r>
        <w:rPr>
          <w:rFonts w:eastAsia="楷体_GB2312"/>
          <w:bCs/>
          <w:lang w:eastAsia="zh-CN"/>
        </w:rPr>
        <w:t>的名称为：【信托名称】。</w:t>
      </w:r>
    </w:p>
    <w:p w14:paraId="0169C682">
      <w:pPr>
        <w:spacing w:line="360" w:lineRule="auto"/>
        <w:jc w:val="both"/>
        <w:rPr>
          <w:rFonts w:eastAsia="楷体_GB2312"/>
          <w:bCs/>
          <w:lang w:eastAsia="zh-CN"/>
        </w:rPr>
      </w:pPr>
    </w:p>
    <w:p w14:paraId="51F111D6">
      <w:pPr>
        <w:widowControl w:val="0"/>
        <w:numPr>
          <w:ilvl w:val="1"/>
          <w:numId w:val="8"/>
        </w:numPr>
        <w:tabs>
          <w:tab w:val="clear" w:pos="992"/>
        </w:tabs>
        <w:spacing w:line="360" w:lineRule="auto"/>
        <w:jc w:val="both"/>
        <w:outlineLvl w:val="1"/>
        <w:rPr>
          <w:rFonts w:eastAsia="楷体_GB2312"/>
          <w:b/>
        </w:rPr>
      </w:pPr>
      <w:bookmarkStart w:id="34" w:name="_Toc106417340"/>
      <w:bookmarkEnd w:id="34"/>
      <w:bookmarkStart w:id="35" w:name="_Toc110153415"/>
      <w:bookmarkStart w:id="36" w:name="_Toc201569376"/>
      <w:bookmarkStart w:id="37" w:name="_Toc111281767"/>
      <w:bookmarkStart w:id="38" w:name="_Toc92612904"/>
      <w:r>
        <w:rPr>
          <w:rFonts w:eastAsia="楷体_GB2312"/>
          <w:b/>
        </w:rPr>
        <w:t>信托类别</w:t>
      </w:r>
    </w:p>
    <w:p w14:paraId="284629D1">
      <w:pPr>
        <w:spacing w:line="360" w:lineRule="auto"/>
        <w:ind w:left="840" w:firstLine="57" w:firstLineChars="24"/>
        <w:jc w:val="both"/>
        <w:rPr>
          <w:rFonts w:eastAsia="楷体_GB2312"/>
          <w:lang w:eastAsia="zh-CN"/>
        </w:rPr>
      </w:pPr>
      <w:r>
        <w:rPr>
          <w:rFonts w:eastAsia="楷体_GB2312"/>
        </w:rPr>
        <w:t>“信托”的类别为：资产证券化服务信托。</w:t>
      </w:r>
    </w:p>
    <w:p w14:paraId="26BF0B86">
      <w:pPr>
        <w:spacing w:line="360" w:lineRule="auto"/>
        <w:ind w:left="840" w:firstLine="58" w:firstLineChars="24"/>
        <w:jc w:val="both"/>
        <w:rPr>
          <w:rFonts w:eastAsia="楷体_GB2312"/>
          <w:b/>
          <w:lang w:eastAsia="zh-CN"/>
        </w:rPr>
      </w:pPr>
    </w:p>
    <w:p w14:paraId="0A29C9EE">
      <w:pPr>
        <w:widowControl w:val="0"/>
        <w:numPr>
          <w:ilvl w:val="1"/>
          <w:numId w:val="8"/>
        </w:numPr>
        <w:tabs>
          <w:tab w:val="clear" w:pos="992"/>
        </w:tabs>
        <w:spacing w:line="360" w:lineRule="auto"/>
        <w:jc w:val="both"/>
        <w:outlineLvl w:val="1"/>
        <w:rPr>
          <w:rFonts w:eastAsia="楷体_GB2312"/>
          <w:b/>
        </w:rPr>
      </w:pPr>
      <w:r>
        <w:rPr>
          <w:rFonts w:eastAsia="楷体_GB2312"/>
          <w:b/>
        </w:rPr>
        <w:t>信托业务品种</w:t>
      </w:r>
    </w:p>
    <w:p w14:paraId="0034766C">
      <w:pPr>
        <w:spacing w:line="360" w:lineRule="auto"/>
        <w:ind w:left="840" w:firstLine="57" w:firstLineChars="24"/>
        <w:jc w:val="both"/>
        <w:rPr>
          <w:rFonts w:eastAsia="楷体_GB2312"/>
        </w:rPr>
      </w:pPr>
      <w:r>
        <w:rPr>
          <w:rFonts w:eastAsia="楷体_GB2312"/>
        </w:rPr>
        <w:t>“信托”的业务品种为：信贷资产证券化服务信托。</w:t>
      </w:r>
    </w:p>
    <w:p w14:paraId="77AFC13B">
      <w:pPr>
        <w:spacing w:line="360" w:lineRule="auto"/>
        <w:ind w:left="840" w:firstLine="58" w:firstLineChars="24"/>
        <w:jc w:val="both"/>
        <w:rPr>
          <w:rFonts w:eastAsia="楷体_GB2312"/>
          <w:b/>
        </w:rPr>
      </w:pPr>
    </w:p>
    <w:p w14:paraId="2C94F6E3">
      <w:pPr>
        <w:widowControl w:val="0"/>
        <w:numPr>
          <w:ilvl w:val="1"/>
          <w:numId w:val="8"/>
        </w:numPr>
        <w:tabs>
          <w:tab w:val="clear" w:pos="992"/>
        </w:tabs>
        <w:spacing w:line="360" w:lineRule="auto"/>
        <w:jc w:val="both"/>
        <w:outlineLvl w:val="1"/>
        <w:rPr>
          <w:rFonts w:eastAsia="楷体_GB2312"/>
          <w:b/>
        </w:rPr>
      </w:pPr>
      <w:r>
        <w:rPr>
          <w:rFonts w:eastAsia="楷体_GB2312"/>
          <w:b/>
        </w:rPr>
        <w:t>信托当事人</w:t>
      </w:r>
      <w:bookmarkEnd w:id="35"/>
      <w:bookmarkEnd w:id="36"/>
      <w:bookmarkEnd w:id="37"/>
      <w:bookmarkEnd w:id="38"/>
    </w:p>
    <w:p w14:paraId="69D02D77">
      <w:pPr>
        <w:tabs>
          <w:tab w:val="left" w:pos="900"/>
        </w:tabs>
        <w:spacing w:line="360" w:lineRule="auto"/>
        <w:jc w:val="both"/>
        <w:rPr>
          <w:rFonts w:eastAsia="楷体_GB2312"/>
          <w:b/>
        </w:rPr>
      </w:pPr>
    </w:p>
    <w:p w14:paraId="726D279D">
      <w:pPr>
        <w:widowControl w:val="0"/>
        <w:numPr>
          <w:ilvl w:val="2"/>
          <w:numId w:val="8"/>
        </w:numPr>
        <w:tabs>
          <w:tab w:val="left" w:pos="1620"/>
        </w:tabs>
        <w:spacing w:line="360" w:lineRule="auto"/>
        <w:ind w:left="1620" w:hanging="769"/>
        <w:jc w:val="both"/>
        <w:rPr>
          <w:rFonts w:eastAsia="楷体_GB2312"/>
          <w:b/>
          <w:bCs/>
          <w:lang w:eastAsia="zh-CN"/>
        </w:rPr>
      </w:pPr>
      <w:r>
        <w:rPr>
          <w:rFonts w:eastAsia="楷体_GB2312"/>
          <w:b/>
          <w:bCs/>
          <w:lang w:eastAsia="zh-CN"/>
        </w:rPr>
        <w:t>委托人：</w:t>
      </w:r>
      <w:r>
        <w:rPr>
          <w:rFonts w:eastAsia="楷体_GB2312"/>
          <w:bCs/>
          <w:lang w:eastAsia="zh-CN"/>
        </w:rPr>
        <w:t>“信托”的“委托人”为</w:t>
      </w:r>
      <w:r>
        <w:rPr>
          <w:rFonts w:eastAsia="楷体_GB2312"/>
          <w:lang w:eastAsia="zh-CN"/>
        </w:rPr>
        <w:t>【发起机构全称】。</w:t>
      </w:r>
    </w:p>
    <w:p w14:paraId="609595C3">
      <w:pPr>
        <w:spacing w:line="360" w:lineRule="auto"/>
        <w:jc w:val="both"/>
        <w:rPr>
          <w:rFonts w:eastAsia="楷体_GB2312"/>
          <w:b/>
          <w:bCs/>
          <w:lang w:eastAsia="zh-CN"/>
        </w:rPr>
      </w:pPr>
    </w:p>
    <w:p w14:paraId="659F510C">
      <w:pPr>
        <w:widowControl w:val="0"/>
        <w:numPr>
          <w:ilvl w:val="2"/>
          <w:numId w:val="8"/>
        </w:numPr>
        <w:tabs>
          <w:tab w:val="left" w:pos="1620"/>
        </w:tabs>
        <w:spacing w:line="360" w:lineRule="auto"/>
        <w:ind w:left="1620" w:hanging="769"/>
        <w:jc w:val="both"/>
        <w:rPr>
          <w:rFonts w:eastAsia="楷体_GB2312"/>
          <w:b/>
          <w:bCs/>
          <w:lang w:eastAsia="zh-CN"/>
        </w:rPr>
      </w:pPr>
      <w:r>
        <w:rPr>
          <w:rFonts w:eastAsia="楷体_GB2312"/>
          <w:b/>
          <w:bCs/>
          <w:lang w:eastAsia="zh-CN"/>
        </w:rPr>
        <w:t>受托人：</w:t>
      </w:r>
      <w:r>
        <w:rPr>
          <w:rFonts w:eastAsia="楷体_GB2312"/>
          <w:bCs/>
          <w:lang w:eastAsia="zh-CN"/>
        </w:rPr>
        <w:t>“信托”的“受托人”为【受托机构全称】。</w:t>
      </w:r>
    </w:p>
    <w:p w14:paraId="2BF53930">
      <w:pPr>
        <w:spacing w:line="360" w:lineRule="auto"/>
        <w:jc w:val="both"/>
        <w:rPr>
          <w:rFonts w:eastAsia="楷体_GB2312"/>
          <w:b/>
          <w:bCs/>
          <w:lang w:eastAsia="zh-CN"/>
        </w:rPr>
      </w:pPr>
    </w:p>
    <w:p w14:paraId="799FBBA1">
      <w:pPr>
        <w:widowControl w:val="0"/>
        <w:numPr>
          <w:ilvl w:val="2"/>
          <w:numId w:val="8"/>
        </w:numPr>
        <w:tabs>
          <w:tab w:val="left" w:pos="1620"/>
        </w:tabs>
        <w:spacing w:line="360" w:lineRule="auto"/>
        <w:ind w:left="1620" w:hanging="769"/>
        <w:jc w:val="both"/>
        <w:rPr>
          <w:rFonts w:eastAsia="楷体_GB2312"/>
          <w:b/>
          <w:bCs/>
          <w:lang w:eastAsia="zh-CN"/>
        </w:rPr>
      </w:pPr>
      <w:r>
        <w:rPr>
          <w:rFonts w:eastAsia="楷体_GB2312"/>
          <w:b/>
          <w:bCs/>
          <w:lang w:eastAsia="zh-CN"/>
        </w:rPr>
        <w:t>受益人：</w:t>
      </w:r>
      <w:r>
        <w:rPr>
          <w:rFonts w:eastAsia="楷体_GB2312"/>
          <w:bCs/>
          <w:lang w:eastAsia="zh-CN"/>
        </w:rPr>
        <w:t>“信托”的“受益人”为</w:t>
      </w:r>
      <w:r>
        <w:rPr>
          <w:rFonts w:eastAsia="楷体_GB2312"/>
          <w:lang w:eastAsia="zh-CN"/>
        </w:rPr>
        <w:t>“</w:t>
      </w:r>
      <w:r>
        <w:rPr>
          <w:rFonts w:eastAsia="楷体_GB2312"/>
          <w:bCs/>
          <w:lang w:eastAsia="zh-CN"/>
        </w:rPr>
        <w:t>资产支持证券持有人</w:t>
      </w:r>
      <w:r>
        <w:rPr>
          <w:rFonts w:eastAsia="楷体_GB2312"/>
          <w:lang w:eastAsia="zh-CN"/>
        </w:rPr>
        <w:t>”</w:t>
      </w:r>
      <w:r>
        <w:rPr>
          <w:rFonts w:eastAsia="楷体_GB2312"/>
          <w:bCs/>
          <w:lang w:eastAsia="zh-CN"/>
        </w:rPr>
        <w:t>。其中，“资产支持证券持有人”分为“优先级资产支持证券持有人”和“次级资产支持证券持有人”。</w:t>
      </w:r>
    </w:p>
    <w:p w14:paraId="7FEDFD7B">
      <w:pPr>
        <w:pStyle w:val="40"/>
        <w:spacing w:line="360" w:lineRule="auto"/>
        <w:ind w:left="1560" w:leftChars="650" w:firstLine="0" w:firstLineChars="0"/>
        <w:jc w:val="both"/>
        <w:rPr>
          <w:rFonts w:eastAsia="楷体_GB2312"/>
          <w:b/>
          <w:bCs/>
          <w:color w:val="FF0000"/>
          <w:lang w:eastAsia="zh-CN"/>
        </w:rPr>
      </w:pPr>
      <w:r>
        <w:rPr>
          <w:rFonts w:eastAsia="楷体_GB2312"/>
          <w:b/>
          <w:bCs/>
          <w:i/>
          <w:iCs/>
          <w:color w:val="FF0000"/>
          <w:lang w:eastAsia="zh-CN"/>
        </w:rPr>
        <w:t>【注：关于资产支持持有人的实际种类，可根据项目实际情况进行调整。】</w:t>
      </w:r>
    </w:p>
    <w:p w14:paraId="68224A66">
      <w:pPr>
        <w:spacing w:line="360" w:lineRule="auto"/>
        <w:jc w:val="both"/>
        <w:rPr>
          <w:rFonts w:eastAsia="楷体_GB2312"/>
          <w:bCs/>
          <w:lang w:eastAsia="zh-CN"/>
        </w:rPr>
      </w:pPr>
    </w:p>
    <w:p w14:paraId="068D087E">
      <w:pPr>
        <w:widowControl w:val="0"/>
        <w:numPr>
          <w:ilvl w:val="1"/>
          <w:numId w:val="8"/>
        </w:numPr>
        <w:tabs>
          <w:tab w:val="left" w:pos="900"/>
        </w:tabs>
        <w:spacing w:line="360" w:lineRule="auto"/>
        <w:jc w:val="both"/>
        <w:outlineLvl w:val="1"/>
        <w:rPr>
          <w:rFonts w:eastAsia="楷体_GB2312"/>
          <w:b/>
        </w:rPr>
      </w:pPr>
      <w:bookmarkStart w:id="39" w:name="_Toc110153416"/>
      <w:bookmarkStart w:id="40" w:name="_Toc92612905"/>
      <w:bookmarkStart w:id="41" w:name="_Toc111281768"/>
      <w:bookmarkStart w:id="42" w:name="_Toc201569377"/>
      <w:r>
        <w:rPr>
          <w:rFonts w:eastAsia="楷体_GB2312"/>
          <w:b/>
        </w:rPr>
        <w:t>信托声明</w:t>
      </w:r>
      <w:bookmarkEnd w:id="39"/>
      <w:bookmarkEnd w:id="40"/>
      <w:bookmarkEnd w:id="41"/>
      <w:bookmarkEnd w:id="42"/>
    </w:p>
    <w:p w14:paraId="6B8B90A7">
      <w:pPr>
        <w:tabs>
          <w:tab w:val="left" w:pos="900"/>
        </w:tabs>
        <w:spacing w:line="360" w:lineRule="auto"/>
        <w:jc w:val="both"/>
        <w:rPr>
          <w:rFonts w:eastAsia="楷体_GB2312"/>
          <w:b/>
        </w:rPr>
      </w:pPr>
    </w:p>
    <w:p w14:paraId="6439506D">
      <w:pPr>
        <w:widowControl w:val="0"/>
        <w:numPr>
          <w:ilvl w:val="2"/>
          <w:numId w:val="8"/>
        </w:numPr>
        <w:tabs>
          <w:tab w:val="left" w:pos="1620"/>
        </w:tabs>
        <w:spacing w:line="360" w:lineRule="auto"/>
        <w:ind w:left="1620" w:hanging="769"/>
        <w:jc w:val="both"/>
        <w:rPr>
          <w:rFonts w:eastAsia="楷体_GB2312"/>
          <w:bCs/>
          <w:lang w:eastAsia="zh-CN"/>
        </w:rPr>
      </w:pPr>
      <w:r>
        <w:rPr>
          <w:rFonts w:eastAsia="楷体_GB2312"/>
          <w:lang w:eastAsia="zh-CN"/>
        </w:rPr>
        <w:t>“</w:t>
      </w:r>
      <w:r>
        <w:rPr>
          <w:rFonts w:eastAsia="楷体_GB2312"/>
          <w:bCs/>
          <w:lang w:eastAsia="zh-CN"/>
        </w:rPr>
        <w:t>委托人</w:t>
      </w:r>
      <w:r>
        <w:rPr>
          <w:rFonts w:eastAsia="楷体_GB2312"/>
          <w:lang w:eastAsia="zh-CN"/>
        </w:rPr>
        <w:t>”</w:t>
      </w:r>
      <w:r>
        <w:rPr>
          <w:rFonts w:eastAsia="楷体_GB2312"/>
          <w:bCs/>
          <w:lang w:eastAsia="zh-CN"/>
        </w:rPr>
        <w:t>自愿按照本合同的约定将其合法所有并且依法可以转让的初始</w:t>
      </w:r>
      <w:r>
        <w:rPr>
          <w:rFonts w:eastAsia="楷体_GB2312"/>
          <w:lang w:eastAsia="zh-CN"/>
        </w:rPr>
        <w:t>“基础</w:t>
      </w:r>
      <w:r>
        <w:rPr>
          <w:rFonts w:eastAsia="楷体_GB2312"/>
          <w:bCs/>
          <w:lang w:eastAsia="zh-CN"/>
        </w:rPr>
        <w:t>资产</w:t>
      </w:r>
      <w:r>
        <w:rPr>
          <w:rFonts w:eastAsia="楷体_GB2312"/>
          <w:lang w:eastAsia="zh-CN"/>
        </w:rPr>
        <w:t>”作为“信托财产”</w:t>
      </w:r>
      <w:r>
        <w:rPr>
          <w:rFonts w:eastAsia="楷体_GB2312"/>
          <w:bCs/>
          <w:lang w:eastAsia="zh-CN"/>
        </w:rPr>
        <w:t>委托给</w:t>
      </w:r>
      <w:r>
        <w:rPr>
          <w:rFonts w:eastAsia="楷体_GB2312"/>
          <w:lang w:eastAsia="zh-CN"/>
        </w:rPr>
        <w:t>“</w:t>
      </w:r>
      <w:r>
        <w:rPr>
          <w:rFonts w:eastAsia="楷体_GB2312"/>
          <w:bCs/>
          <w:lang w:eastAsia="zh-CN"/>
        </w:rPr>
        <w:t>受托人</w:t>
      </w:r>
      <w:r>
        <w:rPr>
          <w:rFonts w:eastAsia="楷体_GB2312"/>
          <w:lang w:eastAsia="zh-CN"/>
        </w:rPr>
        <w:t>”</w:t>
      </w:r>
      <w:r>
        <w:rPr>
          <w:rFonts w:eastAsia="楷体_GB2312"/>
          <w:bCs/>
          <w:lang w:eastAsia="zh-CN"/>
        </w:rPr>
        <w:t>设立</w:t>
      </w:r>
      <w:r>
        <w:rPr>
          <w:rFonts w:eastAsia="楷体_GB2312"/>
          <w:lang w:eastAsia="zh-CN"/>
        </w:rPr>
        <w:t>“</w:t>
      </w:r>
      <w:r>
        <w:rPr>
          <w:rFonts w:eastAsia="楷体_GB2312"/>
          <w:bCs/>
          <w:lang w:eastAsia="zh-CN"/>
        </w:rPr>
        <w:t>信托</w:t>
      </w:r>
      <w:r>
        <w:rPr>
          <w:rFonts w:eastAsia="楷体_GB2312"/>
          <w:lang w:eastAsia="zh-CN"/>
        </w:rPr>
        <w:t>”</w:t>
      </w:r>
      <w:r>
        <w:rPr>
          <w:rFonts w:eastAsia="楷体_GB2312"/>
          <w:bCs/>
          <w:lang w:eastAsia="zh-CN"/>
        </w:rPr>
        <w:t>。</w:t>
      </w:r>
    </w:p>
    <w:p w14:paraId="05CF45E2">
      <w:pPr>
        <w:tabs>
          <w:tab w:val="left" w:pos="900"/>
        </w:tabs>
        <w:spacing w:line="360" w:lineRule="auto"/>
        <w:jc w:val="both"/>
        <w:rPr>
          <w:rFonts w:eastAsia="楷体_GB2312"/>
          <w:b/>
          <w:bCs/>
          <w:lang w:eastAsia="zh-CN"/>
        </w:rPr>
      </w:pPr>
    </w:p>
    <w:p w14:paraId="7BB8B23C">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w:t>
      </w:r>
      <w:r>
        <w:rPr>
          <w:rFonts w:eastAsia="楷体_GB2312"/>
          <w:bCs/>
          <w:lang w:eastAsia="zh-CN"/>
        </w:rPr>
        <w:t>受托人</w:t>
      </w:r>
      <w:r>
        <w:rPr>
          <w:rFonts w:eastAsia="楷体_GB2312"/>
          <w:lang w:eastAsia="zh-CN"/>
        </w:rPr>
        <w:t>”</w:t>
      </w:r>
      <w:r>
        <w:rPr>
          <w:rFonts w:eastAsia="楷体_GB2312"/>
          <w:bCs/>
          <w:lang w:eastAsia="zh-CN"/>
        </w:rPr>
        <w:t>同意接受</w:t>
      </w:r>
      <w:r>
        <w:rPr>
          <w:rFonts w:eastAsia="楷体_GB2312"/>
          <w:lang w:eastAsia="zh-CN"/>
        </w:rPr>
        <w:t>“</w:t>
      </w:r>
      <w:r>
        <w:rPr>
          <w:rFonts w:eastAsia="楷体_GB2312"/>
          <w:bCs/>
          <w:lang w:eastAsia="zh-CN"/>
        </w:rPr>
        <w:t>委托人</w:t>
      </w:r>
      <w:r>
        <w:rPr>
          <w:rFonts w:eastAsia="楷体_GB2312"/>
          <w:lang w:eastAsia="zh-CN"/>
        </w:rPr>
        <w:t>”的委托</w:t>
      </w:r>
      <w:r>
        <w:rPr>
          <w:rFonts w:eastAsia="楷体_GB2312"/>
          <w:bCs/>
          <w:lang w:eastAsia="zh-CN"/>
        </w:rPr>
        <w:t>，并按本合同的约定以自己的名义，按本合同的约定管理、运用、处分</w:t>
      </w:r>
      <w:r>
        <w:rPr>
          <w:rFonts w:eastAsia="楷体_GB2312"/>
          <w:lang w:eastAsia="zh-CN"/>
        </w:rPr>
        <w:t>“</w:t>
      </w:r>
      <w:r>
        <w:rPr>
          <w:rFonts w:eastAsia="楷体_GB2312"/>
          <w:bCs/>
          <w:lang w:eastAsia="zh-CN"/>
        </w:rPr>
        <w:t>信托财产</w:t>
      </w:r>
      <w:r>
        <w:rPr>
          <w:rFonts w:eastAsia="楷体_GB2312"/>
          <w:lang w:eastAsia="zh-CN"/>
        </w:rPr>
        <w:t>”</w:t>
      </w:r>
      <w:r>
        <w:rPr>
          <w:rFonts w:eastAsia="楷体_GB2312"/>
          <w:bCs/>
          <w:lang w:eastAsia="zh-CN"/>
        </w:rPr>
        <w:t>。</w:t>
      </w:r>
    </w:p>
    <w:p w14:paraId="779A9E68">
      <w:pPr>
        <w:pStyle w:val="9"/>
        <w:spacing w:after="0" w:line="360" w:lineRule="auto"/>
        <w:ind w:left="0"/>
        <w:jc w:val="both"/>
        <w:rPr>
          <w:rFonts w:eastAsia="楷体_GB2312"/>
          <w:lang w:eastAsia="zh-CN"/>
        </w:rPr>
      </w:pPr>
    </w:p>
    <w:p w14:paraId="01BBEA4E">
      <w:pPr>
        <w:widowControl w:val="0"/>
        <w:numPr>
          <w:ilvl w:val="1"/>
          <w:numId w:val="8"/>
        </w:numPr>
        <w:tabs>
          <w:tab w:val="left" w:pos="900"/>
        </w:tabs>
        <w:spacing w:line="360" w:lineRule="auto"/>
        <w:jc w:val="both"/>
        <w:outlineLvl w:val="1"/>
        <w:rPr>
          <w:rFonts w:eastAsia="楷体_GB2312"/>
          <w:b/>
          <w:lang w:eastAsia="zh-CN"/>
        </w:rPr>
      </w:pPr>
      <w:bookmarkStart w:id="43" w:name="_Toc110370835"/>
      <w:bookmarkEnd w:id="43"/>
      <w:bookmarkStart w:id="44" w:name="_Toc110370632"/>
      <w:bookmarkEnd w:id="44"/>
      <w:bookmarkStart w:id="45" w:name="_Toc110370633"/>
      <w:bookmarkEnd w:id="45"/>
      <w:bookmarkStart w:id="46" w:name="_Toc110370834"/>
      <w:bookmarkEnd w:id="46"/>
      <w:bookmarkStart w:id="47" w:name="_Toc110153418"/>
      <w:bookmarkEnd w:id="47"/>
      <w:bookmarkStart w:id="48" w:name="_Toc110153417"/>
      <w:bookmarkEnd w:id="48"/>
      <w:bookmarkStart w:id="49" w:name="_Ref201577470"/>
      <w:r>
        <w:rPr>
          <w:rFonts w:eastAsia="楷体_GB2312"/>
          <w:b/>
          <w:lang w:eastAsia="zh-CN"/>
        </w:rPr>
        <w:t>初始基础资产</w:t>
      </w:r>
      <w:r>
        <w:rPr>
          <w:rFonts w:eastAsia="楷体_GB2312"/>
          <w:b/>
        </w:rPr>
        <w:t>的信托</w:t>
      </w:r>
      <w:bookmarkEnd w:id="49"/>
    </w:p>
    <w:p w14:paraId="211862D1">
      <w:pPr>
        <w:tabs>
          <w:tab w:val="left" w:pos="900"/>
        </w:tabs>
        <w:spacing w:line="360" w:lineRule="auto"/>
        <w:jc w:val="both"/>
        <w:rPr>
          <w:rFonts w:eastAsia="楷体_GB2312"/>
          <w:b/>
        </w:rPr>
      </w:pPr>
    </w:p>
    <w:p w14:paraId="3F93B369">
      <w:pPr>
        <w:widowControl w:val="0"/>
        <w:numPr>
          <w:ilvl w:val="2"/>
          <w:numId w:val="8"/>
        </w:numPr>
        <w:tabs>
          <w:tab w:val="left" w:pos="1620"/>
        </w:tabs>
        <w:spacing w:line="360" w:lineRule="auto"/>
        <w:ind w:left="1620" w:hanging="769"/>
        <w:jc w:val="both"/>
        <w:rPr>
          <w:rFonts w:eastAsia="楷体_GB2312"/>
          <w:bCs/>
          <w:lang w:eastAsia="zh-CN"/>
        </w:rPr>
      </w:pPr>
      <w:bookmarkStart w:id="50" w:name="_Ref182055956"/>
      <w:bookmarkStart w:id="51" w:name="_Ref74326349"/>
      <w:r>
        <w:rPr>
          <w:rFonts w:eastAsia="楷体_GB2312"/>
          <w:bCs/>
          <w:lang w:eastAsia="zh-CN"/>
        </w:rPr>
        <w:t>自“信托生效日”起，“委托人”为“受益人”的利益，将自“初始起算日”（含该日）起“委托人”对于以下财产的（现时的和未来的、实际的和或有的）全部权利、权益、利益和收益，包括但不限于：(1)以下财产所收到的到期或将到期的全部回收款项；(2)以下财产被转让、被出售、被拍卖、被变卖或者被以其他方式处置所获得的全部款项；(3)请求、起诉、收回、接受与以下财产相关的全部应偿付款项（不论其是否应由“借款人”偿付）的权利；(4)来自与以下财产相关的利益以及强制执行以下财产的全部权利和法律救济，均信托予“受托人”</w:t>
      </w:r>
      <w:bookmarkEnd w:id="50"/>
      <w:r>
        <w:rPr>
          <w:rFonts w:eastAsia="楷体_GB2312"/>
          <w:bCs/>
          <w:lang w:eastAsia="zh-CN"/>
        </w:rPr>
        <w:t>；</w:t>
      </w:r>
      <w:bookmarkEnd w:id="51"/>
    </w:p>
    <w:p w14:paraId="20569891">
      <w:pPr>
        <w:pStyle w:val="50"/>
        <w:spacing w:after="0" w:line="360" w:lineRule="auto"/>
        <w:ind w:left="1844"/>
        <w:rPr>
          <w:rFonts w:eastAsia="楷体_GB2312"/>
          <w:bCs/>
          <w:lang w:eastAsia="zh-CN"/>
        </w:rPr>
      </w:pPr>
    </w:p>
    <w:p w14:paraId="3527A8DA">
      <w:pPr>
        <w:widowControl w:val="0"/>
        <w:numPr>
          <w:ilvl w:val="0"/>
          <w:numId w:val="9"/>
        </w:numPr>
        <w:tabs>
          <w:tab w:val="left" w:pos="2127"/>
          <w:tab w:val="clear" w:pos="2040"/>
        </w:tabs>
        <w:spacing w:line="360" w:lineRule="auto"/>
        <w:ind w:left="2131" w:leftChars="711" w:hanging="425"/>
        <w:jc w:val="both"/>
        <w:rPr>
          <w:rFonts w:eastAsia="楷体_GB2312"/>
          <w:lang w:eastAsia="zh-CN"/>
        </w:rPr>
      </w:pPr>
      <w:bookmarkStart w:id="52" w:name="_Ref182885984"/>
      <w:r>
        <w:rPr>
          <w:rFonts w:eastAsia="楷体_GB2312"/>
          <w:lang w:eastAsia="zh-CN"/>
        </w:rPr>
        <w:t>“基础资产清单”中所列的在“初始起算日”存在的全部“个人汽车贷款”以及该等“个人汽车贷款”的全部“附属权益”；</w:t>
      </w:r>
      <w:bookmarkEnd w:id="52"/>
    </w:p>
    <w:p w14:paraId="4D85732F">
      <w:pPr>
        <w:widowControl w:val="0"/>
        <w:spacing w:line="360" w:lineRule="auto"/>
        <w:ind w:left="2040"/>
        <w:jc w:val="both"/>
        <w:rPr>
          <w:rFonts w:eastAsia="楷体_GB2312"/>
          <w:lang w:eastAsia="zh-CN"/>
        </w:rPr>
      </w:pPr>
    </w:p>
    <w:p w14:paraId="13A0B090">
      <w:pPr>
        <w:widowControl w:val="0"/>
        <w:numPr>
          <w:ilvl w:val="0"/>
          <w:numId w:val="9"/>
        </w:numPr>
        <w:tabs>
          <w:tab w:val="left" w:pos="2127"/>
          <w:tab w:val="clear" w:pos="2040"/>
        </w:tabs>
        <w:spacing w:line="360" w:lineRule="auto"/>
        <w:ind w:left="2131" w:leftChars="711" w:hanging="425"/>
        <w:jc w:val="both"/>
        <w:rPr>
          <w:rFonts w:eastAsia="楷体_GB2312"/>
          <w:lang w:eastAsia="zh-CN"/>
        </w:rPr>
      </w:pPr>
      <w:r>
        <w:rPr>
          <w:rFonts w:eastAsia="楷体_GB2312"/>
          <w:lang w:eastAsia="zh-CN"/>
        </w:rPr>
        <w:t>自“初始起算日”（含该日）起至“信托财产交付日”（不含该日）初始“基础资产”实际收到的全部“回收款”。</w:t>
      </w:r>
    </w:p>
    <w:p w14:paraId="16A239AA">
      <w:pPr>
        <w:pStyle w:val="40"/>
        <w:spacing w:line="360" w:lineRule="auto"/>
        <w:ind w:firstLine="480"/>
        <w:jc w:val="both"/>
        <w:rPr>
          <w:rFonts w:eastAsia="楷体_GB2312"/>
          <w:lang w:eastAsia="zh-CN"/>
        </w:rPr>
      </w:pPr>
    </w:p>
    <w:p w14:paraId="688AEED2">
      <w:pPr>
        <w:pStyle w:val="60"/>
        <w:spacing w:after="0" w:line="360" w:lineRule="auto"/>
        <w:ind w:left="1860" w:leftChars="775"/>
        <w:rPr>
          <w:rFonts w:eastAsia="楷体_GB2312"/>
          <w:lang w:eastAsia="zh-CN"/>
        </w:rPr>
      </w:pPr>
      <w:bookmarkStart w:id="53" w:name="_DV_M45"/>
      <w:bookmarkEnd w:id="53"/>
      <w:bookmarkStart w:id="54" w:name="_DV_M44"/>
      <w:bookmarkEnd w:id="54"/>
      <w:bookmarkStart w:id="55" w:name="_DV_M43"/>
      <w:bookmarkEnd w:id="55"/>
      <w:r>
        <w:rPr>
          <w:rFonts w:eastAsia="楷体_GB2312"/>
          <w:lang w:eastAsia="zh-CN"/>
        </w:rPr>
        <w:t>“受托人”接受信托，并同意根据本合同的约定以及“中国”“法律”的规定履行其职责和义务。</w:t>
      </w:r>
    </w:p>
    <w:p w14:paraId="34F8D3BE">
      <w:pPr>
        <w:pStyle w:val="60"/>
        <w:spacing w:after="0" w:line="360" w:lineRule="auto"/>
        <w:ind w:left="1860" w:leftChars="775"/>
        <w:rPr>
          <w:rFonts w:eastAsia="楷体_GB2312"/>
          <w:color w:val="FF0000"/>
          <w:lang w:eastAsia="zh-CN"/>
        </w:rPr>
      </w:pPr>
      <w:r>
        <w:rPr>
          <w:rFonts w:eastAsia="楷体_GB2312"/>
          <w:b/>
          <w:i/>
          <w:iCs/>
          <w:color w:val="FF0000"/>
          <w:lang w:val="en-US" w:eastAsia="zh-CN"/>
        </w:rPr>
        <w:t>【注：1、初始起算日（含该日）是否含该日可根据项目实际情况进行调整。2、具体入池资产范围可根据项目实际情况进行调整。】</w:t>
      </w:r>
    </w:p>
    <w:p w14:paraId="48DFF79D">
      <w:pPr>
        <w:pStyle w:val="60"/>
        <w:spacing w:after="0" w:line="360" w:lineRule="auto"/>
        <w:ind w:left="1620"/>
        <w:rPr>
          <w:rFonts w:eastAsia="楷体_GB2312"/>
          <w:lang w:eastAsia="zh-CN"/>
        </w:rPr>
      </w:pPr>
    </w:p>
    <w:p w14:paraId="532B28D6">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自“信托生效日”起</w:t>
      </w:r>
      <w:r>
        <w:rPr>
          <w:rFonts w:eastAsia="楷体_GB2312"/>
          <w:bCs/>
          <w:lang w:eastAsia="zh-CN"/>
        </w:rPr>
        <w:t>，初始</w:t>
      </w:r>
      <w:r>
        <w:rPr>
          <w:rFonts w:eastAsia="楷体_GB2312"/>
          <w:lang w:eastAsia="zh-CN"/>
        </w:rPr>
        <w:t>“基础资产”即成为“信托财产”，“委托人”除根据本合同第</w:t>
      </w:r>
      <w:r>
        <w:rPr>
          <w:rFonts w:eastAsia="楷体_GB2312"/>
        </w:rPr>
        <w:fldChar w:fldCharType="begin"/>
      </w:r>
      <w:r>
        <w:rPr>
          <w:rFonts w:eastAsia="楷体_GB2312"/>
          <w:lang w:eastAsia="zh-CN"/>
        </w:rPr>
        <w:instrText xml:space="preserve"> REF _Ref201647086 \r \h  \* MERGEFORMAT </w:instrText>
      </w:r>
      <w:r>
        <w:rPr>
          <w:rFonts w:eastAsia="楷体_GB2312"/>
        </w:rPr>
        <w:fldChar w:fldCharType="separate"/>
      </w:r>
      <w:r>
        <w:rPr>
          <w:rFonts w:eastAsia="楷体_GB2312"/>
          <w:lang w:eastAsia="zh-CN"/>
        </w:rPr>
        <w:t>4</w:t>
      </w:r>
      <w:r>
        <w:rPr>
          <w:rFonts w:eastAsia="楷体_GB2312"/>
        </w:rPr>
        <w:fldChar w:fldCharType="end"/>
      </w:r>
      <w:r>
        <w:rPr>
          <w:rFonts w:eastAsia="楷体_GB2312"/>
          <w:lang w:eastAsia="zh-CN"/>
        </w:rPr>
        <w:t>条赎回“不合格资产”或根据本合同第</w:t>
      </w:r>
      <w:r>
        <w:rPr>
          <w:rFonts w:eastAsia="楷体_GB2312"/>
        </w:rPr>
        <w:fldChar w:fldCharType="begin"/>
      </w:r>
      <w:r>
        <w:rPr>
          <w:rFonts w:eastAsia="楷体_GB2312"/>
          <w:lang w:eastAsia="zh-CN"/>
        </w:rPr>
        <w:instrText xml:space="preserve"> REF _Ref303846995 \r \h  \* MERGEFORMAT </w:instrText>
      </w:r>
      <w:r>
        <w:rPr>
          <w:rFonts w:eastAsia="楷体_GB2312"/>
        </w:rPr>
        <w:fldChar w:fldCharType="separate"/>
      </w:r>
      <w:r>
        <w:rPr>
          <w:rFonts w:eastAsia="楷体_GB2312"/>
          <w:lang w:eastAsia="zh-CN"/>
        </w:rPr>
        <w:t>5</w:t>
      </w:r>
      <w:r>
        <w:rPr>
          <w:rFonts w:eastAsia="楷体_GB2312"/>
        </w:rPr>
        <w:fldChar w:fldCharType="end"/>
      </w:r>
      <w:r>
        <w:rPr>
          <w:rFonts w:eastAsia="楷体_GB2312"/>
          <w:lang w:eastAsia="zh-CN"/>
        </w:rPr>
        <w:t>条进行</w:t>
      </w:r>
      <w:r>
        <w:rPr>
          <w:rFonts w:eastAsia="楷体_GB2312"/>
          <w:bCs/>
          <w:lang w:eastAsia="zh-CN"/>
        </w:rPr>
        <w:t>“清仓回购”</w:t>
      </w:r>
      <w:r>
        <w:rPr>
          <w:rFonts w:eastAsia="楷体_GB2312"/>
          <w:lang w:eastAsia="zh-CN"/>
        </w:rPr>
        <w:t>外，对该等资产不再享有任何权利也不再承担任何风险。</w:t>
      </w:r>
    </w:p>
    <w:p w14:paraId="39CA7BAD">
      <w:pPr>
        <w:spacing w:line="360" w:lineRule="auto"/>
        <w:ind w:left="567"/>
        <w:jc w:val="both"/>
        <w:rPr>
          <w:rFonts w:eastAsia="楷体_GB2312"/>
          <w:lang w:eastAsia="zh-CN"/>
        </w:rPr>
      </w:pPr>
      <w:bookmarkStart w:id="56" w:name="_DV_M134"/>
      <w:bookmarkEnd w:id="56"/>
      <w:bookmarkStart w:id="57" w:name="_Toc150895682"/>
      <w:bookmarkEnd w:id="57"/>
      <w:bookmarkStart w:id="58" w:name="_DV_M133"/>
      <w:bookmarkEnd w:id="58"/>
      <w:bookmarkStart w:id="59" w:name="_Toc148384176"/>
      <w:bookmarkEnd w:id="59"/>
      <w:bookmarkStart w:id="60" w:name="_Toc148384178"/>
      <w:bookmarkEnd w:id="60"/>
      <w:bookmarkStart w:id="61" w:name="_DV_M137"/>
      <w:bookmarkEnd w:id="61"/>
      <w:bookmarkStart w:id="62" w:name="_Toc148384174"/>
      <w:bookmarkEnd w:id="62"/>
      <w:bookmarkStart w:id="63" w:name="_Toc148440768"/>
      <w:bookmarkEnd w:id="63"/>
      <w:bookmarkStart w:id="64" w:name="_Toc148384179"/>
      <w:bookmarkEnd w:id="64"/>
      <w:bookmarkStart w:id="65" w:name="_DV_M132"/>
      <w:bookmarkEnd w:id="65"/>
      <w:bookmarkStart w:id="66" w:name="_DV_M136"/>
      <w:bookmarkEnd w:id="66"/>
      <w:bookmarkStart w:id="67" w:name="_Toc148440766"/>
      <w:bookmarkEnd w:id="67"/>
      <w:bookmarkStart w:id="68" w:name="_Toc148440769"/>
      <w:bookmarkEnd w:id="68"/>
      <w:bookmarkStart w:id="69" w:name="_Toc148440764"/>
      <w:bookmarkEnd w:id="69"/>
      <w:bookmarkStart w:id="70" w:name="_DV_M135"/>
      <w:bookmarkEnd w:id="70"/>
      <w:bookmarkStart w:id="71" w:name="_Toc92612908"/>
    </w:p>
    <w:p w14:paraId="27F75ED6">
      <w:pPr>
        <w:widowControl w:val="0"/>
        <w:numPr>
          <w:ilvl w:val="1"/>
          <w:numId w:val="8"/>
        </w:numPr>
        <w:tabs>
          <w:tab w:val="left" w:pos="900"/>
        </w:tabs>
        <w:spacing w:line="360" w:lineRule="auto"/>
        <w:jc w:val="both"/>
        <w:outlineLvl w:val="1"/>
        <w:rPr>
          <w:rFonts w:eastAsia="楷体_GB2312"/>
          <w:b/>
          <w:lang w:eastAsia="zh-CN"/>
        </w:rPr>
      </w:pPr>
      <w:r>
        <w:rPr>
          <w:rFonts w:eastAsia="楷体_GB2312"/>
          <w:b/>
          <w:lang w:eastAsia="zh-CN"/>
        </w:rPr>
        <w:t>信托财产的范围、种类、标准和状况</w:t>
      </w:r>
    </w:p>
    <w:p w14:paraId="57FDFA0D">
      <w:pPr>
        <w:spacing w:line="360" w:lineRule="auto"/>
        <w:ind w:left="567"/>
        <w:jc w:val="both"/>
        <w:rPr>
          <w:rFonts w:eastAsia="楷体_GB2312"/>
          <w:lang w:eastAsia="zh-CN"/>
        </w:rPr>
      </w:pPr>
    </w:p>
    <w:p w14:paraId="456EBB69">
      <w:pPr>
        <w:widowControl w:val="0"/>
        <w:numPr>
          <w:ilvl w:val="2"/>
          <w:numId w:val="8"/>
        </w:numPr>
        <w:tabs>
          <w:tab w:val="left" w:pos="1620"/>
        </w:tabs>
        <w:spacing w:line="360" w:lineRule="auto"/>
        <w:ind w:left="1620" w:hanging="769"/>
        <w:jc w:val="both"/>
        <w:rPr>
          <w:rFonts w:eastAsia="楷体_GB2312"/>
          <w:bCs/>
          <w:lang w:eastAsia="zh-CN"/>
        </w:rPr>
      </w:pPr>
      <w:r>
        <w:rPr>
          <w:rFonts w:eastAsia="楷体_GB2312"/>
          <w:b/>
          <w:bCs/>
          <w:lang w:eastAsia="zh-CN"/>
        </w:rPr>
        <w:t>信托财产的范围</w:t>
      </w:r>
    </w:p>
    <w:p w14:paraId="44187A32">
      <w:pPr>
        <w:pStyle w:val="60"/>
        <w:spacing w:after="0" w:line="360" w:lineRule="auto"/>
        <w:ind w:left="1620"/>
        <w:rPr>
          <w:rFonts w:eastAsia="楷体_GB2312"/>
          <w:lang w:eastAsia="zh-CN"/>
        </w:rPr>
      </w:pPr>
    </w:p>
    <w:p w14:paraId="7A149BD7">
      <w:pPr>
        <w:spacing w:line="360" w:lineRule="auto"/>
        <w:ind w:left="991" w:leftChars="413"/>
        <w:jc w:val="both"/>
        <w:rPr>
          <w:rFonts w:eastAsia="楷体_GB2312"/>
          <w:bCs/>
          <w:szCs w:val="20"/>
          <w:lang w:eastAsia="zh-CN"/>
        </w:rPr>
      </w:pPr>
      <w:bookmarkStart w:id="72" w:name="_Hlk55498401"/>
      <w:r>
        <w:rPr>
          <w:rFonts w:eastAsia="楷体_GB2312"/>
          <w:bCs/>
          <w:szCs w:val="20"/>
          <w:lang w:eastAsia="zh-CN"/>
        </w:rPr>
        <w:t>“信托”的“</w:t>
      </w:r>
      <w:r>
        <w:rPr>
          <w:rFonts w:eastAsia="楷体_GB2312"/>
          <w:bCs/>
          <w:lang w:eastAsia="zh-CN"/>
        </w:rPr>
        <w:t>信托财产”</w:t>
      </w:r>
      <w:r>
        <w:rPr>
          <w:rFonts w:eastAsia="楷体_GB2312"/>
          <w:bCs/>
          <w:szCs w:val="20"/>
          <w:lang w:eastAsia="zh-CN"/>
        </w:rPr>
        <w:t>的范围包括：</w:t>
      </w:r>
    </w:p>
    <w:p w14:paraId="03AB727B">
      <w:pPr>
        <w:widowControl w:val="0"/>
        <w:tabs>
          <w:tab w:val="left" w:pos="1997"/>
        </w:tabs>
        <w:spacing w:line="360" w:lineRule="auto"/>
        <w:jc w:val="both"/>
        <w:rPr>
          <w:rFonts w:eastAsia="楷体_GB2312"/>
          <w:bCs/>
          <w:szCs w:val="20"/>
          <w:lang w:eastAsia="zh-CN"/>
        </w:rPr>
      </w:pPr>
    </w:p>
    <w:p w14:paraId="63539766">
      <w:pPr>
        <w:widowControl w:val="0"/>
        <w:numPr>
          <w:ilvl w:val="0"/>
          <w:numId w:val="10"/>
        </w:numPr>
        <w:tabs>
          <w:tab w:val="left" w:pos="1997"/>
        </w:tabs>
        <w:spacing w:line="360" w:lineRule="auto"/>
        <w:ind w:left="1418"/>
        <w:jc w:val="both"/>
        <w:rPr>
          <w:rFonts w:eastAsia="楷体_GB2312"/>
          <w:bCs/>
          <w:szCs w:val="20"/>
          <w:lang w:eastAsia="zh-CN"/>
        </w:rPr>
      </w:pPr>
      <w:bookmarkStart w:id="73" w:name="_DV_C215"/>
      <w:r>
        <w:rPr>
          <w:rFonts w:eastAsia="楷体_GB2312"/>
          <w:bCs/>
          <w:szCs w:val="20"/>
          <w:lang w:eastAsia="zh-CN"/>
        </w:rPr>
        <w:t>“基础资产清单”中所列的在“初始起算日”（适用于初始“基础资产”）/“持续购买基准日”（适用于新增“基础资产”）存在的</w:t>
      </w:r>
      <w:r>
        <w:rPr>
          <w:rFonts w:eastAsia="楷体_GB2312"/>
          <w:lang w:eastAsia="zh-CN"/>
        </w:rPr>
        <w:t>“个人汽车贷款”以及该等“个人汽车贷款”的全部“附属权益”</w:t>
      </w:r>
      <w:r>
        <w:rPr>
          <w:rFonts w:eastAsia="楷体_GB2312"/>
          <w:bCs/>
          <w:szCs w:val="20"/>
          <w:lang w:eastAsia="zh-CN"/>
        </w:rPr>
        <w:t>；</w:t>
      </w:r>
    </w:p>
    <w:p w14:paraId="18E3FF2C">
      <w:pPr>
        <w:widowControl w:val="0"/>
        <w:tabs>
          <w:tab w:val="left" w:pos="1997"/>
        </w:tabs>
        <w:spacing w:line="360" w:lineRule="auto"/>
        <w:ind w:left="1418" w:hanging="420"/>
        <w:jc w:val="both"/>
        <w:rPr>
          <w:rFonts w:eastAsia="楷体_GB2312"/>
          <w:bCs/>
          <w:szCs w:val="20"/>
          <w:lang w:eastAsia="zh-CN"/>
        </w:rPr>
      </w:pPr>
    </w:p>
    <w:p w14:paraId="7DC0E9A9">
      <w:pPr>
        <w:widowControl w:val="0"/>
        <w:numPr>
          <w:ilvl w:val="0"/>
          <w:numId w:val="10"/>
        </w:numPr>
        <w:tabs>
          <w:tab w:val="left" w:pos="1997"/>
        </w:tabs>
        <w:spacing w:line="360" w:lineRule="auto"/>
        <w:ind w:left="1418"/>
        <w:jc w:val="both"/>
        <w:rPr>
          <w:rFonts w:eastAsia="楷体_GB2312"/>
          <w:bCs/>
          <w:szCs w:val="20"/>
          <w:lang w:eastAsia="zh-CN"/>
        </w:rPr>
      </w:pPr>
      <w:r>
        <w:rPr>
          <w:rFonts w:eastAsia="楷体_GB2312"/>
          <w:bCs/>
          <w:szCs w:val="20"/>
          <w:lang w:eastAsia="zh-CN"/>
        </w:rPr>
        <w:t>自“初始起算日”（适用于初始“基础资产”）/“持续购买基准日”（适用于新增“基础资产”）起，“基础资产”中的“个人汽车贷款”及其</w:t>
      </w:r>
      <w:r>
        <w:rPr>
          <w:rFonts w:eastAsia="楷体_GB2312"/>
          <w:lang w:eastAsia="zh-CN"/>
        </w:rPr>
        <w:t>“附属权益”</w:t>
      </w:r>
      <w:r>
        <w:rPr>
          <w:rFonts w:eastAsia="楷体_GB2312"/>
          <w:bCs/>
          <w:szCs w:val="20"/>
          <w:lang w:eastAsia="zh-CN"/>
        </w:rPr>
        <w:t>所收到的全部资金，包括“回收款”以及“信托账户”中的全部资金及其产生的收益；</w:t>
      </w:r>
    </w:p>
    <w:p w14:paraId="6CD0FED0">
      <w:pPr>
        <w:widowControl w:val="0"/>
        <w:tabs>
          <w:tab w:val="left" w:pos="1997"/>
        </w:tabs>
        <w:spacing w:line="360" w:lineRule="auto"/>
        <w:jc w:val="both"/>
        <w:rPr>
          <w:rFonts w:eastAsia="楷体_GB2312"/>
          <w:bCs/>
          <w:szCs w:val="20"/>
          <w:lang w:eastAsia="zh-CN"/>
        </w:rPr>
      </w:pPr>
    </w:p>
    <w:p w14:paraId="28CC6CAC">
      <w:pPr>
        <w:widowControl w:val="0"/>
        <w:numPr>
          <w:ilvl w:val="0"/>
          <w:numId w:val="10"/>
        </w:numPr>
        <w:tabs>
          <w:tab w:val="left" w:pos="1997"/>
        </w:tabs>
        <w:spacing w:line="360" w:lineRule="auto"/>
        <w:ind w:left="1418"/>
        <w:jc w:val="both"/>
        <w:rPr>
          <w:rFonts w:eastAsia="楷体_GB2312"/>
          <w:bCs/>
          <w:szCs w:val="20"/>
          <w:lang w:eastAsia="zh-CN"/>
        </w:rPr>
      </w:pPr>
      <w:r>
        <w:rPr>
          <w:rFonts w:eastAsia="楷体_GB2312"/>
          <w:bCs/>
          <w:szCs w:val="20"/>
          <w:lang w:eastAsia="zh-CN"/>
        </w:rPr>
        <w:t>“受托人”因对前述“基础资产”、“回收款”等管理、运用、处分或者其他情形而取得的其他财产（包括但不限于因“不合格资产”被赎回所取得相当于“赎回价格”的款项、因“资产池”被“清仓回购”所取得相当于“清仓回购价格”的款项等）。</w:t>
      </w:r>
      <w:bookmarkEnd w:id="72"/>
      <w:bookmarkEnd w:id="73"/>
    </w:p>
    <w:p w14:paraId="4571C6BE">
      <w:pPr>
        <w:pStyle w:val="60"/>
        <w:spacing w:after="0" w:line="360" w:lineRule="auto"/>
        <w:ind w:left="1440" w:leftChars="600"/>
        <w:rPr>
          <w:rFonts w:eastAsia="楷体_GB2312"/>
          <w:color w:val="FF0000"/>
          <w:lang w:val="en-US" w:eastAsia="zh-CN"/>
        </w:rPr>
      </w:pPr>
      <w:r>
        <w:rPr>
          <w:rFonts w:eastAsia="楷体_GB2312"/>
          <w:b/>
          <w:bCs/>
          <w:i/>
          <w:iCs/>
          <w:color w:val="FF0000"/>
          <w:lang w:val="en-US" w:eastAsia="zh-CN"/>
        </w:rPr>
        <w:t>【注：信托财产范围描述可根据具体项目情况调整。】</w:t>
      </w:r>
    </w:p>
    <w:p w14:paraId="38E25312">
      <w:pPr>
        <w:pStyle w:val="60"/>
        <w:spacing w:after="0" w:line="360" w:lineRule="auto"/>
        <w:ind w:left="1620"/>
        <w:rPr>
          <w:rFonts w:eastAsia="楷体_GB2312"/>
          <w:color w:val="FF0000"/>
          <w:lang w:val="en-US" w:eastAsia="zh-CN"/>
        </w:rPr>
      </w:pPr>
    </w:p>
    <w:p w14:paraId="5D99B088">
      <w:pPr>
        <w:widowControl w:val="0"/>
        <w:numPr>
          <w:ilvl w:val="2"/>
          <w:numId w:val="8"/>
        </w:numPr>
        <w:tabs>
          <w:tab w:val="left" w:pos="1620"/>
        </w:tabs>
        <w:spacing w:line="360" w:lineRule="auto"/>
        <w:ind w:left="1620" w:hanging="769"/>
        <w:jc w:val="both"/>
        <w:rPr>
          <w:rFonts w:eastAsia="楷体_GB2312"/>
          <w:b/>
        </w:rPr>
      </w:pPr>
      <w:r>
        <w:rPr>
          <w:rFonts w:eastAsia="楷体_GB2312"/>
          <w:b/>
          <w:bCs/>
          <w:lang w:eastAsia="zh-CN"/>
        </w:rPr>
        <w:t>信托财产</w:t>
      </w:r>
      <w:r>
        <w:rPr>
          <w:rFonts w:eastAsia="楷体_GB2312"/>
          <w:b/>
          <w:lang w:val="en-GB"/>
        </w:rPr>
        <w:t>的种类</w:t>
      </w:r>
    </w:p>
    <w:p w14:paraId="6C1626D2">
      <w:pPr>
        <w:pStyle w:val="60"/>
        <w:spacing w:after="0" w:line="360" w:lineRule="auto"/>
        <w:ind w:left="1620"/>
        <w:rPr>
          <w:rFonts w:eastAsia="楷体_GB2312"/>
        </w:rPr>
      </w:pPr>
    </w:p>
    <w:p w14:paraId="28DC4931">
      <w:pPr>
        <w:pStyle w:val="60"/>
        <w:spacing w:after="0" w:line="360" w:lineRule="auto"/>
        <w:ind w:left="1620"/>
        <w:rPr>
          <w:rFonts w:eastAsia="楷体_GB2312"/>
          <w:lang w:eastAsia="zh-CN"/>
        </w:rPr>
      </w:pPr>
      <w:r>
        <w:rPr>
          <w:rFonts w:eastAsia="楷体_GB2312"/>
          <w:lang w:eastAsia="zh-CN"/>
        </w:rPr>
        <w:t>在“初始起算日”，“信托财产”的种类为“个人汽车贷款”。</w:t>
      </w:r>
    </w:p>
    <w:p w14:paraId="25F09CDE">
      <w:pPr>
        <w:pStyle w:val="60"/>
        <w:spacing w:after="0" w:line="360" w:lineRule="auto"/>
        <w:ind w:left="1620"/>
        <w:rPr>
          <w:rFonts w:eastAsia="楷体_GB2312"/>
          <w:lang w:eastAsia="zh-CN"/>
        </w:rPr>
      </w:pPr>
    </w:p>
    <w:p w14:paraId="1ABEAFBE">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bCs/>
          <w:lang w:eastAsia="zh-CN"/>
        </w:rPr>
        <w:t>信托财产</w:t>
      </w:r>
      <w:r>
        <w:rPr>
          <w:rFonts w:eastAsia="楷体_GB2312"/>
          <w:b/>
          <w:lang w:eastAsia="zh-CN"/>
        </w:rPr>
        <w:t>的标准</w:t>
      </w:r>
    </w:p>
    <w:p w14:paraId="2068BD41">
      <w:pPr>
        <w:pStyle w:val="50"/>
        <w:spacing w:after="0" w:line="360" w:lineRule="auto"/>
        <w:rPr>
          <w:rFonts w:eastAsia="楷体_GB2312"/>
          <w:lang w:eastAsia="zh-CN"/>
        </w:rPr>
      </w:pPr>
    </w:p>
    <w:p w14:paraId="6D31270D">
      <w:pPr>
        <w:pStyle w:val="60"/>
        <w:spacing w:after="0" w:line="360" w:lineRule="auto"/>
        <w:ind w:left="1620"/>
        <w:rPr>
          <w:rFonts w:eastAsia="楷体_GB2312"/>
          <w:lang w:eastAsia="zh-CN"/>
        </w:rPr>
      </w:pPr>
      <w:r>
        <w:rPr>
          <w:rFonts w:eastAsia="楷体_GB2312"/>
          <w:lang w:eastAsia="zh-CN"/>
        </w:rPr>
        <w:t>在“初始起算日”</w:t>
      </w:r>
      <w:r>
        <w:rPr>
          <w:rFonts w:hint="eastAsia" w:eastAsia="楷体_GB2312"/>
          <w:lang w:eastAsia="zh-CN"/>
        </w:rPr>
        <w:t>【</w:t>
      </w:r>
      <w:r>
        <w:rPr>
          <w:rFonts w:hint="eastAsia" w:eastAsia="楷体_GB2312"/>
          <w:i/>
          <w:iCs/>
          <w:lang w:eastAsia="zh-CN"/>
        </w:rPr>
        <w:t>具体时点</w:t>
      </w:r>
      <w:r>
        <w:rPr>
          <w:rFonts w:hint="eastAsia" w:eastAsia="楷体_GB2312"/>
          <w:lang w:eastAsia="zh-CN"/>
        </w:rPr>
        <w:t>】</w:t>
      </w:r>
      <w:r>
        <w:rPr>
          <w:rFonts w:eastAsia="楷体_GB2312"/>
          <w:lang w:eastAsia="zh-CN"/>
        </w:rPr>
        <w:t>时</w:t>
      </w:r>
      <w:r>
        <w:rPr>
          <w:rFonts w:eastAsia="楷体_GB2312"/>
          <w:lang w:val="en-US" w:eastAsia="zh-CN"/>
        </w:rPr>
        <w:t>（“合格标准”对时间另有说明的除外）</w:t>
      </w:r>
      <w:r>
        <w:rPr>
          <w:rFonts w:eastAsia="楷体_GB2312"/>
          <w:lang w:eastAsia="zh-CN"/>
        </w:rPr>
        <w:t>，每一笔初始“基础资产”应符合“合格标准”。</w:t>
      </w:r>
    </w:p>
    <w:p w14:paraId="11B3FFA8">
      <w:pPr>
        <w:pStyle w:val="60"/>
        <w:spacing w:after="0" w:line="360" w:lineRule="auto"/>
        <w:ind w:left="0"/>
        <w:rPr>
          <w:rFonts w:eastAsia="楷体_GB2312"/>
          <w:lang w:eastAsia="zh-CN"/>
        </w:rPr>
      </w:pPr>
    </w:p>
    <w:p w14:paraId="41639318">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bCs/>
          <w:lang w:eastAsia="zh-CN"/>
        </w:rPr>
        <w:t>信托财产</w:t>
      </w:r>
      <w:r>
        <w:rPr>
          <w:rFonts w:eastAsia="楷体_GB2312"/>
          <w:b/>
          <w:lang w:eastAsia="zh-CN"/>
        </w:rPr>
        <w:t>的状况</w:t>
      </w:r>
    </w:p>
    <w:p w14:paraId="240EC900">
      <w:pPr>
        <w:pStyle w:val="50"/>
        <w:spacing w:after="0" w:line="360" w:lineRule="auto"/>
        <w:rPr>
          <w:rFonts w:eastAsia="楷体_GB2312"/>
          <w:b/>
          <w:lang w:eastAsia="zh-CN"/>
        </w:rPr>
      </w:pPr>
    </w:p>
    <w:p w14:paraId="6641D133">
      <w:pPr>
        <w:pStyle w:val="60"/>
        <w:spacing w:after="0" w:line="360" w:lineRule="auto"/>
        <w:ind w:left="1620"/>
        <w:rPr>
          <w:rFonts w:eastAsia="楷体_GB2312"/>
          <w:lang w:eastAsia="zh-CN"/>
        </w:rPr>
      </w:pPr>
      <w:r>
        <w:rPr>
          <w:rFonts w:eastAsia="楷体_GB2312"/>
          <w:lang w:eastAsia="zh-CN"/>
        </w:rPr>
        <w:t>截至“初始起算日”</w:t>
      </w:r>
      <w:r>
        <w:rPr>
          <w:rFonts w:hint="eastAsia" w:eastAsia="楷体_GB2312"/>
          <w:lang w:eastAsia="zh-CN"/>
        </w:rPr>
        <w:t>【</w:t>
      </w:r>
      <w:r>
        <w:rPr>
          <w:rFonts w:hint="eastAsia" w:eastAsia="楷体_GB2312"/>
          <w:i/>
          <w:iCs/>
          <w:lang w:eastAsia="zh-CN"/>
        </w:rPr>
        <w:t>具体时点</w:t>
      </w:r>
      <w:r>
        <w:rPr>
          <w:rFonts w:hint="eastAsia" w:eastAsia="楷体_GB2312"/>
          <w:lang w:eastAsia="zh-CN"/>
        </w:rPr>
        <w:t>】</w:t>
      </w:r>
      <w:r>
        <w:rPr>
          <w:rFonts w:eastAsia="楷体_GB2312"/>
          <w:lang w:eastAsia="zh-CN"/>
        </w:rPr>
        <w:t>时（适用于初始“基础资产”）及“持续购买基准日”</w:t>
      </w:r>
      <w:r>
        <w:rPr>
          <w:rFonts w:hint="eastAsia" w:eastAsia="楷体_GB2312"/>
          <w:lang w:eastAsia="zh-CN"/>
        </w:rPr>
        <w:t>【</w:t>
      </w:r>
      <w:r>
        <w:rPr>
          <w:rFonts w:hint="eastAsia" w:eastAsia="楷体_GB2312"/>
          <w:i/>
          <w:iCs/>
          <w:lang w:eastAsia="zh-CN"/>
        </w:rPr>
        <w:t>具体时点</w:t>
      </w:r>
      <w:r>
        <w:rPr>
          <w:rFonts w:hint="eastAsia" w:eastAsia="楷体_GB2312"/>
          <w:lang w:eastAsia="zh-CN"/>
        </w:rPr>
        <w:t>】</w:t>
      </w:r>
      <w:r>
        <w:rPr>
          <w:rFonts w:eastAsia="楷体_GB2312"/>
          <w:lang w:eastAsia="zh-CN"/>
        </w:rPr>
        <w:t>时（适用于新增“基础资产”），每笔“个人汽车贷款”的状况详见“基础资产清单”。截至“初始起算日”</w:t>
      </w:r>
      <w:r>
        <w:rPr>
          <w:rFonts w:hint="eastAsia" w:eastAsia="楷体_GB2312"/>
          <w:lang w:eastAsia="zh-CN"/>
        </w:rPr>
        <w:t>【</w:t>
      </w:r>
      <w:r>
        <w:rPr>
          <w:rFonts w:hint="eastAsia" w:eastAsia="楷体_GB2312"/>
          <w:i/>
          <w:iCs/>
          <w:lang w:eastAsia="zh-CN"/>
        </w:rPr>
        <w:t>具体时点</w:t>
      </w:r>
      <w:r>
        <w:rPr>
          <w:rFonts w:hint="eastAsia" w:eastAsia="楷体_GB2312"/>
          <w:lang w:eastAsia="zh-CN"/>
        </w:rPr>
        <w:t>】</w:t>
      </w:r>
      <w:r>
        <w:rPr>
          <w:rFonts w:eastAsia="楷体_GB2312"/>
          <w:lang w:eastAsia="zh-CN"/>
        </w:rPr>
        <w:t>时，“初始起算日资产池余额”为【】元。</w:t>
      </w:r>
    </w:p>
    <w:p w14:paraId="06038752">
      <w:pPr>
        <w:jc w:val="both"/>
        <w:rPr>
          <w:rFonts w:eastAsia="楷体_GB2312"/>
          <w:b/>
          <w:lang w:eastAsia="zh-CN"/>
        </w:rPr>
      </w:pPr>
      <w:bookmarkStart w:id="74" w:name="_Toc111281772"/>
      <w:bookmarkStart w:id="75" w:name="_Ref201578072"/>
      <w:bookmarkStart w:id="76" w:name="_Toc201569380"/>
      <w:bookmarkStart w:id="77" w:name="_Ref201576676"/>
    </w:p>
    <w:p w14:paraId="506AF695">
      <w:pPr>
        <w:widowControl w:val="0"/>
        <w:numPr>
          <w:ilvl w:val="1"/>
          <w:numId w:val="8"/>
        </w:numPr>
        <w:tabs>
          <w:tab w:val="left" w:pos="900"/>
        </w:tabs>
        <w:spacing w:line="360" w:lineRule="auto"/>
        <w:jc w:val="both"/>
        <w:outlineLvl w:val="1"/>
        <w:rPr>
          <w:rFonts w:eastAsia="楷体_GB2312"/>
          <w:b/>
        </w:rPr>
      </w:pPr>
      <w:bookmarkStart w:id="78" w:name="_Ref331515114"/>
      <w:bookmarkStart w:id="79" w:name="_Hlk103858242"/>
      <w:bookmarkStart w:id="80" w:name="_Hlk103779853"/>
      <w:r>
        <w:rPr>
          <w:rFonts w:eastAsia="楷体_GB2312"/>
          <w:b/>
        </w:rPr>
        <w:t>信托设立的</w:t>
      </w:r>
      <w:r>
        <w:rPr>
          <w:rFonts w:eastAsia="楷体_GB2312"/>
          <w:b/>
          <w:lang w:eastAsia="zh-CN"/>
        </w:rPr>
        <w:t>前提</w:t>
      </w:r>
      <w:r>
        <w:rPr>
          <w:rFonts w:eastAsia="楷体_GB2312"/>
          <w:b/>
        </w:rPr>
        <w:t>条件</w:t>
      </w:r>
      <w:bookmarkEnd w:id="74"/>
      <w:bookmarkEnd w:id="75"/>
      <w:bookmarkEnd w:id="76"/>
      <w:bookmarkEnd w:id="77"/>
      <w:bookmarkEnd w:id="78"/>
    </w:p>
    <w:p w14:paraId="328288E6">
      <w:pPr>
        <w:jc w:val="both"/>
        <w:rPr>
          <w:rFonts w:eastAsia="楷体_GB2312"/>
          <w:b/>
        </w:rPr>
      </w:pPr>
    </w:p>
    <w:p w14:paraId="54CAA011">
      <w:pPr>
        <w:spacing w:line="360" w:lineRule="auto"/>
        <w:ind w:left="991" w:leftChars="413"/>
        <w:jc w:val="both"/>
        <w:rPr>
          <w:rFonts w:eastAsia="楷体_GB2312"/>
          <w:lang w:eastAsia="zh-CN"/>
        </w:rPr>
      </w:pPr>
      <w:r>
        <w:rPr>
          <w:rFonts w:eastAsia="楷体_GB2312"/>
          <w:lang w:eastAsia="zh-CN"/>
        </w:rPr>
        <w:t>“委托人”于“信托生效日”将初始“基础资产”信托予“受托人”，“受托人”于“信托生效日”接受该等初始“基础资产”并于“信托生效日”设立“信托”，都以下列先决条件在“信托生效日”当日或之前得到满足（或被有权方放弃）为前提：</w:t>
      </w:r>
    </w:p>
    <w:bookmarkEnd w:id="79"/>
    <w:p w14:paraId="7C6B9512">
      <w:pPr>
        <w:jc w:val="both"/>
        <w:rPr>
          <w:rFonts w:eastAsia="楷体_GB2312"/>
          <w:lang w:eastAsia="zh-CN"/>
        </w:rPr>
      </w:pPr>
    </w:p>
    <w:p w14:paraId="4642DF21">
      <w:pPr>
        <w:pStyle w:val="40"/>
        <w:numPr>
          <w:ilvl w:val="0"/>
          <w:numId w:val="11"/>
        </w:numPr>
        <w:spacing w:line="360" w:lineRule="auto"/>
        <w:ind w:left="1418" w:firstLineChars="0"/>
        <w:jc w:val="both"/>
        <w:rPr>
          <w:rFonts w:eastAsia="楷体_GB2312"/>
          <w:lang w:eastAsia="zh-CN"/>
        </w:rPr>
      </w:pPr>
      <w:r>
        <w:rPr>
          <w:rFonts w:eastAsia="楷体_GB2312"/>
          <w:lang w:eastAsia="zh-CN"/>
        </w:rPr>
        <w:t>“委托人”已向“受托人”交付了“委托人”的金融许可证、营业执照以及批准“委托人”签署相关“交易文件”以及进行本合同项下交易的董事会决议和/或其他必要的公司文件、批文或授权书的复印件；</w:t>
      </w:r>
    </w:p>
    <w:p w14:paraId="0E76DE1E">
      <w:pPr>
        <w:ind w:left="1418" w:hanging="420"/>
        <w:jc w:val="both"/>
        <w:rPr>
          <w:rFonts w:eastAsia="楷体_GB2312"/>
          <w:lang w:eastAsia="zh-CN"/>
        </w:rPr>
      </w:pPr>
    </w:p>
    <w:p w14:paraId="0133D24F">
      <w:pPr>
        <w:pStyle w:val="40"/>
        <w:numPr>
          <w:ilvl w:val="0"/>
          <w:numId w:val="11"/>
        </w:numPr>
        <w:spacing w:line="360" w:lineRule="auto"/>
        <w:ind w:left="1418" w:firstLineChars="0"/>
        <w:jc w:val="both"/>
        <w:rPr>
          <w:rFonts w:eastAsia="楷体_GB2312"/>
          <w:lang w:eastAsia="zh-CN"/>
        </w:rPr>
      </w:pPr>
      <w:r>
        <w:rPr>
          <w:rFonts w:eastAsia="楷体_GB2312"/>
          <w:lang w:eastAsia="zh-CN"/>
        </w:rPr>
        <w:t>“委托人”已向“受托人”交付了初始“基础资产”对应的完整的“基础资产清单”（“基础资产清单”格式见本合同</w:t>
      </w:r>
      <w:r>
        <w:rPr>
          <w:rFonts w:eastAsia="楷体_GB2312"/>
          <w:b/>
          <w:bCs/>
          <w:i/>
          <w:iCs/>
          <w:lang w:eastAsia="zh-CN"/>
        </w:rPr>
        <w:t>附件一</w:t>
      </w:r>
      <w:r>
        <w:rPr>
          <w:rFonts w:eastAsia="楷体_GB2312"/>
          <w:lang w:eastAsia="zh-CN"/>
        </w:rPr>
        <w:t>）；</w:t>
      </w:r>
    </w:p>
    <w:p w14:paraId="3C17D706">
      <w:pPr>
        <w:ind w:left="1418" w:hanging="420"/>
        <w:jc w:val="both"/>
        <w:rPr>
          <w:rFonts w:eastAsia="楷体_GB2312"/>
          <w:lang w:eastAsia="zh-CN"/>
        </w:rPr>
      </w:pPr>
    </w:p>
    <w:p w14:paraId="79A0CF1A">
      <w:pPr>
        <w:pStyle w:val="40"/>
        <w:numPr>
          <w:ilvl w:val="0"/>
          <w:numId w:val="11"/>
        </w:numPr>
        <w:spacing w:line="360" w:lineRule="auto"/>
        <w:ind w:left="1418" w:firstLineChars="0"/>
        <w:jc w:val="both"/>
        <w:rPr>
          <w:rFonts w:eastAsia="楷体_GB2312"/>
          <w:lang w:eastAsia="zh-CN"/>
        </w:rPr>
      </w:pPr>
      <w:r>
        <w:rPr>
          <w:rFonts w:eastAsia="楷体_GB2312"/>
          <w:lang w:eastAsia="zh-CN"/>
        </w:rPr>
        <w:t>“受托人”已向“委托人”交付了“受托人”的金融许可证、营业执照以及批准“受托人”签署“交易文件”以及进行本合同项下的交易的必要的公司文件、批文或授权书的复印件；</w:t>
      </w:r>
    </w:p>
    <w:p w14:paraId="29362084">
      <w:pPr>
        <w:jc w:val="both"/>
        <w:rPr>
          <w:rFonts w:eastAsia="楷体_GB2312"/>
          <w:lang w:eastAsia="zh-CN"/>
        </w:rPr>
      </w:pPr>
    </w:p>
    <w:p w14:paraId="1C8A3C66">
      <w:pPr>
        <w:pStyle w:val="40"/>
        <w:numPr>
          <w:ilvl w:val="0"/>
          <w:numId w:val="11"/>
        </w:numPr>
        <w:spacing w:line="360" w:lineRule="auto"/>
        <w:ind w:left="1418" w:firstLineChars="0"/>
        <w:jc w:val="both"/>
        <w:rPr>
          <w:rFonts w:eastAsia="楷体_GB2312"/>
          <w:lang w:eastAsia="zh-CN"/>
        </w:rPr>
      </w:pPr>
      <w:bookmarkStart w:id="81" w:name="_Hlk103858261"/>
      <w:r>
        <w:rPr>
          <w:rFonts w:eastAsia="楷体_GB2312"/>
          <w:lang w:eastAsia="zh-CN"/>
        </w:rPr>
        <w:t>“《主定义表》”、“《信托合同》”、“《服务合同》”、“《资产持续购买合同》”、“《资金保管合同》”、“《承销协议》”的相关各方已向“受托人”和该等文件的其他各方交付了经其妥为签署的该等文件正本；</w:t>
      </w:r>
    </w:p>
    <w:p w14:paraId="7E3BE3BA">
      <w:pPr>
        <w:pStyle w:val="40"/>
        <w:spacing w:line="360" w:lineRule="auto"/>
        <w:ind w:left="1418" w:firstLine="0" w:firstLineChars="0"/>
        <w:jc w:val="both"/>
        <w:rPr>
          <w:rFonts w:eastAsia="楷体_GB2312"/>
          <w:color w:val="FF0000"/>
          <w:lang w:eastAsia="zh-CN"/>
        </w:rPr>
      </w:pPr>
      <w:r>
        <w:rPr>
          <w:rFonts w:eastAsia="楷体_GB2312"/>
          <w:b/>
          <w:bCs/>
          <w:i/>
          <w:iCs/>
          <w:color w:val="FF0000"/>
          <w:lang w:eastAsia="zh-CN"/>
        </w:rPr>
        <w:t>【注：如无持续购买安排，应删除《资产持续购买合同》的相关表述，下同。】</w:t>
      </w:r>
    </w:p>
    <w:bookmarkEnd w:id="81"/>
    <w:p w14:paraId="5A9C4C22">
      <w:pPr>
        <w:ind w:left="1418" w:hanging="420"/>
        <w:jc w:val="both"/>
        <w:rPr>
          <w:rFonts w:eastAsia="楷体_GB2312"/>
          <w:lang w:eastAsia="zh-CN"/>
        </w:rPr>
      </w:pPr>
    </w:p>
    <w:p w14:paraId="39218E0B">
      <w:pPr>
        <w:pStyle w:val="40"/>
        <w:numPr>
          <w:ilvl w:val="0"/>
          <w:numId w:val="11"/>
        </w:numPr>
        <w:spacing w:line="360" w:lineRule="auto"/>
        <w:ind w:left="1418" w:firstLineChars="0"/>
        <w:jc w:val="both"/>
        <w:rPr>
          <w:rFonts w:eastAsia="楷体_GB2312"/>
          <w:lang w:eastAsia="zh-CN"/>
        </w:rPr>
      </w:pPr>
      <w:r>
        <w:rPr>
          <w:rFonts w:eastAsia="楷体_GB2312"/>
          <w:lang w:eastAsia="zh-CN"/>
        </w:rPr>
        <w:t>“委托人”已取得“金融监管总局”关于信贷资产证券化业务的资格批复文件；</w:t>
      </w:r>
    </w:p>
    <w:p w14:paraId="5752FFBB">
      <w:pPr>
        <w:pStyle w:val="40"/>
        <w:spacing w:line="360" w:lineRule="auto"/>
        <w:ind w:left="998" w:firstLine="0" w:firstLineChars="0"/>
        <w:jc w:val="both"/>
        <w:rPr>
          <w:rFonts w:eastAsia="楷体_GB2312"/>
          <w:lang w:eastAsia="zh-CN"/>
        </w:rPr>
      </w:pPr>
    </w:p>
    <w:p w14:paraId="26298A91">
      <w:pPr>
        <w:pStyle w:val="40"/>
        <w:numPr>
          <w:ilvl w:val="0"/>
          <w:numId w:val="11"/>
        </w:numPr>
        <w:spacing w:line="360" w:lineRule="auto"/>
        <w:ind w:left="1418" w:firstLineChars="0"/>
        <w:jc w:val="both"/>
        <w:rPr>
          <w:rFonts w:eastAsia="楷体_GB2312"/>
          <w:lang w:eastAsia="zh-CN"/>
        </w:rPr>
      </w:pPr>
      <w:r>
        <w:rPr>
          <w:rFonts w:eastAsia="楷体_GB2312"/>
          <w:lang w:eastAsia="zh-CN"/>
        </w:rPr>
        <w:t>“银登中心”已就本信贷资产证券化项目出具产品信息登记编码；</w:t>
      </w:r>
    </w:p>
    <w:p w14:paraId="22B5AA27">
      <w:pPr>
        <w:ind w:left="1418" w:hanging="420"/>
        <w:jc w:val="both"/>
        <w:rPr>
          <w:rFonts w:eastAsia="楷体_GB2312"/>
          <w:lang w:eastAsia="zh-CN"/>
        </w:rPr>
      </w:pPr>
    </w:p>
    <w:p w14:paraId="2E4D6CF7">
      <w:pPr>
        <w:pStyle w:val="40"/>
        <w:numPr>
          <w:ilvl w:val="0"/>
          <w:numId w:val="11"/>
        </w:numPr>
        <w:spacing w:line="360" w:lineRule="auto"/>
        <w:ind w:left="1418" w:firstLineChars="0"/>
        <w:jc w:val="both"/>
        <w:rPr>
          <w:rFonts w:eastAsia="楷体_GB2312"/>
          <w:lang w:eastAsia="zh-CN"/>
        </w:rPr>
      </w:pPr>
      <w:r>
        <w:rPr>
          <w:rFonts w:eastAsia="楷体_GB2312"/>
          <w:lang w:eastAsia="zh-CN"/>
        </w:rPr>
        <w:t>“受托人”已取得“人民银行”关于“受托人”发行本次“资产支持证券”的注册文件并按照“人民银行”的规定履行完毕信息披露等发行相关手续；</w:t>
      </w:r>
    </w:p>
    <w:p w14:paraId="6B5A0E8D">
      <w:pPr>
        <w:ind w:left="1418" w:hanging="420"/>
        <w:jc w:val="both"/>
        <w:rPr>
          <w:rFonts w:eastAsia="楷体_GB2312"/>
          <w:lang w:eastAsia="zh-CN"/>
        </w:rPr>
      </w:pPr>
    </w:p>
    <w:p w14:paraId="78ED3AB8">
      <w:pPr>
        <w:pStyle w:val="40"/>
        <w:numPr>
          <w:ilvl w:val="0"/>
          <w:numId w:val="11"/>
        </w:numPr>
        <w:spacing w:line="360" w:lineRule="auto"/>
        <w:ind w:left="1418" w:firstLineChars="0"/>
        <w:jc w:val="both"/>
        <w:rPr>
          <w:rFonts w:eastAsia="楷体_GB2312"/>
          <w:lang w:eastAsia="zh-CN"/>
        </w:rPr>
      </w:pPr>
      <w:r>
        <w:rPr>
          <w:rFonts w:eastAsia="楷体_GB2312"/>
          <w:lang w:eastAsia="zh-CN"/>
        </w:rPr>
        <w:t>“受托人”已就本次“资产支持证券”的发行完成在“人民银行”的发行前备案；</w:t>
      </w:r>
    </w:p>
    <w:p w14:paraId="3FF29CA8">
      <w:pPr>
        <w:pStyle w:val="40"/>
        <w:ind w:firstLine="480"/>
        <w:jc w:val="both"/>
        <w:rPr>
          <w:rFonts w:eastAsia="楷体_GB2312"/>
          <w:lang w:eastAsia="zh-CN"/>
        </w:rPr>
      </w:pPr>
    </w:p>
    <w:p w14:paraId="59709D97">
      <w:pPr>
        <w:pStyle w:val="40"/>
        <w:numPr>
          <w:ilvl w:val="0"/>
          <w:numId w:val="11"/>
        </w:numPr>
        <w:spacing w:line="360" w:lineRule="auto"/>
        <w:ind w:left="1418" w:firstLineChars="0"/>
        <w:jc w:val="both"/>
        <w:rPr>
          <w:rFonts w:eastAsia="楷体_GB2312"/>
          <w:lang w:eastAsia="zh-CN"/>
        </w:rPr>
      </w:pPr>
      <w:r>
        <w:rPr>
          <w:rFonts w:eastAsia="楷体_GB2312"/>
          <w:lang w:eastAsia="zh-CN"/>
        </w:rPr>
        <w:t>“资产支持证券”发行成功；</w:t>
      </w:r>
    </w:p>
    <w:p w14:paraId="505A8B69">
      <w:pPr>
        <w:ind w:left="1418" w:hanging="420"/>
        <w:jc w:val="both"/>
        <w:rPr>
          <w:rFonts w:eastAsia="楷体_GB2312"/>
          <w:lang w:eastAsia="zh-CN"/>
        </w:rPr>
      </w:pPr>
    </w:p>
    <w:p w14:paraId="3CA32804">
      <w:pPr>
        <w:pStyle w:val="40"/>
        <w:numPr>
          <w:ilvl w:val="0"/>
          <w:numId w:val="11"/>
        </w:numPr>
        <w:spacing w:line="360" w:lineRule="auto"/>
        <w:ind w:left="1418" w:firstLineChars="0"/>
        <w:jc w:val="both"/>
        <w:rPr>
          <w:rFonts w:eastAsia="楷体_GB2312"/>
          <w:lang w:eastAsia="zh-CN"/>
        </w:rPr>
      </w:pPr>
      <w:r>
        <w:rPr>
          <w:rFonts w:eastAsia="楷体_GB2312"/>
          <w:lang w:eastAsia="zh-CN"/>
        </w:rPr>
        <w:t>“会计顾问”已就初始“基础资产”信托予“受托人”出具了</w:t>
      </w:r>
      <w:r>
        <w:rPr>
          <w:rFonts w:eastAsia="楷体_GB2312"/>
          <w:color w:val="000000"/>
        </w:rPr>
        <w:t>执行商定程序的报告、会计处理意见和税务意见</w:t>
      </w:r>
      <w:r>
        <w:rPr>
          <w:rFonts w:eastAsia="楷体_GB2312"/>
          <w:lang w:eastAsia="zh-CN"/>
        </w:rPr>
        <w:t>；</w:t>
      </w:r>
    </w:p>
    <w:p w14:paraId="5A42F85E">
      <w:pPr>
        <w:ind w:left="1418" w:hanging="420"/>
        <w:jc w:val="both"/>
        <w:rPr>
          <w:rFonts w:eastAsia="楷体_GB2312"/>
          <w:lang w:eastAsia="zh-CN"/>
        </w:rPr>
      </w:pPr>
    </w:p>
    <w:p w14:paraId="563F22F6">
      <w:pPr>
        <w:pStyle w:val="40"/>
        <w:numPr>
          <w:ilvl w:val="0"/>
          <w:numId w:val="11"/>
        </w:numPr>
        <w:spacing w:line="360" w:lineRule="auto"/>
        <w:ind w:left="1418" w:firstLineChars="0"/>
        <w:jc w:val="both"/>
        <w:rPr>
          <w:rFonts w:eastAsia="楷体_GB2312"/>
          <w:lang w:eastAsia="zh-CN"/>
        </w:rPr>
      </w:pPr>
      <w:r>
        <w:rPr>
          <w:rFonts w:eastAsia="楷体_GB2312"/>
          <w:lang w:eastAsia="zh-CN"/>
        </w:rPr>
        <w:t>“法律顾问”已经出具了法律意见书，除其他事项以外，应就“交易文件”的合法性、有效性以及“信托”设立的合法性发表法律意见；</w:t>
      </w:r>
    </w:p>
    <w:p w14:paraId="4F2D1806">
      <w:pPr>
        <w:ind w:left="1418" w:hanging="420"/>
        <w:jc w:val="both"/>
        <w:rPr>
          <w:rFonts w:eastAsia="楷体_GB2312"/>
          <w:lang w:eastAsia="zh-CN"/>
        </w:rPr>
      </w:pPr>
    </w:p>
    <w:p w14:paraId="0FFF8429">
      <w:pPr>
        <w:pStyle w:val="40"/>
        <w:numPr>
          <w:ilvl w:val="0"/>
          <w:numId w:val="11"/>
        </w:numPr>
        <w:spacing w:line="360" w:lineRule="auto"/>
        <w:ind w:left="1418" w:firstLineChars="0"/>
        <w:jc w:val="both"/>
        <w:rPr>
          <w:rFonts w:eastAsia="楷体_GB2312"/>
          <w:lang w:eastAsia="zh-CN"/>
        </w:rPr>
      </w:pPr>
      <w:bookmarkStart w:id="82" w:name="_Ref331515210"/>
      <w:r>
        <w:rPr>
          <w:rFonts w:eastAsia="楷体_GB2312"/>
          <w:lang w:eastAsia="zh-CN"/>
        </w:rPr>
        <w:t>“委托人”和“受托人”已按照本合同第</w:t>
      </w:r>
      <w:r>
        <w:rPr>
          <w:rFonts w:eastAsia="楷体_GB2312"/>
          <w:lang w:eastAsia="zh-CN"/>
        </w:rPr>
        <w:fldChar w:fldCharType="begin"/>
      </w:r>
      <w:r>
        <w:rPr>
          <w:rFonts w:eastAsia="楷体_GB2312"/>
          <w:lang w:eastAsia="zh-CN"/>
        </w:rPr>
        <w:instrText xml:space="preserve"> REF _Ref333404977 \r \h  \* MERGEFORMAT </w:instrText>
      </w:r>
      <w:r>
        <w:rPr>
          <w:rFonts w:eastAsia="楷体_GB2312"/>
          <w:lang w:eastAsia="zh-CN"/>
        </w:rPr>
        <w:fldChar w:fldCharType="separate"/>
      </w:r>
      <w:r>
        <w:rPr>
          <w:rFonts w:eastAsia="楷体_GB2312"/>
          <w:lang w:eastAsia="zh-CN"/>
        </w:rPr>
        <w:t>3.10</w:t>
      </w:r>
      <w:r>
        <w:rPr>
          <w:rFonts w:eastAsia="楷体_GB2312"/>
          <w:lang w:eastAsia="zh-CN"/>
        </w:rPr>
        <w:fldChar w:fldCharType="end"/>
      </w:r>
      <w:r>
        <w:rPr>
          <w:rFonts w:eastAsia="楷体_GB2312"/>
          <w:lang w:eastAsia="zh-CN"/>
        </w:rPr>
        <w:t>款的约定完成“信托财产”的交付。</w:t>
      </w:r>
      <w:bookmarkEnd w:id="80"/>
      <w:bookmarkEnd w:id="82"/>
    </w:p>
    <w:p w14:paraId="587DD489">
      <w:pPr>
        <w:spacing w:line="360" w:lineRule="auto"/>
        <w:ind w:left="1471" w:leftChars="613"/>
        <w:jc w:val="both"/>
        <w:rPr>
          <w:rFonts w:eastAsia="楷体_GB2312"/>
          <w:b/>
          <w:bCs/>
          <w:i/>
          <w:iCs/>
          <w:color w:val="FF0000"/>
          <w:lang w:eastAsia="zh-CN"/>
        </w:rPr>
      </w:pPr>
      <w:r>
        <w:rPr>
          <w:rFonts w:eastAsia="楷体_GB2312"/>
          <w:b/>
          <w:bCs/>
          <w:i/>
          <w:iCs/>
          <w:color w:val="FF0000"/>
        </w:rPr>
        <w:t>【注：信托设立的前提条件请结合项目实际情况一一确认和调整（如需）。】</w:t>
      </w:r>
    </w:p>
    <w:p w14:paraId="6E4F7C16">
      <w:pPr>
        <w:spacing w:line="360" w:lineRule="auto"/>
        <w:ind w:left="991" w:leftChars="413"/>
        <w:jc w:val="both"/>
        <w:rPr>
          <w:rFonts w:eastAsia="楷体_GB2312"/>
          <w:b/>
          <w:lang w:eastAsia="zh-CN"/>
        </w:rPr>
      </w:pPr>
    </w:p>
    <w:p w14:paraId="7A583C8B">
      <w:pPr>
        <w:widowControl w:val="0"/>
        <w:numPr>
          <w:ilvl w:val="1"/>
          <w:numId w:val="8"/>
        </w:numPr>
        <w:tabs>
          <w:tab w:val="left" w:pos="900"/>
        </w:tabs>
        <w:spacing w:line="360" w:lineRule="auto"/>
        <w:jc w:val="both"/>
        <w:outlineLvl w:val="1"/>
        <w:rPr>
          <w:rFonts w:eastAsia="楷体_GB2312"/>
          <w:b/>
        </w:rPr>
      </w:pPr>
      <w:bookmarkStart w:id="83" w:name="_Toc146989560"/>
      <w:bookmarkEnd w:id="83"/>
      <w:bookmarkStart w:id="84" w:name="_Toc146989561"/>
      <w:bookmarkEnd w:id="84"/>
      <w:bookmarkStart w:id="85" w:name="_Toc146989559"/>
      <w:bookmarkEnd w:id="85"/>
      <w:bookmarkStart w:id="86" w:name="_Toc201569381"/>
      <w:bookmarkStart w:id="87" w:name="_Toc111281773"/>
      <w:bookmarkStart w:id="88" w:name="_Ref201576687"/>
      <w:bookmarkStart w:id="89" w:name="_Ref201652815"/>
      <w:bookmarkStart w:id="90" w:name="_Toc110153422"/>
      <w:bookmarkStart w:id="91" w:name="_Ref146337698"/>
      <w:r>
        <w:rPr>
          <w:rFonts w:eastAsia="楷体_GB2312"/>
          <w:b/>
        </w:rPr>
        <w:t>信托设立公告</w:t>
      </w:r>
    </w:p>
    <w:p w14:paraId="261797B5">
      <w:pPr>
        <w:tabs>
          <w:tab w:val="left" w:pos="900"/>
        </w:tabs>
        <w:spacing w:line="360" w:lineRule="auto"/>
        <w:jc w:val="both"/>
        <w:rPr>
          <w:rFonts w:eastAsia="楷体_GB2312"/>
          <w:b/>
        </w:rPr>
      </w:pPr>
    </w:p>
    <w:p w14:paraId="7223D44A">
      <w:pPr>
        <w:spacing w:line="360" w:lineRule="auto"/>
        <w:ind w:left="991" w:leftChars="413"/>
        <w:jc w:val="both"/>
        <w:rPr>
          <w:rFonts w:eastAsia="楷体_GB2312"/>
          <w:lang w:eastAsia="zh-CN"/>
        </w:rPr>
      </w:pPr>
      <w:r>
        <w:rPr>
          <w:rFonts w:eastAsia="楷体_GB2312"/>
          <w:lang w:eastAsia="zh-CN"/>
        </w:rPr>
        <w:t>“委托人”与“受托人”应于“信托生效日”前根据相关“中国”“法律”的规定在全国性媒体上发布公告，将初始“基础资产”设立“信托”之事宜予以公布。</w:t>
      </w:r>
      <w:r>
        <w:rPr>
          <w:rFonts w:eastAsia="楷体_GB2312"/>
        </w:rPr>
        <w:t>“信托”设立的公告费用由“委托人”承担。</w:t>
      </w:r>
    </w:p>
    <w:p w14:paraId="63941D68">
      <w:pPr>
        <w:spacing w:line="360" w:lineRule="auto"/>
        <w:ind w:left="991" w:leftChars="413"/>
        <w:jc w:val="both"/>
        <w:rPr>
          <w:rFonts w:eastAsia="楷体_GB2312"/>
          <w:color w:val="FF0000"/>
          <w:lang w:eastAsia="zh-CN"/>
        </w:rPr>
      </w:pPr>
      <w:r>
        <w:rPr>
          <w:rFonts w:eastAsia="楷体_GB2312"/>
          <w:b/>
          <w:i/>
          <w:iCs/>
          <w:color w:val="FF0000"/>
          <w:lang w:eastAsia="zh-CN"/>
        </w:rPr>
        <w:t>【注：“信托”设立的公告费用的承担方式，可根据项目实际情况进行调整。】</w:t>
      </w:r>
    </w:p>
    <w:bookmarkEnd w:id="86"/>
    <w:bookmarkEnd w:id="87"/>
    <w:bookmarkEnd w:id="88"/>
    <w:bookmarkEnd w:id="89"/>
    <w:bookmarkEnd w:id="90"/>
    <w:bookmarkEnd w:id="91"/>
    <w:p w14:paraId="443908CE">
      <w:pPr>
        <w:jc w:val="both"/>
        <w:rPr>
          <w:rFonts w:eastAsia="楷体_GB2312"/>
          <w:b/>
        </w:rPr>
      </w:pPr>
    </w:p>
    <w:p w14:paraId="5B13A17F">
      <w:pPr>
        <w:widowControl w:val="0"/>
        <w:numPr>
          <w:ilvl w:val="1"/>
          <w:numId w:val="8"/>
        </w:numPr>
        <w:tabs>
          <w:tab w:val="left" w:pos="900"/>
        </w:tabs>
        <w:spacing w:line="360" w:lineRule="auto"/>
        <w:jc w:val="both"/>
        <w:outlineLvl w:val="1"/>
        <w:rPr>
          <w:rFonts w:eastAsia="楷体_GB2312"/>
          <w:b/>
        </w:rPr>
      </w:pPr>
      <w:bookmarkStart w:id="92" w:name="_Ref333404977"/>
      <w:r>
        <w:rPr>
          <w:rFonts w:eastAsia="楷体_GB2312"/>
          <w:b/>
          <w:lang w:eastAsia="zh-CN"/>
        </w:rPr>
        <w:t>信托财产的交付</w:t>
      </w:r>
      <w:bookmarkEnd w:id="92"/>
    </w:p>
    <w:p w14:paraId="1B277D19">
      <w:pPr>
        <w:jc w:val="both"/>
        <w:rPr>
          <w:rFonts w:eastAsia="楷体_GB2312"/>
          <w:b/>
        </w:rPr>
      </w:pPr>
    </w:p>
    <w:bookmarkEnd w:id="71"/>
    <w:p w14:paraId="54F6FA81">
      <w:pPr>
        <w:spacing w:line="360" w:lineRule="auto"/>
        <w:ind w:left="992" w:leftChars="355" w:hanging="140" w:hangingChars="58"/>
        <w:jc w:val="both"/>
        <w:rPr>
          <w:rFonts w:eastAsia="楷体_GB2312"/>
          <w:color w:val="FF0000"/>
          <w:lang w:eastAsia="zh-CN"/>
        </w:rPr>
      </w:pPr>
      <w:r>
        <w:rPr>
          <w:rFonts w:eastAsia="楷体_GB2312"/>
          <w:b/>
          <w:bCs/>
          <w:i/>
          <w:iCs/>
          <w:color w:val="FF0000"/>
          <w:lang w:eastAsia="zh-CN"/>
        </w:rPr>
        <w:t>【注：信托财产的交付形式可根据具体项目情况调整。】</w:t>
      </w:r>
    </w:p>
    <w:p w14:paraId="21F4F936">
      <w:pPr>
        <w:spacing w:line="360" w:lineRule="auto"/>
        <w:ind w:left="991" w:leftChars="413"/>
        <w:jc w:val="both"/>
        <w:rPr>
          <w:rFonts w:eastAsia="楷体_GB2312"/>
          <w:lang w:eastAsia="zh-CN"/>
        </w:rPr>
      </w:pPr>
      <w:r>
        <w:rPr>
          <w:rFonts w:eastAsia="楷体_GB2312"/>
          <w:lang w:eastAsia="zh-CN"/>
        </w:rPr>
        <w:t>本合同第</w:t>
      </w:r>
      <w:r>
        <w:rPr>
          <w:rFonts w:eastAsia="楷体_GB2312"/>
          <w:lang w:eastAsia="zh-CN"/>
        </w:rPr>
        <w:fldChar w:fldCharType="begin"/>
      </w:r>
      <w:r>
        <w:rPr>
          <w:rFonts w:eastAsia="楷体_GB2312"/>
          <w:lang w:eastAsia="zh-CN"/>
        </w:rPr>
        <w:instrText xml:space="preserve"> REF _Ref331515114 \r \h  \* MERGEFORMAT </w:instrText>
      </w:r>
      <w:r>
        <w:rPr>
          <w:rFonts w:eastAsia="楷体_GB2312"/>
          <w:lang w:eastAsia="zh-CN"/>
        </w:rPr>
        <w:fldChar w:fldCharType="separate"/>
      </w:r>
      <w:r>
        <w:rPr>
          <w:rFonts w:eastAsia="楷体_GB2312"/>
          <w:lang w:eastAsia="zh-CN"/>
        </w:rPr>
        <w:t>3.8</w:t>
      </w:r>
      <w:r>
        <w:rPr>
          <w:rFonts w:eastAsia="楷体_GB2312"/>
          <w:lang w:eastAsia="zh-CN"/>
        </w:rPr>
        <w:fldChar w:fldCharType="end"/>
      </w:r>
      <w:r>
        <w:rPr>
          <w:rFonts w:eastAsia="楷体_GB2312"/>
          <w:lang w:eastAsia="zh-CN"/>
        </w:rPr>
        <w:t>款约定的条件均已满足</w:t>
      </w:r>
      <w:r>
        <w:rPr>
          <w:rFonts w:eastAsia="楷体_GB2312"/>
          <w:lang w:val="en-GB" w:eastAsia="zh-CN"/>
        </w:rPr>
        <w:t>或被放弃</w:t>
      </w:r>
      <w:r>
        <w:rPr>
          <w:rFonts w:eastAsia="楷体_GB2312"/>
          <w:lang w:eastAsia="zh-CN"/>
        </w:rPr>
        <w:t>的（但本合同第</w:t>
      </w:r>
      <w:r>
        <w:rPr>
          <w:rFonts w:eastAsia="楷体_GB2312"/>
          <w:lang w:eastAsia="zh-CN"/>
        </w:rPr>
        <w:fldChar w:fldCharType="begin"/>
      </w:r>
      <w:r>
        <w:rPr>
          <w:rFonts w:eastAsia="楷体_GB2312"/>
          <w:lang w:eastAsia="zh-CN"/>
        </w:rPr>
        <w:instrText xml:space="preserve"> REF _Ref331515114 \r \h  \* MERGEFORMAT </w:instrText>
      </w:r>
      <w:r>
        <w:rPr>
          <w:rFonts w:eastAsia="楷体_GB2312"/>
          <w:lang w:eastAsia="zh-CN"/>
        </w:rPr>
        <w:fldChar w:fldCharType="separate"/>
      </w:r>
      <w:r>
        <w:rPr>
          <w:rFonts w:eastAsia="楷体_GB2312"/>
          <w:lang w:eastAsia="zh-CN"/>
        </w:rPr>
        <w:t>3.8</w:t>
      </w:r>
      <w:r>
        <w:rPr>
          <w:rFonts w:eastAsia="楷体_GB2312"/>
          <w:lang w:eastAsia="zh-CN"/>
        </w:rPr>
        <w:fldChar w:fldCharType="end"/>
      </w:r>
      <w:r>
        <w:rPr>
          <w:rFonts w:eastAsia="楷体_GB2312"/>
          <w:lang w:eastAsia="zh-CN"/>
        </w:rPr>
        <w:t>款第</w:t>
      </w:r>
      <w:r>
        <w:rPr>
          <w:rFonts w:eastAsia="楷体_GB2312"/>
        </w:rPr>
        <w:fldChar w:fldCharType="begin"/>
      </w:r>
      <w:r>
        <w:rPr>
          <w:rFonts w:eastAsia="楷体_GB2312"/>
          <w:lang w:eastAsia="zh-CN"/>
        </w:rPr>
        <w:instrText xml:space="preserve"> REF _Ref331515210 \r \h  \* MERGEFORMAT </w:instrText>
      </w:r>
      <w:r>
        <w:rPr>
          <w:rFonts w:eastAsia="楷体_GB2312"/>
        </w:rPr>
        <w:fldChar w:fldCharType="separate"/>
      </w:r>
      <w:r>
        <w:rPr>
          <w:rFonts w:eastAsia="楷体_GB2312"/>
          <w:lang w:eastAsia="zh-CN"/>
        </w:rPr>
        <w:t>(12)</w:t>
      </w:r>
      <w:r>
        <w:rPr>
          <w:rFonts w:eastAsia="楷体_GB2312"/>
        </w:rPr>
        <w:fldChar w:fldCharType="end"/>
      </w:r>
      <w:r>
        <w:rPr>
          <w:rFonts w:eastAsia="楷体_GB2312"/>
          <w:lang w:eastAsia="zh-CN"/>
        </w:rPr>
        <w:t>项除外），“委托人”应不迟于“信托财产交付日”：</w:t>
      </w:r>
    </w:p>
    <w:p w14:paraId="4E0957FF">
      <w:pPr>
        <w:tabs>
          <w:tab w:val="left" w:pos="1571"/>
        </w:tabs>
        <w:spacing w:line="360" w:lineRule="auto"/>
        <w:ind w:left="851"/>
        <w:jc w:val="both"/>
        <w:rPr>
          <w:rFonts w:eastAsia="楷体_GB2312"/>
          <w:lang w:eastAsia="zh-CN"/>
        </w:rPr>
      </w:pPr>
    </w:p>
    <w:p w14:paraId="5781A122">
      <w:pPr>
        <w:widowControl w:val="0"/>
        <w:numPr>
          <w:ilvl w:val="2"/>
          <w:numId w:val="8"/>
        </w:numPr>
        <w:tabs>
          <w:tab w:val="left" w:pos="1620"/>
        </w:tabs>
        <w:spacing w:line="360" w:lineRule="auto"/>
        <w:ind w:left="1620" w:hanging="769"/>
        <w:jc w:val="both"/>
        <w:rPr>
          <w:rFonts w:eastAsia="楷体_GB2312"/>
          <w:w w:val="0"/>
          <w:lang w:eastAsia="zh-CN"/>
        </w:rPr>
      </w:pPr>
      <w:bookmarkStart w:id="93" w:name="_Ref333410977"/>
      <w:r>
        <w:rPr>
          <w:rFonts w:eastAsia="楷体_GB2312"/>
          <w:w w:val="0"/>
          <w:lang w:eastAsia="zh-CN"/>
        </w:rPr>
        <w:t>将初始“基础资产”对应的“基础资产清单”</w:t>
      </w:r>
      <w:bookmarkStart w:id="94" w:name="_Ref201652822"/>
      <w:r>
        <w:rPr>
          <w:rFonts w:eastAsia="楷体_GB2312"/>
          <w:w w:val="0"/>
          <w:lang w:eastAsia="zh-CN"/>
        </w:rPr>
        <w:t>载有“贷款合同”编号信息并盖有“委托人”骑缝公章的索引的纸质版及由“委托人”启用写保护功能的完整电子版交付给“受托人”</w:t>
      </w:r>
      <w:r>
        <w:rPr>
          <w:rFonts w:hint="eastAsia" w:eastAsia="楷体_GB2312"/>
          <w:w w:val="0"/>
          <w:lang w:eastAsia="zh-CN"/>
        </w:rPr>
        <w:t>。</w:t>
      </w:r>
      <w:r>
        <w:rPr>
          <w:rFonts w:eastAsia="楷体_GB2312"/>
          <w:w w:val="0"/>
          <w:lang w:eastAsia="zh-CN"/>
        </w:rPr>
        <w:t>“受托人”应于当日向“委托人”出具已经接收的确认函（格式见本合同</w:t>
      </w:r>
      <w:r>
        <w:rPr>
          <w:rFonts w:eastAsia="楷体_GB2312"/>
          <w:b/>
          <w:i/>
          <w:w w:val="0"/>
          <w:lang w:eastAsia="zh-CN"/>
        </w:rPr>
        <w:t>附件二</w:t>
      </w:r>
      <w:r>
        <w:rPr>
          <w:rFonts w:eastAsia="楷体_GB2312"/>
          <w:w w:val="0"/>
          <w:lang w:eastAsia="zh-CN"/>
        </w:rPr>
        <w:t>）。</w:t>
      </w:r>
      <w:bookmarkEnd w:id="93"/>
      <w:bookmarkEnd w:id="94"/>
    </w:p>
    <w:p w14:paraId="230F8AD7">
      <w:pPr>
        <w:jc w:val="both"/>
        <w:rPr>
          <w:rFonts w:eastAsia="楷体_GB2312"/>
          <w:w w:val="0"/>
          <w:lang w:eastAsia="zh-CN"/>
        </w:rPr>
      </w:pPr>
    </w:p>
    <w:p w14:paraId="264E2CC1">
      <w:pPr>
        <w:widowControl w:val="0"/>
        <w:numPr>
          <w:ilvl w:val="2"/>
          <w:numId w:val="8"/>
        </w:numPr>
        <w:tabs>
          <w:tab w:val="left" w:pos="1620"/>
        </w:tabs>
        <w:spacing w:line="360" w:lineRule="auto"/>
        <w:ind w:left="1620" w:hanging="769"/>
        <w:jc w:val="both"/>
        <w:rPr>
          <w:rFonts w:eastAsia="楷体_GB2312"/>
          <w:w w:val="0"/>
          <w:lang w:eastAsia="zh-CN"/>
        </w:rPr>
      </w:pPr>
      <w:bookmarkStart w:id="95" w:name="_Ref1553393"/>
      <w:r>
        <w:rPr>
          <w:rFonts w:eastAsia="楷体_GB2312"/>
          <w:w w:val="0"/>
          <w:lang w:eastAsia="zh-CN"/>
        </w:rPr>
        <w:t>将自“初始起算日”（含该日）起至“信托生效日”（不含该日）实际</w:t>
      </w:r>
      <w:r>
        <w:rPr>
          <w:rFonts w:eastAsia="楷体_GB2312"/>
          <w:lang w:eastAsia="zh-CN"/>
        </w:rPr>
        <w:t>收到</w:t>
      </w:r>
      <w:r>
        <w:rPr>
          <w:rFonts w:eastAsia="楷体_GB2312"/>
          <w:w w:val="0"/>
          <w:lang w:eastAsia="zh-CN"/>
        </w:rPr>
        <w:t>的所有“回收款”（扣除“委托人”就该等“回收款”已实际缴纳的截至“信托生效日”前一个自然月最后一日的增值税及附加）交付给作为“受托人”代理人的“贷款服务机构”（自“</w:t>
      </w:r>
      <w:r>
        <w:rPr>
          <w:rFonts w:hint="eastAsia" w:eastAsia="楷体_GB2312"/>
          <w:w w:val="0"/>
          <w:lang w:eastAsia="zh-CN"/>
        </w:rPr>
        <w:t>【贷款服务机构全称】</w:t>
      </w:r>
      <w:r>
        <w:rPr>
          <w:rFonts w:eastAsia="楷体_GB2312"/>
          <w:w w:val="0"/>
          <w:lang w:eastAsia="zh-CN"/>
        </w:rPr>
        <w:t>”担任“贷款服务机构”起，该等“回收款”应被视为已交付给作为“受托人”代理人的“贷款服务机构”），并由“贷款服务机构”于第一个“回收款转付日”将该等款项连同“信托生效日”（含该日）起至“信托生效日”后第一个“计算日”（含该日）收到的所有“回收款”一并划转入“信托账户”。</w:t>
      </w:r>
      <w:bookmarkEnd w:id="95"/>
    </w:p>
    <w:p w14:paraId="2017A901">
      <w:pPr>
        <w:pStyle w:val="40"/>
        <w:ind w:firstLine="480"/>
        <w:jc w:val="both"/>
        <w:rPr>
          <w:rFonts w:eastAsia="楷体_GB2312"/>
          <w:bCs/>
          <w:lang w:eastAsia="zh-CN"/>
        </w:rPr>
      </w:pPr>
    </w:p>
    <w:p w14:paraId="46BB4A61">
      <w:pPr>
        <w:widowControl w:val="0"/>
        <w:numPr>
          <w:ilvl w:val="2"/>
          <w:numId w:val="8"/>
        </w:numPr>
        <w:tabs>
          <w:tab w:val="left" w:pos="1620"/>
        </w:tabs>
        <w:spacing w:line="360" w:lineRule="auto"/>
        <w:ind w:left="1620" w:hanging="769"/>
        <w:jc w:val="both"/>
        <w:rPr>
          <w:rFonts w:eastAsia="楷体_GB2312"/>
          <w:bCs/>
          <w:lang w:eastAsia="zh-CN"/>
        </w:rPr>
      </w:pPr>
      <w:r>
        <w:rPr>
          <w:rFonts w:eastAsia="楷体_GB2312"/>
          <w:bCs/>
          <w:lang w:eastAsia="zh-CN"/>
        </w:rPr>
        <w:t>在本合同第</w:t>
      </w:r>
      <w:r>
        <w:rPr>
          <w:rFonts w:eastAsia="楷体_GB2312"/>
          <w:bCs/>
          <w:lang w:eastAsia="zh-CN"/>
        </w:rPr>
        <w:fldChar w:fldCharType="begin"/>
      </w:r>
      <w:r>
        <w:rPr>
          <w:rFonts w:eastAsia="楷体_GB2312"/>
          <w:bCs/>
          <w:lang w:eastAsia="zh-CN"/>
        </w:rPr>
        <w:instrText xml:space="preserve"> REF _Ref74326349 \r \h  \* MERGEFORMAT </w:instrText>
      </w:r>
      <w:r>
        <w:rPr>
          <w:rFonts w:eastAsia="楷体_GB2312"/>
          <w:bCs/>
          <w:lang w:eastAsia="zh-CN"/>
        </w:rPr>
        <w:fldChar w:fldCharType="separate"/>
      </w:r>
      <w:r>
        <w:rPr>
          <w:rFonts w:eastAsia="楷体_GB2312"/>
          <w:bCs/>
          <w:lang w:eastAsia="zh-CN"/>
        </w:rPr>
        <w:t>3.6.1</w:t>
      </w:r>
      <w:r>
        <w:rPr>
          <w:rFonts w:eastAsia="楷体_GB2312"/>
          <w:bCs/>
          <w:lang w:eastAsia="zh-CN"/>
        </w:rPr>
        <w:fldChar w:fldCharType="end"/>
      </w:r>
      <w:r>
        <w:rPr>
          <w:rFonts w:eastAsia="楷体_GB2312"/>
          <w:bCs/>
          <w:lang w:eastAsia="zh-CN"/>
        </w:rPr>
        <w:t>款的基础上，“委托人”应为“受益人”的利益，向“受托人”转让其对于相关“账户记录”的（现时的和未来的、实际的和或有的）所有权利和相关权益。自“信托生效日”起，全部“账户记录”的原件归“受托人”所有；自“信托生效日”起至</w:t>
      </w:r>
      <w:r>
        <w:rPr>
          <w:rFonts w:eastAsia="楷体_GB2312"/>
          <w:bCs/>
          <w:highlight w:val="yellow"/>
          <w:lang w:eastAsia="zh-CN"/>
        </w:rPr>
        <w:t>“</w:t>
      </w:r>
      <w:r>
        <w:rPr>
          <w:rFonts w:hint="eastAsia" w:eastAsia="楷体_GB2312"/>
          <w:w w:val="0"/>
          <w:highlight w:val="yellow"/>
          <w:lang w:eastAsia="zh-CN"/>
        </w:rPr>
        <w:t>【贷款服务机构全称】</w:t>
      </w:r>
      <w:r>
        <w:rPr>
          <w:rFonts w:eastAsia="楷体_GB2312"/>
          <w:bCs/>
          <w:highlight w:val="yellow"/>
          <w:lang w:eastAsia="zh-CN"/>
        </w:rPr>
        <w:t>”</w:t>
      </w:r>
      <w:r>
        <w:rPr>
          <w:rFonts w:eastAsia="楷体_GB2312"/>
          <w:bCs/>
          <w:lang w:eastAsia="zh-CN"/>
        </w:rPr>
        <w:t>停止担任“贷款服务机构”时止，该等“账户记录”应被视为已交付给作为“受托人”代理人的“贷款服务机构”。“贷款服务机构”应根据“《服务合同》”的约定管理相关“账户记录”。</w:t>
      </w:r>
    </w:p>
    <w:p w14:paraId="1A213BDD">
      <w:pPr>
        <w:pStyle w:val="40"/>
        <w:ind w:firstLine="480"/>
        <w:jc w:val="both"/>
        <w:rPr>
          <w:rFonts w:eastAsia="楷体_GB2312"/>
          <w:bCs/>
          <w:lang w:eastAsia="zh-CN"/>
        </w:rPr>
      </w:pPr>
    </w:p>
    <w:p w14:paraId="080251D9">
      <w:pPr>
        <w:widowControl w:val="0"/>
        <w:numPr>
          <w:ilvl w:val="1"/>
          <w:numId w:val="8"/>
        </w:numPr>
        <w:tabs>
          <w:tab w:val="left" w:pos="900"/>
        </w:tabs>
        <w:spacing w:line="360" w:lineRule="auto"/>
        <w:ind w:left="720" w:leftChars="300"/>
        <w:jc w:val="both"/>
        <w:outlineLvl w:val="1"/>
        <w:rPr>
          <w:rFonts w:eastAsia="楷体_GB2312"/>
          <w:b/>
          <w:lang w:eastAsia="zh-CN"/>
        </w:rPr>
      </w:pPr>
      <w:r>
        <w:rPr>
          <w:rFonts w:eastAsia="楷体_GB2312"/>
          <w:b/>
          <w:lang w:eastAsia="zh-CN"/>
        </w:rPr>
        <w:t>资产支持证券募集资金的支付</w:t>
      </w:r>
    </w:p>
    <w:p w14:paraId="5C0AAD06">
      <w:pPr>
        <w:ind w:left="295" w:leftChars="123"/>
        <w:jc w:val="both"/>
        <w:rPr>
          <w:rFonts w:eastAsia="楷体_GB2312"/>
          <w:b/>
          <w:lang w:eastAsia="zh-CN"/>
        </w:rPr>
      </w:pPr>
    </w:p>
    <w:p w14:paraId="209CAC0E">
      <w:pPr>
        <w:spacing w:line="360" w:lineRule="auto"/>
        <w:ind w:left="1286" w:leftChars="536"/>
        <w:jc w:val="both"/>
        <w:rPr>
          <w:rFonts w:eastAsia="楷体_GB2312"/>
          <w:lang w:eastAsia="zh-CN"/>
        </w:rPr>
      </w:pPr>
      <w:r>
        <w:rPr>
          <w:rFonts w:eastAsia="楷体_GB2312"/>
          <w:lang w:eastAsia="zh-CN"/>
        </w:rPr>
        <w:t>本合同第</w:t>
      </w:r>
      <w:r>
        <w:rPr>
          <w:rFonts w:eastAsia="楷体_GB2312"/>
          <w:lang w:eastAsia="zh-CN"/>
        </w:rPr>
        <w:fldChar w:fldCharType="begin"/>
      </w:r>
      <w:r>
        <w:rPr>
          <w:rFonts w:eastAsia="楷体_GB2312"/>
          <w:lang w:eastAsia="zh-CN"/>
        </w:rPr>
        <w:instrText xml:space="preserve"> REF _Ref201577470 \r \h  \* MERGEFORMAT </w:instrText>
      </w:r>
      <w:r>
        <w:rPr>
          <w:rFonts w:eastAsia="楷体_GB2312"/>
          <w:lang w:eastAsia="zh-CN"/>
        </w:rPr>
        <w:fldChar w:fldCharType="separate"/>
      </w:r>
      <w:r>
        <w:rPr>
          <w:rFonts w:eastAsia="楷体_GB2312"/>
          <w:lang w:eastAsia="zh-CN"/>
        </w:rPr>
        <w:t>3.6</w:t>
      </w:r>
      <w:r>
        <w:rPr>
          <w:rFonts w:eastAsia="楷体_GB2312"/>
          <w:lang w:eastAsia="zh-CN"/>
        </w:rPr>
        <w:fldChar w:fldCharType="end"/>
      </w:r>
      <w:r>
        <w:rPr>
          <w:rFonts w:eastAsia="楷体_GB2312"/>
          <w:lang w:eastAsia="zh-CN"/>
        </w:rPr>
        <w:t>款项下的转让自“信托生效日”起生效，并且“受托机构”应不迟于“信托财产交付日”</w:t>
      </w:r>
      <w:r>
        <w:rPr>
          <w:rFonts w:eastAsia="楷体_GB2312"/>
          <w:color w:val="000000"/>
        </w:rPr>
        <w:t>【</w:t>
      </w:r>
      <w:r>
        <w:rPr>
          <w:rFonts w:eastAsia="楷体_GB2312"/>
          <w:i/>
          <w:iCs/>
        </w:rPr>
        <w:t>具体时点</w:t>
      </w:r>
      <w:r>
        <w:rPr>
          <w:rFonts w:eastAsia="楷体_GB2312"/>
          <w:color w:val="000000"/>
        </w:rPr>
        <w:t>】</w:t>
      </w:r>
      <w:r>
        <w:rPr>
          <w:rFonts w:eastAsia="楷体_GB2312"/>
          <w:lang w:eastAsia="zh-CN"/>
        </w:rPr>
        <w:t>，将“资产支持证券”的发行收入净额（“资产支持证券募集资金净额”）由</w:t>
      </w:r>
      <w:r>
        <w:rPr>
          <w:rFonts w:eastAsia="楷体_GB2312"/>
          <w:b/>
          <w:bCs/>
          <w:i/>
          <w:iCs/>
          <w:color w:val="FF0000"/>
          <w:w w:val="0"/>
        </w:rPr>
        <w:t>【结合项目实际情况填入募集资金收款账户名称】</w:t>
      </w:r>
      <w:r>
        <w:rPr>
          <w:rFonts w:eastAsia="楷体_GB2312"/>
          <w:lang w:eastAsia="zh-CN"/>
        </w:rPr>
        <w:t>支付到“发起机构”指定的账户，户名：【】；开户行：【】；账号：【】，同时提供加盖公章的发行收入扣除费用清单；该等发行收入净额等于全部“资产支持证券募集资金”减去“发行费用”。</w:t>
      </w:r>
    </w:p>
    <w:p w14:paraId="358145A4">
      <w:pPr>
        <w:spacing w:line="360" w:lineRule="auto"/>
        <w:ind w:left="1286" w:leftChars="536"/>
        <w:jc w:val="both"/>
        <w:rPr>
          <w:rFonts w:eastAsia="楷体_GB2312"/>
          <w:color w:val="FF0000"/>
          <w:lang w:eastAsia="zh-CN"/>
        </w:rPr>
      </w:pPr>
      <w:r>
        <w:rPr>
          <w:rFonts w:eastAsia="楷体_GB2312"/>
          <w:b/>
          <w:bCs/>
          <w:i/>
          <w:iCs/>
          <w:color w:val="FF0000"/>
          <w:lang w:eastAsia="zh-CN"/>
        </w:rPr>
        <w:t>【注：资产支持证券募集资金的支付方式，可根据项目实际情况进行调整。】</w:t>
      </w:r>
    </w:p>
    <w:p w14:paraId="3B597307">
      <w:pPr>
        <w:jc w:val="both"/>
        <w:rPr>
          <w:rFonts w:eastAsia="楷体_GB2312"/>
          <w:w w:val="0"/>
          <w:lang w:eastAsia="zh-CN"/>
        </w:rPr>
      </w:pPr>
    </w:p>
    <w:p w14:paraId="719EB433">
      <w:pPr>
        <w:widowControl w:val="0"/>
        <w:numPr>
          <w:ilvl w:val="1"/>
          <w:numId w:val="8"/>
        </w:numPr>
        <w:tabs>
          <w:tab w:val="left" w:pos="900"/>
        </w:tabs>
        <w:spacing w:line="360" w:lineRule="auto"/>
        <w:jc w:val="both"/>
        <w:outlineLvl w:val="1"/>
        <w:rPr>
          <w:rFonts w:eastAsia="楷体_GB2312"/>
          <w:b/>
          <w:w w:val="0"/>
          <w:lang w:eastAsia="zh-CN"/>
        </w:rPr>
      </w:pPr>
      <w:r>
        <w:rPr>
          <w:rFonts w:eastAsia="楷体_GB2312"/>
          <w:b/>
          <w:w w:val="0"/>
          <w:lang w:eastAsia="zh-CN"/>
        </w:rPr>
        <w:t>次级资产支持证券的交付</w:t>
      </w:r>
    </w:p>
    <w:p w14:paraId="7073EE81">
      <w:pPr>
        <w:jc w:val="both"/>
        <w:rPr>
          <w:rFonts w:eastAsia="楷体_GB2312"/>
          <w:w w:val="0"/>
          <w:lang w:eastAsia="zh-CN"/>
        </w:rPr>
      </w:pPr>
    </w:p>
    <w:p w14:paraId="2A91ACF2">
      <w:pPr>
        <w:spacing w:line="360" w:lineRule="auto"/>
        <w:ind w:left="991" w:leftChars="413"/>
        <w:jc w:val="both"/>
        <w:rPr>
          <w:rFonts w:eastAsia="楷体_GB2312"/>
          <w:lang w:eastAsia="zh-CN"/>
        </w:rPr>
      </w:pPr>
      <w:r>
        <w:rPr>
          <w:rFonts w:eastAsia="楷体_GB2312"/>
          <w:lang w:eastAsia="zh-CN"/>
        </w:rPr>
        <w:t>“委托人”将根据“人民银行”和“金融监管总局”的相关规则持有本期全部“次级资产支持证券”。双方同意，该等“次级资产支持证券”构成“委托人”将初始“基础资产”委托给“受托人”设立“信托”的对价的一部分，“委托人”无需就“次级资产支持证券”向“受托人”支付现金认购款，且“受托人”无需向“委托人”支付“次级资产支持证券”的发行收入。“受托人”应不迟于“信托生效日”，按照“登记托管机构”的规则将前述“次级资产支持证券”登记至“委托人”名下。</w:t>
      </w:r>
    </w:p>
    <w:p w14:paraId="31A490EA">
      <w:pPr>
        <w:tabs>
          <w:tab w:val="left" w:pos="1800"/>
        </w:tabs>
        <w:spacing w:line="360" w:lineRule="auto"/>
        <w:jc w:val="both"/>
        <w:rPr>
          <w:rFonts w:eastAsia="楷体_GB2312"/>
          <w:lang w:eastAsia="zh-CN"/>
        </w:rPr>
      </w:pPr>
    </w:p>
    <w:p w14:paraId="1158220C">
      <w:pPr>
        <w:widowControl w:val="0"/>
        <w:numPr>
          <w:ilvl w:val="1"/>
          <w:numId w:val="8"/>
        </w:numPr>
        <w:tabs>
          <w:tab w:val="left" w:pos="900"/>
        </w:tabs>
        <w:spacing w:line="360" w:lineRule="auto"/>
        <w:jc w:val="both"/>
        <w:outlineLvl w:val="1"/>
        <w:rPr>
          <w:rFonts w:eastAsia="楷体_GB2312"/>
          <w:b/>
          <w:bCs/>
          <w:lang w:eastAsia="zh-CN"/>
        </w:rPr>
      </w:pPr>
      <w:r>
        <w:rPr>
          <w:rFonts w:eastAsia="楷体_GB2312"/>
          <w:b/>
          <w:bCs/>
          <w:lang w:eastAsia="zh-CN"/>
        </w:rPr>
        <w:t>新增基础资产的持续购买（如适用）</w:t>
      </w:r>
    </w:p>
    <w:p w14:paraId="7D1EF34F">
      <w:pPr>
        <w:pStyle w:val="40"/>
        <w:spacing w:line="360" w:lineRule="auto"/>
        <w:ind w:left="850" w:leftChars="354" w:firstLine="0" w:firstLineChars="0"/>
        <w:jc w:val="both"/>
        <w:rPr>
          <w:rFonts w:eastAsia="楷体_GB2312"/>
          <w:color w:val="FF0000"/>
          <w:lang w:eastAsia="zh-CN"/>
        </w:rPr>
      </w:pPr>
      <w:r>
        <w:rPr>
          <w:rFonts w:eastAsia="楷体_GB2312"/>
          <w:b/>
          <w:bCs/>
          <w:i/>
          <w:iCs/>
          <w:color w:val="FF0000"/>
          <w:lang w:eastAsia="zh-CN"/>
        </w:rPr>
        <w:t>【注：如无持续购买安排，应删除新增基础资产的持续购买的条款。】</w:t>
      </w:r>
    </w:p>
    <w:p w14:paraId="27690C72">
      <w:pPr>
        <w:tabs>
          <w:tab w:val="left" w:pos="1800"/>
        </w:tabs>
        <w:spacing w:line="360" w:lineRule="auto"/>
        <w:jc w:val="both"/>
        <w:rPr>
          <w:rFonts w:eastAsia="楷体_GB2312"/>
          <w:lang w:eastAsia="zh-CN"/>
        </w:rPr>
      </w:pPr>
    </w:p>
    <w:p w14:paraId="040F36E0">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委托人”同意，在“持续购买期”内，“受托人”有权作为买方以“本金分账户”内的资金向作为卖方的“委托人”持续购买新增“基础资产”。持续购买的新增“基础资产”将构成“资产池”和“信托财产”的一部分。</w:t>
      </w:r>
    </w:p>
    <w:p w14:paraId="56B8F176">
      <w:pPr>
        <w:tabs>
          <w:tab w:val="left" w:pos="1800"/>
        </w:tabs>
        <w:spacing w:line="360" w:lineRule="auto"/>
        <w:jc w:val="both"/>
        <w:rPr>
          <w:rFonts w:eastAsia="楷体_GB2312"/>
          <w:lang w:eastAsia="zh-CN"/>
        </w:rPr>
      </w:pPr>
    </w:p>
    <w:p w14:paraId="10141DA7">
      <w:pPr>
        <w:widowControl w:val="0"/>
        <w:numPr>
          <w:ilvl w:val="2"/>
          <w:numId w:val="8"/>
        </w:numPr>
        <w:tabs>
          <w:tab w:val="left" w:pos="1620"/>
        </w:tabs>
        <w:spacing w:line="360" w:lineRule="auto"/>
        <w:ind w:left="1620" w:hanging="769"/>
        <w:jc w:val="both"/>
        <w:rPr>
          <w:rFonts w:eastAsia="楷体_GB2312"/>
          <w:lang w:eastAsia="zh-CN"/>
        </w:rPr>
      </w:pPr>
      <w:r>
        <w:rPr>
          <w:rFonts w:eastAsia="楷体_GB2312"/>
          <w:w w:val="0"/>
          <w:lang w:eastAsia="zh-CN"/>
        </w:rPr>
        <w:t>“受托人”仅能以“本金分账户”内资金进行持续购买。每次持续购买的新增“基础资产”在对应的“持续购买基准日”的“未偿本金余额”之和应不超过当期“可用持续购买资金”。</w:t>
      </w:r>
    </w:p>
    <w:p w14:paraId="6EC244B7">
      <w:pPr>
        <w:tabs>
          <w:tab w:val="left" w:pos="1800"/>
        </w:tabs>
        <w:spacing w:line="360" w:lineRule="auto"/>
        <w:jc w:val="both"/>
        <w:rPr>
          <w:rFonts w:eastAsia="楷体_GB2312"/>
          <w:lang w:eastAsia="zh-CN"/>
        </w:rPr>
      </w:pPr>
    </w:p>
    <w:p w14:paraId="2DD31166">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有关“基础资产”持续购买及相关事项的具体安排，由“受托人”与“委托人”在另行签署的“《资产持续购买合同》”中约定。</w:t>
      </w:r>
    </w:p>
    <w:p w14:paraId="154F45B5">
      <w:pPr>
        <w:spacing w:line="360" w:lineRule="auto"/>
        <w:jc w:val="both"/>
        <w:rPr>
          <w:rFonts w:eastAsia="楷体_GB2312"/>
          <w:lang w:eastAsia="zh-CN"/>
        </w:rPr>
      </w:pPr>
    </w:p>
    <w:p w14:paraId="1D31E774">
      <w:pPr>
        <w:widowControl w:val="0"/>
        <w:numPr>
          <w:ilvl w:val="0"/>
          <w:numId w:val="8"/>
        </w:numPr>
        <w:spacing w:line="360" w:lineRule="auto"/>
        <w:jc w:val="both"/>
        <w:outlineLvl w:val="0"/>
        <w:rPr>
          <w:rFonts w:eastAsia="楷体_GB2312"/>
          <w:b/>
        </w:rPr>
      </w:pPr>
      <w:bookmarkStart w:id="96" w:name="_Toc75510463"/>
      <w:bookmarkStart w:id="97" w:name="_Toc201569382"/>
      <w:bookmarkStart w:id="98" w:name="_Ref332299735"/>
      <w:bookmarkStart w:id="99" w:name="_Toc69138581"/>
      <w:bookmarkStart w:id="100" w:name="_Toc454484851"/>
      <w:bookmarkStart w:id="101" w:name="_Toc227955278"/>
      <w:bookmarkStart w:id="102" w:name="_Toc166105864"/>
      <w:bookmarkStart w:id="103" w:name="_Toc207007300"/>
      <w:bookmarkStart w:id="104" w:name="_Ref332902997"/>
      <w:bookmarkStart w:id="105" w:name="_Ref201647086"/>
      <w:bookmarkStart w:id="106" w:name="_Toc201490205"/>
      <w:r>
        <w:rPr>
          <w:rFonts w:eastAsia="楷体_GB2312"/>
          <w:b/>
        </w:rPr>
        <w:t>不合格资产的赎回</w:t>
      </w:r>
      <w:bookmarkEnd w:id="96"/>
      <w:bookmarkEnd w:id="97"/>
      <w:bookmarkEnd w:id="98"/>
      <w:bookmarkEnd w:id="99"/>
      <w:bookmarkEnd w:id="100"/>
      <w:bookmarkEnd w:id="101"/>
      <w:bookmarkEnd w:id="102"/>
      <w:bookmarkEnd w:id="103"/>
      <w:bookmarkEnd w:id="104"/>
      <w:bookmarkEnd w:id="105"/>
      <w:bookmarkEnd w:id="106"/>
    </w:p>
    <w:p w14:paraId="1E89178C">
      <w:pPr>
        <w:spacing w:line="360" w:lineRule="auto"/>
        <w:jc w:val="both"/>
        <w:rPr>
          <w:rFonts w:eastAsia="楷体_GB2312"/>
        </w:rPr>
      </w:pPr>
    </w:p>
    <w:p w14:paraId="0C591780">
      <w:pPr>
        <w:widowControl w:val="0"/>
        <w:numPr>
          <w:ilvl w:val="1"/>
          <w:numId w:val="8"/>
        </w:numPr>
        <w:tabs>
          <w:tab w:val="left" w:pos="900"/>
        </w:tabs>
        <w:spacing w:line="360" w:lineRule="auto"/>
        <w:jc w:val="both"/>
        <w:outlineLvl w:val="1"/>
        <w:rPr>
          <w:rFonts w:eastAsia="楷体_GB2312"/>
          <w:b/>
        </w:rPr>
      </w:pPr>
      <w:bookmarkStart w:id="107" w:name="_Toc201569383"/>
      <w:bookmarkStart w:id="108" w:name="_Ref201483343"/>
      <w:r>
        <w:rPr>
          <w:rFonts w:eastAsia="楷体_GB2312"/>
          <w:b/>
        </w:rPr>
        <w:t>不合格资产的赎回</w:t>
      </w:r>
      <w:bookmarkEnd w:id="107"/>
      <w:bookmarkEnd w:id="108"/>
    </w:p>
    <w:p w14:paraId="50E74179">
      <w:pPr>
        <w:spacing w:line="360" w:lineRule="auto"/>
        <w:ind w:left="993"/>
        <w:jc w:val="both"/>
        <w:rPr>
          <w:rFonts w:eastAsia="楷体_GB2312"/>
          <w:b/>
          <w:bCs/>
          <w:i/>
          <w:iCs/>
          <w:color w:val="FF0000"/>
          <w:lang w:eastAsia="zh-CN"/>
        </w:rPr>
      </w:pPr>
      <w:r>
        <w:rPr>
          <w:rFonts w:eastAsia="楷体_GB2312"/>
          <w:b/>
          <w:bCs/>
          <w:i/>
          <w:iCs/>
          <w:color w:val="FF0000"/>
        </w:rPr>
        <w:t>【注：不合格资产的赎回流程可根据具体项目情况调整。】</w:t>
      </w:r>
    </w:p>
    <w:p w14:paraId="52C78CBB">
      <w:pPr>
        <w:spacing w:line="360" w:lineRule="auto"/>
        <w:ind w:left="851"/>
        <w:jc w:val="both"/>
        <w:rPr>
          <w:rFonts w:eastAsia="楷体_GB2312"/>
          <w:color w:val="FF0000"/>
          <w:lang w:eastAsia="zh-CN"/>
        </w:rPr>
      </w:pPr>
    </w:p>
    <w:p w14:paraId="4C6ED09A">
      <w:pPr>
        <w:widowControl w:val="0"/>
        <w:numPr>
          <w:ilvl w:val="2"/>
          <w:numId w:val="8"/>
        </w:numPr>
        <w:tabs>
          <w:tab w:val="left" w:pos="1620"/>
        </w:tabs>
        <w:spacing w:line="360" w:lineRule="auto"/>
        <w:ind w:left="1620" w:hanging="769"/>
        <w:jc w:val="both"/>
        <w:rPr>
          <w:rFonts w:eastAsia="楷体_GB2312"/>
          <w:bCs/>
          <w:lang w:eastAsia="zh-CN"/>
        </w:rPr>
      </w:pPr>
      <w:bookmarkStart w:id="109" w:name="_Ref303849105"/>
      <w:r>
        <w:rPr>
          <w:rFonts w:eastAsia="楷体_GB2312"/>
          <w:bCs/>
          <w:lang w:eastAsia="zh-CN"/>
        </w:rPr>
        <w:t>在“信托期限”内，如“委托人”、“受托人”或者“贷款服务机构”发现“不合格资产”，则发现该情形的一方应立即书面通知前述其他方。“委托人”应：(1)将出现上述情形的原因（如果“委托人”知道该原因）提供给“受托人”和“评级机构”；并应(2)在重大方面纠正该等情形，如该情形在通知后【】日内不能被纠正的，“委托人”应在通知之后按本合同第</w:t>
      </w:r>
      <w:r>
        <w:rPr>
          <w:rFonts w:eastAsia="楷体_GB2312"/>
          <w:bCs/>
          <w:lang w:eastAsia="zh-CN"/>
        </w:rPr>
        <w:fldChar w:fldCharType="begin"/>
      </w:r>
      <w:r>
        <w:rPr>
          <w:rFonts w:eastAsia="楷体_GB2312"/>
          <w:bCs/>
          <w:lang w:eastAsia="zh-CN"/>
        </w:rPr>
        <w:instrText xml:space="preserve"> REF _Ref331593435 \r \h  \* MERGEFORMAT </w:instrText>
      </w:r>
      <w:r>
        <w:rPr>
          <w:rFonts w:eastAsia="楷体_GB2312"/>
          <w:bCs/>
          <w:lang w:eastAsia="zh-CN"/>
        </w:rPr>
        <w:fldChar w:fldCharType="separate"/>
      </w:r>
      <w:r>
        <w:rPr>
          <w:rFonts w:eastAsia="楷体_GB2312"/>
          <w:bCs/>
          <w:lang w:eastAsia="zh-CN"/>
        </w:rPr>
        <w:t>4.1.2</w:t>
      </w:r>
      <w:r>
        <w:rPr>
          <w:rFonts w:eastAsia="楷体_GB2312"/>
          <w:bCs/>
          <w:lang w:eastAsia="zh-CN"/>
        </w:rPr>
        <w:fldChar w:fldCharType="end"/>
      </w:r>
      <w:r>
        <w:rPr>
          <w:rFonts w:eastAsia="楷体_GB2312"/>
          <w:bCs/>
          <w:lang w:eastAsia="zh-CN"/>
        </w:rPr>
        <w:t>款约定向“受托人”赎回相应“不合格资产”。</w:t>
      </w:r>
      <w:bookmarkEnd w:id="109"/>
    </w:p>
    <w:p w14:paraId="524588A6">
      <w:pPr>
        <w:spacing w:line="360" w:lineRule="auto"/>
        <w:ind w:left="851"/>
        <w:jc w:val="both"/>
        <w:rPr>
          <w:rFonts w:eastAsia="楷体_GB2312"/>
          <w:lang w:eastAsia="zh-CN"/>
        </w:rPr>
      </w:pPr>
    </w:p>
    <w:p w14:paraId="509826F0">
      <w:pPr>
        <w:widowControl w:val="0"/>
        <w:numPr>
          <w:ilvl w:val="2"/>
          <w:numId w:val="8"/>
        </w:numPr>
        <w:tabs>
          <w:tab w:val="left" w:pos="1620"/>
        </w:tabs>
        <w:spacing w:line="360" w:lineRule="auto"/>
        <w:ind w:left="1620" w:hanging="769"/>
        <w:jc w:val="both"/>
        <w:rPr>
          <w:rFonts w:eastAsia="楷体_GB2312"/>
          <w:bCs/>
          <w:lang w:eastAsia="zh-CN"/>
        </w:rPr>
      </w:pPr>
      <w:bookmarkStart w:id="110" w:name="_Ref331593435"/>
      <w:r>
        <w:rPr>
          <w:rFonts w:eastAsia="楷体_GB2312"/>
          <w:bCs/>
          <w:lang w:eastAsia="zh-CN"/>
        </w:rPr>
        <w:t>如“受托人”提出赎回相应的“不合格资产”的书面要求，“委托人”应于发出该书面通知要求所在的“收款期间”后的第一个“回收款转付日”，将等同于待赎回全部“不合格资产”的“赎回价格”的款项一次性划付到“信托账户”。</w:t>
      </w:r>
      <w:bookmarkEnd w:id="110"/>
    </w:p>
    <w:p w14:paraId="781AAED5">
      <w:pPr>
        <w:spacing w:line="360" w:lineRule="auto"/>
        <w:ind w:left="851"/>
        <w:jc w:val="both"/>
        <w:rPr>
          <w:rFonts w:eastAsia="楷体_GB2312"/>
          <w:lang w:eastAsia="zh-CN"/>
        </w:rPr>
      </w:pPr>
    </w:p>
    <w:p w14:paraId="32B225EE">
      <w:pPr>
        <w:widowControl w:val="0"/>
        <w:numPr>
          <w:ilvl w:val="2"/>
          <w:numId w:val="8"/>
        </w:numPr>
        <w:tabs>
          <w:tab w:val="left" w:pos="1620"/>
        </w:tabs>
        <w:spacing w:line="360" w:lineRule="auto"/>
        <w:ind w:left="1620" w:hanging="769"/>
        <w:jc w:val="both"/>
        <w:rPr>
          <w:rFonts w:eastAsia="楷体_GB2312"/>
          <w:bCs/>
          <w:lang w:eastAsia="zh-CN"/>
        </w:rPr>
      </w:pPr>
      <w:r>
        <w:rPr>
          <w:rFonts w:eastAsia="楷体_GB2312"/>
          <w:bCs/>
          <w:lang w:eastAsia="zh-CN"/>
        </w:rPr>
        <w:t>在“委托人”承担费用的前提下，在“受托人”收到“委托人”赎回</w:t>
      </w:r>
      <w:r>
        <w:rPr>
          <w:rFonts w:eastAsia="楷体_GB2312"/>
          <w:lang w:eastAsia="zh-CN"/>
        </w:rPr>
        <w:t>“不合格资产”</w:t>
      </w:r>
      <w:r>
        <w:rPr>
          <w:rFonts w:eastAsia="楷体_GB2312"/>
          <w:bCs/>
          <w:lang w:eastAsia="zh-CN"/>
        </w:rPr>
        <w:t>所支付的相当于“赎回价格”的资金后，“受托人”应：(1)将“受托人”自“回购起算日”</w:t>
      </w:r>
      <w:r>
        <w:rPr>
          <w:rFonts w:hint="eastAsia" w:eastAsia="楷体_GB2312"/>
          <w:bCs/>
          <w:lang w:eastAsia="zh-CN"/>
        </w:rPr>
        <w:t>【</w:t>
      </w:r>
      <w:r>
        <w:rPr>
          <w:rFonts w:hint="eastAsia" w:eastAsia="楷体_GB2312"/>
          <w:bCs/>
          <w:i/>
          <w:iCs/>
          <w:lang w:eastAsia="zh-CN"/>
        </w:rPr>
        <w:t>具体时点</w:t>
      </w:r>
      <w:r>
        <w:rPr>
          <w:rFonts w:hint="eastAsia" w:eastAsia="楷体_GB2312"/>
          <w:bCs/>
          <w:lang w:eastAsia="zh-CN"/>
        </w:rPr>
        <w:t>】</w:t>
      </w:r>
      <w:r>
        <w:rPr>
          <w:rFonts w:eastAsia="楷体_GB2312"/>
          <w:bCs/>
          <w:lang w:eastAsia="zh-CN"/>
        </w:rPr>
        <w:t>起对该“不合格资产”和相关“账户记录”的（现时的和未来的、实际的和或有的）权利、权益、利益和收益全部转让给“委托人”；(2)相关“账户记录”应由或被视为由作为“受托人”代理人的“贷款服务机构”交付给“委托人”；(3)按照“委托人”的合理意见，协助“委托人”办理必要的所有变更登记和通知手续（如有）。</w:t>
      </w:r>
    </w:p>
    <w:p w14:paraId="7765DB5F">
      <w:pPr>
        <w:pStyle w:val="50"/>
        <w:spacing w:after="0" w:line="360" w:lineRule="auto"/>
        <w:ind w:left="180"/>
        <w:rPr>
          <w:rFonts w:eastAsia="楷体_GB2312"/>
          <w:lang w:val="en-US" w:eastAsia="zh-CN"/>
        </w:rPr>
      </w:pPr>
    </w:p>
    <w:p w14:paraId="199DC965">
      <w:pPr>
        <w:widowControl w:val="0"/>
        <w:numPr>
          <w:ilvl w:val="2"/>
          <w:numId w:val="8"/>
        </w:numPr>
        <w:tabs>
          <w:tab w:val="left" w:pos="1620"/>
        </w:tabs>
        <w:spacing w:line="360" w:lineRule="auto"/>
        <w:ind w:left="1620" w:hanging="769"/>
        <w:jc w:val="both"/>
        <w:rPr>
          <w:rFonts w:eastAsia="楷体_GB2312"/>
          <w:bCs/>
          <w:lang w:eastAsia="zh-CN"/>
        </w:rPr>
      </w:pPr>
      <w:r>
        <w:rPr>
          <w:rFonts w:eastAsia="楷体_GB2312"/>
          <w:bCs/>
          <w:lang w:eastAsia="zh-CN"/>
        </w:rPr>
        <w:t>在“委托人”从“受托人”处赎回相关“不合格资产”并支付相当于“赎回价格”的资金后，“受托人”不应就赎回的“不合格资产”要求</w:t>
      </w:r>
      <w:r>
        <w:rPr>
          <w:rFonts w:eastAsia="楷体_GB2312"/>
          <w:lang w:eastAsia="zh-CN"/>
        </w:rPr>
        <w:t>“委托人”</w:t>
      </w:r>
      <w:r>
        <w:rPr>
          <w:rFonts w:eastAsia="楷体_GB2312"/>
          <w:bCs/>
          <w:lang w:eastAsia="zh-CN"/>
        </w:rPr>
        <w:t>再承担任何责任。“贷款服务机构”应于相应的“回购起算日”日终（即</w:t>
      </w:r>
      <w:r>
        <w:rPr>
          <w:rFonts w:hint="eastAsia" w:eastAsia="楷体_GB2312"/>
          <w:bCs/>
          <w:lang w:eastAsia="zh-CN"/>
        </w:rPr>
        <w:t>【</w:t>
      </w:r>
      <w:r>
        <w:rPr>
          <w:rFonts w:hint="eastAsia" w:eastAsia="楷体_GB2312"/>
          <w:bCs/>
          <w:i/>
          <w:iCs/>
          <w:lang w:eastAsia="zh-CN"/>
        </w:rPr>
        <w:t>具体时点</w:t>
      </w:r>
      <w:r>
        <w:rPr>
          <w:rFonts w:hint="eastAsia" w:eastAsia="楷体_GB2312"/>
          <w:bCs/>
          <w:lang w:eastAsia="zh-CN"/>
        </w:rPr>
        <w:t>】</w:t>
      </w:r>
      <w:r>
        <w:rPr>
          <w:rFonts w:eastAsia="楷体_GB2312"/>
          <w:bCs/>
          <w:lang w:eastAsia="zh-CN"/>
        </w:rPr>
        <w:t>）确定每笔“不合格资产”的“赎回价格”，并在相应的“月度服务机构报告”中加以说明。</w:t>
      </w:r>
    </w:p>
    <w:p w14:paraId="5543E129">
      <w:pPr>
        <w:spacing w:line="360" w:lineRule="auto"/>
        <w:ind w:left="851"/>
        <w:jc w:val="both"/>
        <w:rPr>
          <w:rFonts w:eastAsia="楷体_GB2312"/>
          <w:bCs/>
          <w:lang w:eastAsia="zh-CN"/>
        </w:rPr>
      </w:pPr>
    </w:p>
    <w:p w14:paraId="2821C7F3">
      <w:pPr>
        <w:widowControl w:val="0"/>
        <w:numPr>
          <w:ilvl w:val="2"/>
          <w:numId w:val="8"/>
        </w:numPr>
        <w:tabs>
          <w:tab w:val="left" w:pos="1620"/>
        </w:tabs>
        <w:spacing w:line="360" w:lineRule="auto"/>
        <w:ind w:left="1620" w:hanging="769"/>
        <w:jc w:val="both"/>
        <w:rPr>
          <w:rFonts w:eastAsia="楷体_GB2312"/>
          <w:bCs/>
          <w:lang w:eastAsia="zh-CN"/>
        </w:rPr>
      </w:pPr>
      <w:r>
        <w:rPr>
          <w:rFonts w:eastAsia="楷体_GB2312"/>
          <w:bCs/>
          <w:lang w:eastAsia="zh-CN"/>
        </w:rPr>
        <w:t>在收到“委托人”赎回“不合格资产”所支付的相当于“赎回价格”的资金后，“受托人”应将收到的前述资金相应记入“收入分账户”和“本金分账户”。</w:t>
      </w:r>
    </w:p>
    <w:p w14:paraId="330077E4">
      <w:pPr>
        <w:spacing w:line="360" w:lineRule="auto"/>
        <w:ind w:left="851"/>
        <w:jc w:val="both"/>
        <w:rPr>
          <w:rFonts w:eastAsia="楷体_GB2312"/>
          <w:bCs/>
          <w:lang w:eastAsia="zh-CN"/>
        </w:rPr>
      </w:pPr>
    </w:p>
    <w:p w14:paraId="34042BAA">
      <w:pPr>
        <w:widowControl w:val="0"/>
        <w:numPr>
          <w:ilvl w:val="2"/>
          <w:numId w:val="8"/>
        </w:numPr>
        <w:tabs>
          <w:tab w:val="left" w:pos="1620"/>
        </w:tabs>
        <w:spacing w:line="360" w:lineRule="auto"/>
        <w:ind w:left="1620" w:hanging="769"/>
        <w:jc w:val="both"/>
        <w:rPr>
          <w:rFonts w:eastAsia="楷体_GB2312"/>
          <w:bCs/>
          <w:lang w:eastAsia="zh-CN"/>
        </w:rPr>
      </w:pPr>
      <w:r>
        <w:rPr>
          <w:rFonts w:eastAsia="楷体_GB2312"/>
          <w:bCs/>
          <w:lang w:eastAsia="zh-CN"/>
        </w:rPr>
        <w:t>为免疑义，双方同意并确认，截至“回购起算日”</w:t>
      </w:r>
      <w:r>
        <w:rPr>
          <w:rFonts w:hint="eastAsia" w:eastAsia="楷体_GB2312"/>
          <w:bCs/>
          <w:lang w:eastAsia="zh-CN"/>
        </w:rPr>
        <w:t>【</w:t>
      </w:r>
      <w:r>
        <w:rPr>
          <w:rFonts w:hint="eastAsia" w:eastAsia="楷体_GB2312"/>
          <w:bCs/>
          <w:i/>
          <w:iCs/>
          <w:lang w:eastAsia="zh-CN"/>
        </w:rPr>
        <w:t>具体时点</w:t>
      </w:r>
      <w:r>
        <w:rPr>
          <w:rFonts w:hint="eastAsia" w:eastAsia="楷体_GB2312"/>
          <w:bCs/>
          <w:lang w:eastAsia="zh-CN"/>
        </w:rPr>
        <w:t>】</w:t>
      </w:r>
      <w:r>
        <w:rPr>
          <w:rFonts w:eastAsia="楷体_GB2312"/>
          <w:bCs/>
          <w:lang w:eastAsia="zh-CN"/>
        </w:rPr>
        <w:t>，该“不合格资产”产生的全部“回收款”属于“信托财产”，“受托人”应视情况分别相应记入“收入分账户”和“本金分账户”。</w:t>
      </w:r>
    </w:p>
    <w:p w14:paraId="1F0BD753">
      <w:pPr>
        <w:spacing w:line="360" w:lineRule="auto"/>
        <w:ind w:left="851"/>
        <w:jc w:val="both"/>
        <w:rPr>
          <w:rFonts w:eastAsia="楷体_GB2312"/>
          <w:bCs/>
          <w:lang w:eastAsia="zh-CN"/>
        </w:rPr>
      </w:pPr>
    </w:p>
    <w:p w14:paraId="24505855">
      <w:pPr>
        <w:widowControl w:val="0"/>
        <w:numPr>
          <w:ilvl w:val="2"/>
          <w:numId w:val="8"/>
        </w:numPr>
        <w:tabs>
          <w:tab w:val="left" w:pos="1620"/>
        </w:tabs>
        <w:spacing w:line="360" w:lineRule="auto"/>
        <w:ind w:left="1620" w:hanging="769"/>
        <w:jc w:val="both"/>
        <w:rPr>
          <w:rFonts w:eastAsia="楷体_GB2312"/>
          <w:bCs/>
          <w:lang w:eastAsia="zh-CN"/>
        </w:rPr>
      </w:pPr>
      <w:r>
        <w:rPr>
          <w:rFonts w:eastAsia="楷体_GB2312"/>
          <w:bCs/>
          <w:lang w:eastAsia="zh-CN"/>
        </w:rPr>
        <w:t>如果“委托人”对“受托人”的赎回要求持有异议，双方可以在“受托人”提出赎回要求的【】日内进行友好协商。如果在该期限内双方无法达成一致意见，任何一方可按本合同第</w:t>
      </w:r>
      <w:r>
        <w:rPr>
          <w:rFonts w:eastAsia="楷体_GB2312"/>
          <w:bCs/>
          <w:lang w:eastAsia="zh-CN"/>
        </w:rPr>
        <w:fldChar w:fldCharType="begin"/>
      </w:r>
      <w:r>
        <w:rPr>
          <w:rFonts w:eastAsia="楷体_GB2312"/>
          <w:bCs/>
          <w:lang w:eastAsia="zh-CN"/>
        </w:rPr>
        <w:instrText xml:space="preserve"> REF _Ref111020368 \r \h  \* MERGEFORMAT </w:instrText>
      </w:r>
      <w:r>
        <w:rPr>
          <w:rFonts w:eastAsia="楷体_GB2312"/>
          <w:bCs/>
          <w:lang w:eastAsia="zh-CN"/>
        </w:rPr>
        <w:fldChar w:fldCharType="separate"/>
      </w:r>
      <w:r>
        <w:rPr>
          <w:rFonts w:eastAsia="楷体_GB2312"/>
          <w:bCs/>
          <w:lang w:eastAsia="zh-CN"/>
        </w:rPr>
        <w:t>24</w:t>
      </w:r>
      <w:r>
        <w:rPr>
          <w:rFonts w:eastAsia="楷体_GB2312"/>
          <w:bCs/>
          <w:lang w:eastAsia="zh-CN"/>
        </w:rPr>
        <w:fldChar w:fldCharType="end"/>
      </w:r>
      <w:r>
        <w:rPr>
          <w:rFonts w:eastAsia="楷体_GB2312"/>
          <w:bCs/>
          <w:lang w:eastAsia="zh-CN"/>
        </w:rPr>
        <w:t>条的约定将争议提交仲裁解决。</w:t>
      </w:r>
    </w:p>
    <w:p w14:paraId="39596BCD">
      <w:pPr>
        <w:spacing w:line="360" w:lineRule="auto"/>
        <w:ind w:left="851"/>
        <w:jc w:val="both"/>
        <w:rPr>
          <w:rFonts w:eastAsia="楷体_GB2312"/>
          <w:bCs/>
          <w:lang w:eastAsia="zh-CN"/>
        </w:rPr>
      </w:pPr>
    </w:p>
    <w:p w14:paraId="368976C8">
      <w:pPr>
        <w:widowControl w:val="0"/>
        <w:numPr>
          <w:ilvl w:val="2"/>
          <w:numId w:val="8"/>
        </w:numPr>
        <w:tabs>
          <w:tab w:val="left" w:pos="1620"/>
        </w:tabs>
        <w:spacing w:line="360" w:lineRule="auto"/>
        <w:ind w:left="1620" w:hanging="769"/>
        <w:jc w:val="both"/>
        <w:rPr>
          <w:rFonts w:eastAsia="楷体_GB2312"/>
          <w:bCs/>
          <w:lang w:eastAsia="zh-CN"/>
        </w:rPr>
      </w:pPr>
      <w:r>
        <w:rPr>
          <w:rFonts w:eastAsia="楷体_GB2312"/>
          <w:bCs/>
          <w:lang w:eastAsia="zh-CN"/>
        </w:rPr>
        <w:t>因进行</w:t>
      </w:r>
      <w:r>
        <w:rPr>
          <w:rFonts w:eastAsia="楷体_GB2312"/>
          <w:lang w:eastAsia="zh-CN"/>
        </w:rPr>
        <w:t>“不合格资产”</w:t>
      </w:r>
      <w:r>
        <w:rPr>
          <w:rFonts w:eastAsia="楷体_GB2312"/>
          <w:bCs/>
          <w:lang w:eastAsia="zh-CN"/>
        </w:rPr>
        <w:t>赎回所发生的费用由“委托人”承担。</w:t>
      </w:r>
    </w:p>
    <w:p w14:paraId="529EB24B">
      <w:pPr>
        <w:spacing w:line="360" w:lineRule="auto"/>
        <w:ind w:left="851"/>
        <w:jc w:val="both"/>
        <w:rPr>
          <w:rFonts w:eastAsia="楷体_GB2312"/>
          <w:bCs/>
          <w:lang w:eastAsia="zh-CN"/>
        </w:rPr>
      </w:pPr>
    </w:p>
    <w:p w14:paraId="2D2AC6B5">
      <w:pPr>
        <w:widowControl w:val="0"/>
        <w:numPr>
          <w:ilvl w:val="2"/>
          <w:numId w:val="8"/>
        </w:numPr>
        <w:tabs>
          <w:tab w:val="left" w:pos="1620"/>
        </w:tabs>
        <w:spacing w:line="360" w:lineRule="auto"/>
        <w:ind w:left="1620" w:hanging="769"/>
        <w:jc w:val="both"/>
        <w:rPr>
          <w:rFonts w:eastAsia="楷体_GB2312"/>
          <w:bCs/>
          <w:lang w:eastAsia="zh-CN"/>
        </w:rPr>
      </w:pPr>
      <w:r>
        <w:rPr>
          <w:rFonts w:eastAsia="楷体_GB2312"/>
          <w:bCs/>
          <w:lang w:eastAsia="zh-CN"/>
        </w:rPr>
        <w:t>除本合同第</w:t>
      </w:r>
      <w:r>
        <w:rPr>
          <w:rFonts w:eastAsia="楷体_GB2312"/>
          <w:bCs/>
          <w:lang w:eastAsia="zh-CN"/>
        </w:rPr>
        <w:fldChar w:fldCharType="begin"/>
      </w:r>
      <w:r>
        <w:rPr>
          <w:rFonts w:eastAsia="楷体_GB2312"/>
          <w:bCs/>
          <w:lang w:eastAsia="zh-CN"/>
        </w:rPr>
        <w:instrText xml:space="preserve"> REF _Ref303849105 \r \h  \* MERGEFORMAT </w:instrText>
      </w:r>
      <w:r>
        <w:rPr>
          <w:rFonts w:eastAsia="楷体_GB2312"/>
          <w:bCs/>
          <w:lang w:eastAsia="zh-CN"/>
        </w:rPr>
        <w:fldChar w:fldCharType="separate"/>
      </w:r>
      <w:r>
        <w:rPr>
          <w:rFonts w:eastAsia="楷体_GB2312"/>
          <w:bCs/>
          <w:lang w:eastAsia="zh-CN"/>
        </w:rPr>
        <w:t>4.1.1</w:t>
      </w:r>
      <w:r>
        <w:rPr>
          <w:rFonts w:eastAsia="楷体_GB2312"/>
          <w:bCs/>
          <w:lang w:eastAsia="zh-CN"/>
        </w:rPr>
        <w:fldChar w:fldCharType="end"/>
      </w:r>
      <w:r>
        <w:rPr>
          <w:rFonts w:eastAsia="楷体_GB2312"/>
          <w:bCs/>
          <w:lang w:eastAsia="zh-CN"/>
        </w:rPr>
        <w:t>款约定的情形外，“委托人”不对“基础资产”进行赎回。</w:t>
      </w:r>
    </w:p>
    <w:p w14:paraId="5D15D0F7">
      <w:pPr>
        <w:pStyle w:val="71"/>
        <w:numPr>
          <w:ilvl w:val="0"/>
          <w:numId w:val="0"/>
        </w:numPr>
        <w:spacing w:line="360" w:lineRule="auto"/>
        <w:rPr>
          <w:rFonts w:cs="Times New Roman"/>
          <w:lang w:eastAsia="zh-CN"/>
        </w:rPr>
      </w:pPr>
    </w:p>
    <w:p w14:paraId="28FE6AF3">
      <w:pPr>
        <w:widowControl w:val="0"/>
        <w:numPr>
          <w:ilvl w:val="1"/>
          <w:numId w:val="8"/>
        </w:numPr>
        <w:tabs>
          <w:tab w:val="left" w:pos="900"/>
        </w:tabs>
        <w:spacing w:line="360" w:lineRule="auto"/>
        <w:jc w:val="both"/>
        <w:outlineLvl w:val="1"/>
        <w:rPr>
          <w:rFonts w:eastAsia="楷体_GB2312"/>
          <w:b/>
        </w:rPr>
      </w:pPr>
      <w:bookmarkStart w:id="111" w:name="_Toc201569384"/>
      <w:r>
        <w:rPr>
          <w:rFonts w:eastAsia="楷体_GB2312"/>
          <w:b/>
        </w:rPr>
        <w:t>赎回的效果</w:t>
      </w:r>
      <w:bookmarkEnd w:id="111"/>
    </w:p>
    <w:p w14:paraId="4359B03D">
      <w:pPr>
        <w:spacing w:line="360" w:lineRule="auto"/>
        <w:ind w:left="425"/>
        <w:jc w:val="both"/>
        <w:rPr>
          <w:rFonts w:eastAsia="楷体_GB2312"/>
        </w:rPr>
      </w:pPr>
    </w:p>
    <w:p w14:paraId="62CAE455">
      <w:pPr>
        <w:spacing w:line="360" w:lineRule="auto"/>
        <w:ind w:left="850" w:leftChars="354"/>
        <w:jc w:val="both"/>
        <w:rPr>
          <w:rFonts w:eastAsia="楷体_GB2312"/>
          <w:lang w:eastAsia="zh-CN"/>
        </w:rPr>
      </w:pPr>
      <w:r>
        <w:rPr>
          <w:rFonts w:eastAsia="楷体_GB2312"/>
          <w:lang w:eastAsia="zh-CN"/>
        </w:rPr>
        <w:t>在“委托人”对“不合格资产”进行赎回后，该“不合格资产”不再属于“信托财产”。</w:t>
      </w:r>
    </w:p>
    <w:p w14:paraId="1CA6785B">
      <w:pPr>
        <w:tabs>
          <w:tab w:val="left" w:pos="1800"/>
        </w:tabs>
        <w:spacing w:line="360" w:lineRule="auto"/>
        <w:jc w:val="both"/>
        <w:rPr>
          <w:rFonts w:eastAsia="楷体_GB2312"/>
          <w:lang w:eastAsia="zh-CN"/>
        </w:rPr>
      </w:pPr>
    </w:p>
    <w:p w14:paraId="39640EFB">
      <w:pPr>
        <w:widowControl w:val="0"/>
        <w:numPr>
          <w:ilvl w:val="0"/>
          <w:numId w:val="8"/>
        </w:numPr>
        <w:spacing w:line="360" w:lineRule="auto"/>
        <w:jc w:val="both"/>
        <w:outlineLvl w:val="0"/>
        <w:rPr>
          <w:rFonts w:eastAsia="楷体_GB2312"/>
          <w:lang w:eastAsia="zh-CN"/>
        </w:rPr>
      </w:pPr>
      <w:bookmarkStart w:id="112" w:name="_Toc69138582"/>
      <w:bookmarkStart w:id="113" w:name="_Toc454484852"/>
      <w:bookmarkStart w:id="114" w:name="_Ref203793263"/>
      <w:bookmarkStart w:id="115" w:name="_Ref303846995"/>
      <w:bookmarkStart w:id="116" w:name="_Toc166105865"/>
      <w:bookmarkStart w:id="117" w:name="_Toc227955279"/>
      <w:bookmarkStart w:id="118" w:name="_Toc201569385"/>
      <w:bookmarkStart w:id="119" w:name="_Toc201490206"/>
      <w:bookmarkStart w:id="120" w:name="_Ref332903004"/>
      <w:bookmarkStart w:id="121" w:name="_Ref201647090"/>
      <w:bookmarkStart w:id="122" w:name="_Ref332383683"/>
      <w:bookmarkStart w:id="123" w:name="_Toc75510464"/>
      <w:bookmarkStart w:id="124" w:name="_Toc207007301"/>
      <w:r>
        <w:rPr>
          <w:rFonts w:eastAsia="楷体_GB2312"/>
          <w:b/>
        </w:rPr>
        <w:t>清仓回购</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4E9F7771">
      <w:pPr>
        <w:pStyle w:val="50"/>
        <w:spacing w:after="0" w:line="360" w:lineRule="auto"/>
        <w:ind w:left="425" w:leftChars="177"/>
        <w:rPr>
          <w:rFonts w:eastAsia="楷体_GB2312"/>
          <w:b/>
          <w:bCs/>
          <w:i/>
          <w:iCs/>
          <w:color w:val="FF0000"/>
          <w:lang w:val="en-US" w:eastAsia="zh-CN"/>
        </w:rPr>
      </w:pPr>
      <w:r>
        <w:rPr>
          <w:rFonts w:eastAsia="楷体_GB2312"/>
          <w:b/>
          <w:bCs/>
          <w:i/>
          <w:iCs/>
          <w:color w:val="FF0000"/>
          <w:lang w:val="en-US" w:eastAsia="zh-CN"/>
        </w:rPr>
        <w:t>【注：清仓回购流程可根据具体项目情况调整。】</w:t>
      </w:r>
    </w:p>
    <w:p w14:paraId="56B61619">
      <w:pPr>
        <w:pStyle w:val="50"/>
        <w:spacing w:after="0" w:line="360" w:lineRule="auto"/>
        <w:rPr>
          <w:rFonts w:eastAsia="楷体_GB2312"/>
          <w:color w:val="FF0000"/>
          <w:lang w:eastAsia="zh-CN"/>
        </w:rPr>
      </w:pPr>
    </w:p>
    <w:p w14:paraId="227A9413">
      <w:pPr>
        <w:widowControl w:val="0"/>
        <w:numPr>
          <w:ilvl w:val="1"/>
          <w:numId w:val="8"/>
        </w:numPr>
        <w:tabs>
          <w:tab w:val="left" w:pos="900"/>
        </w:tabs>
        <w:spacing w:line="360" w:lineRule="auto"/>
        <w:jc w:val="both"/>
        <w:rPr>
          <w:rFonts w:eastAsia="楷体_GB2312"/>
          <w:lang w:eastAsia="zh-CN"/>
        </w:rPr>
      </w:pPr>
      <w:r>
        <w:rPr>
          <w:rFonts w:eastAsia="楷体_GB2312"/>
          <w:lang w:eastAsia="zh-CN"/>
        </w:rPr>
        <w:t>“清仓回购”是“委托人”的一项选择权。在满足本合同第</w:t>
      </w:r>
      <w:r>
        <w:rPr>
          <w:rFonts w:eastAsia="楷体_GB2312"/>
        </w:rPr>
        <w:fldChar w:fldCharType="begin"/>
      </w:r>
      <w:r>
        <w:rPr>
          <w:rFonts w:eastAsia="楷体_GB2312"/>
          <w:lang w:eastAsia="zh-CN"/>
        </w:rPr>
        <w:instrText xml:space="preserve"> REF _Ref201482701 \r \h  \* MERGEFORMAT </w:instrText>
      </w:r>
      <w:r>
        <w:rPr>
          <w:rFonts w:eastAsia="楷体_GB2312"/>
        </w:rPr>
        <w:fldChar w:fldCharType="separate"/>
      </w:r>
      <w:r>
        <w:rPr>
          <w:rFonts w:eastAsia="楷体_GB2312"/>
          <w:lang w:eastAsia="zh-CN"/>
        </w:rPr>
        <w:t>5.1</w:t>
      </w:r>
      <w:r>
        <w:rPr>
          <w:rFonts w:eastAsia="楷体_GB2312"/>
        </w:rPr>
        <w:fldChar w:fldCharType="end"/>
      </w:r>
      <w:r>
        <w:rPr>
          <w:rFonts w:eastAsia="楷体_GB2312"/>
          <w:lang w:eastAsia="zh-CN"/>
        </w:rPr>
        <w:t>款约定的条件的情况下，“委托人”可以按照公允市场价值进行“清仓回购”。</w:t>
      </w:r>
      <w:bookmarkStart w:id="125" w:name="_Ref201482701"/>
      <w:r>
        <w:rPr>
          <w:rFonts w:eastAsia="楷体_GB2312"/>
          <w:lang w:eastAsia="zh-CN"/>
        </w:rPr>
        <w:t>“委托人”进行“清仓回购”应满足下列条件：</w:t>
      </w:r>
      <w:bookmarkEnd w:id="125"/>
    </w:p>
    <w:p w14:paraId="538F7252">
      <w:pPr>
        <w:tabs>
          <w:tab w:val="left" w:pos="992"/>
        </w:tabs>
        <w:spacing w:line="360" w:lineRule="auto"/>
        <w:ind w:left="425"/>
        <w:jc w:val="both"/>
        <w:rPr>
          <w:rFonts w:eastAsia="楷体_GB2312"/>
          <w:lang w:eastAsia="zh-CN"/>
        </w:rPr>
      </w:pPr>
    </w:p>
    <w:p w14:paraId="41219053">
      <w:pPr>
        <w:widowControl w:val="0"/>
        <w:numPr>
          <w:ilvl w:val="0"/>
          <w:numId w:val="12"/>
        </w:numPr>
        <w:spacing w:line="360" w:lineRule="auto"/>
        <w:jc w:val="both"/>
        <w:rPr>
          <w:rFonts w:eastAsia="楷体_GB2312"/>
          <w:lang w:eastAsia="zh-CN"/>
        </w:rPr>
      </w:pPr>
      <w:r>
        <w:rPr>
          <w:rFonts w:eastAsia="楷体_GB2312"/>
          <w:lang w:eastAsia="zh-CN"/>
        </w:rPr>
        <w:t>“资产池”的“未偿本金余额”总和在“回购起算日”</w:t>
      </w:r>
      <w:r>
        <w:rPr>
          <w:rFonts w:eastAsia="楷体_GB2312"/>
          <w:color w:val="000000"/>
        </w:rPr>
        <w:t>【</w:t>
      </w:r>
      <w:r>
        <w:rPr>
          <w:rFonts w:eastAsia="楷体_GB2312"/>
          <w:i/>
          <w:iCs/>
        </w:rPr>
        <w:t>具体时点</w:t>
      </w:r>
      <w:r>
        <w:rPr>
          <w:rFonts w:eastAsia="楷体_GB2312"/>
          <w:color w:val="000000"/>
        </w:rPr>
        <w:t>】</w:t>
      </w:r>
      <w:r>
        <w:rPr>
          <w:rFonts w:eastAsia="楷体_GB2312"/>
          <w:lang w:eastAsia="zh-CN"/>
        </w:rPr>
        <w:t>降至“初始起算日资产池余额”的10％或以下，或者全部“优先级资产支持证券”的“未偿本金余额”为零；并且</w:t>
      </w:r>
    </w:p>
    <w:p w14:paraId="3FAAA681">
      <w:pPr>
        <w:widowControl w:val="0"/>
        <w:spacing w:line="360" w:lineRule="auto"/>
        <w:ind w:left="1412"/>
        <w:jc w:val="both"/>
        <w:rPr>
          <w:rFonts w:eastAsia="楷体_GB2312"/>
          <w:lang w:eastAsia="zh-CN"/>
        </w:rPr>
      </w:pPr>
      <w:r>
        <w:rPr>
          <w:rFonts w:eastAsia="楷体_GB2312"/>
          <w:b/>
          <w:bCs/>
          <w:i/>
          <w:iCs/>
          <w:color w:val="FF0000"/>
          <w:lang w:eastAsia="zh-CN"/>
        </w:rPr>
        <w:t>【注：如发起机构在计算风险加权资产时扣减被证券化的资产，则该条为“‘资产池’的‘未偿本金余额’总和在‘回购起算日’【具体时点】降至‘初始起算日资产池余额’的10％或以下；并且”】</w:t>
      </w:r>
    </w:p>
    <w:p w14:paraId="10C2815A">
      <w:pPr>
        <w:spacing w:line="360" w:lineRule="auto"/>
        <w:jc w:val="both"/>
        <w:rPr>
          <w:rFonts w:eastAsia="楷体_GB2312"/>
          <w:lang w:eastAsia="zh-CN"/>
        </w:rPr>
      </w:pPr>
    </w:p>
    <w:p w14:paraId="10E90F0C">
      <w:pPr>
        <w:widowControl w:val="0"/>
        <w:numPr>
          <w:ilvl w:val="0"/>
          <w:numId w:val="12"/>
        </w:numPr>
        <w:spacing w:line="360" w:lineRule="auto"/>
        <w:jc w:val="both"/>
        <w:rPr>
          <w:rFonts w:eastAsia="楷体_GB2312"/>
          <w:lang w:eastAsia="zh-CN"/>
        </w:rPr>
      </w:pPr>
      <w:r>
        <w:rPr>
          <w:rFonts w:eastAsia="楷体_GB2312"/>
          <w:lang w:eastAsia="zh-CN"/>
        </w:rPr>
        <w:t>截至“回购起算日”</w:t>
      </w:r>
      <w:r>
        <w:rPr>
          <w:rFonts w:eastAsia="楷体_GB2312"/>
          <w:color w:val="000000"/>
        </w:rPr>
        <w:t>【</w:t>
      </w:r>
      <w:r>
        <w:rPr>
          <w:rFonts w:eastAsia="楷体_GB2312"/>
          <w:i/>
          <w:iCs/>
        </w:rPr>
        <w:t>具体时点</w:t>
      </w:r>
      <w:r>
        <w:rPr>
          <w:rFonts w:eastAsia="楷体_GB2312"/>
          <w:color w:val="000000"/>
        </w:rPr>
        <w:t>】</w:t>
      </w:r>
      <w:r>
        <w:rPr>
          <w:rFonts w:eastAsia="楷体_GB2312"/>
          <w:lang w:eastAsia="zh-CN"/>
        </w:rPr>
        <w:t>剩余“资产池”的市场价值不少于以下A+B之和：A指在“委托人”发出《清仓回购通知书》所在“收款期间”届满后第一个“支付日”前一日全部“优先级资产支持证券”的“未偿本金余额”及其已产生但未支付的“优先级资产支持证券”的利息和“信托”应承担的“税收”、“费用支出”和“服务报酬”之和。B为下列(a)和(b)两者之间数值较高者，其中(a)的数值为0；(b)的数值为截至“回购起算日”</w:t>
      </w:r>
      <w:r>
        <w:rPr>
          <w:rFonts w:eastAsia="楷体_GB2312"/>
          <w:color w:val="000000"/>
        </w:rPr>
        <w:t>【</w:t>
      </w:r>
      <w:r>
        <w:rPr>
          <w:rFonts w:eastAsia="楷体_GB2312"/>
          <w:i/>
          <w:iCs/>
        </w:rPr>
        <w:t>具体时点</w:t>
      </w:r>
      <w:r>
        <w:rPr>
          <w:rFonts w:eastAsia="楷体_GB2312"/>
          <w:color w:val="000000"/>
        </w:rPr>
        <w:t>】</w:t>
      </w:r>
      <w:r>
        <w:rPr>
          <w:rFonts w:eastAsia="楷体_GB2312"/>
          <w:lang w:eastAsia="zh-CN"/>
        </w:rPr>
        <w:t>“次级资产支持证券”的“未偿本金余额”减去“累计净损失”的差值。</w:t>
      </w:r>
    </w:p>
    <w:p w14:paraId="57F2FF6C">
      <w:pPr>
        <w:spacing w:line="360" w:lineRule="auto"/>
        <w:ind w:left="851"/>
        <w:jc w:val="both"/>
        <w:rPr>
          <w:rFonts w:eastAsia="楷体_GB2312"/>
          <w:lang w:eastAsia="zh-CN"/>
        </w:rPr>
      </w:pPr>
    </w:p>
    <w:p w14:paraId="203DB7B1">
      <w:pPr>
        <w:widowControl w:val="0"/>
        <w:numPr>
          <w:ilvl w:val="1"/>
          <w:numId w:val="8"/>
        </w:numPr>
        <w:tabs>
          <w:tab w:val="left" w:pos="900"/>
        </w:tabs>
        <w:spacing w:line="360" w:lineRule="auto"/>
        <w:jc w:val="both"/>
        <w:rPr>
          <w:rFonts w:eastAsia="楷体_GB2312"/>
          <w:lang w:eastAsia="zh-CN"/>
        </w:rPr>
      </w:pPr>
      <w:r>
        <w:rPr>
          <w:rFonts w:eastAsia="楷体_GB2312"/>
          <w:lang w:eastAsia="zh-CN"/>
        </w:rPr>
        <w:t>“委托人”决定进行“清仓回购”的，应于作出决定所在的“收款期间”届满前【】个“工作日”之前（或“受托人”和“委托人”同意的其他日期），向“受托人”发出关于“清仓回购”“资产池”的《清仓回购通知书》（该通知应视为对“受托人”的要约邀请，格式见本合同</w:t>
      </w:r>
      <w:r>
        <w:rPr>
          <w:rFonts w:eastAsia="楷体_GB2312"/>
          <w:b/>
          <w:i/>
          <w:lang w:eastAsia="zh-CN"/>
        </w:rPr>
        <w:t>附件三</w:t>
      </w:r>
      <w:r>
        <w:rPr>
          <w:rFonts w:eastAsia="楷体_GB2312"/>
          <w:lang w:eastAsia="zh-CN"/>
        </w:rPr>
        <w:t>）。“清仓回购”的</w:t>
      </w:r>
      <w:r>
        <w:rPr>
          <w:rFonts w:eastAsia="楷体_GB2312"/>
          <w:bCs/>
          <w:lang w:eastAsia="zh-CN"/>
        </w:rPr>
        <w:t>“</w:t>
      </w:r>
      <w:r>
        <w:rPr>
          <w:rFonts w:eastAsia="楷体_GB2312"/>
          <w:lang w:eastAsia="zh-CN"/>
        </w:rPr>
        <w:t>回购起算日</w:t>
      </w:r>
      <w:r>
        <w:rPr>
          <w:rFonts w:eastAsia="楷体_GB2312"/>
          <w:bCs/>
          <w:lang w:eastAsia="zh-CN"/>
        </w:rPr>
        <w:t>”</w:t>
      </w:r>
      <w:r>
        <w:rPr>
          <w:rFonts w:eastAsia="楷体_GB2312"/>
          <w:lang w:eastAsia="zh-CN"/>
        </w:rPr>
        <w:t>为“委托人”向“受托人”发出《清仓回购通知书》的“收款期间”之前一个“收款期间”的【最后一日】。</w:t>
      </w:r>
    </w:p>
    <w:p w14:paraId="7ABCB287">
      <w:pPr>
        <w:spacing w:line="360" w:lineRule="auto"/>
        <w:ind w:left="425"/>
        <w:jc w:val="both"/>
        <w:rPr>
          <w:rFonts w:eastAsia="楷体_GB2312"/>
          <w:lang w:eastAsia="zh-CN"/>
        </w:rPr>
      </w:pPr>
    </w:p>
    <w:p w14:paraId="3419CBD8">
      <w:pPr>
        <w:widowControl w:val="0"/>
        <w:numPr>
          <w:ilvl w:val="1"/>
          <w:numId w:val="8"/>
        </w:numPr>
        <w:tabs>
          <w:tab w:val="left" w:pos="900"/>
        </w:tabs>
        <w:spacing w:line="360" w:lineRule="auto"/>
        <w:jc w:val="both"/>
        <w:rPr>
          <w:rFonts w:eastAsia="楷体_GB2312"/>
          <w:lang w:eastAsia="zh-CN"/>
        </w:rPr>
      </w:pPr>
      <w:r>
        <w:rPr>
          <w:rFonts w:eastAsia="楷体_GB2312"/>
          <w:lang w:eastAsia="zh-CN"/>
        </w:rPr>
        <w:t>收到“委托人”发出的《清仓回购通知书》后，“受托人”应不迟于发出《清仓回购通知书》所在“收款期间”届满前【】个“工作日”之前（或“受托人”和“委托人”同意的其他日期），以“资产池”的公允价值作为“清仓回购价格”，向“委托人”发出书面要约（格式见本合同</w:t>
      </w:r>
      <w:r>
        <w:rPr>
          <w:rFonts w:eastAsia="楷体_GB2312"/>
          <w:b/>
          <w:i/>
          <w:lang w:eastAsia="zh-CN"/>
        </w:rPr>
        <w:t>附件四</w:t>
      </w:r>
      <w:r>
        <w:rPr>
          <w:rFonts w:eastAsia="楷体_GB2312"/>
          <w:lang w:eastAsia="zh-CN"/>
        </w:rPr>
        <w:t>）。书面要约中应记载“清仓回购价格”，</w:t>
      </w:r>
      <w:r>
        <w:rPr>
          <w:rFonts w:eastAsia="楷体_GB2312"/>
          <w:color w:val="000000"/>
        </w:rPr>
        <w:t>“受托人”届时</w:t>
      </w:r>
      <w:r>
        <w:rPr>
          <w:rFonts w:hint="eastAsia" w:eastAsia="楷体_GB2312"/>
          <w:color w:val="000000"/>
        </w:rPr>
        <w:t>应当</w:t>
      </w:r>
      <w:r>
        <w:rPr>
          <w:rFonts w:eastAsia="楷体_GB2312"/>
          <w:color w:val="000000"/>
        </w:rPr>
        <w:t>聘请评估机构、评级机构等第三方专业机构对剩余“资产池”进行评估/估值，并以其出具的专业报告中的评估价值或债权价值作为“资产池”的公允价值和“清仓回购价格”，由此发生的费用由“信托财产”承担。“受托人”</w:t>
      </w:r>
      <w:r>
        <w:rPr>
          <w:rFonts w:hint="eastAsia" w:eastAsia="楷体_GB2312"/>
          <w:color w:val="000000"/>
        </w:rPr>
        <w:t>应将前述拟定的</w:t>
      </w:r>
      <w:r>
        <w:rPr>
          <w:rFonts w:eastAsia="楷体_GB2312"/>
          <w:color w:val="000000"/>
        </w:rPr>
        <w:t>“清仓回购价格”以书面形式通知全体“资产支持证券持有人”。</w:t>
      </w:r>
      <w:r>
        <w:rPr>
          <w:rFonts w:hint="eastAsia" w:eastAsia="楷体_GB2312"/>
          <w:color w:val="000000"/>
        </w:rPr>
        <w:t>如</w:t>
      </w:r>
      <w:r>
        <w:rPr>
          <w:rFonts w:eastAsia="楷体_GB2312"/>
          <w:color w:val="000000"/>
        </w:rPr>
        <w:t>“资产支持证券持有人”</w:t>
      </w:r>
      <w:r>
        <w:rPr>
          <w:rFonts w:hint="eastAsia" w:eastAsia="楷体_GB2312"/>
          <w:color w:val="000000"/>
        </w:rPr>
        <w:t>对前述拟定的</w:t>
      </w:r>
      <w:r>
        <w:rPr>
          <w:rFonts w:eastAsia="楷体_GB2312"/>
          <w:color w:val="000000"/>
        </w:rPr>
        <w:t>“清仓回购价格”</w:t>
      </w:r>
      <w:r>
        <w:rPr>
          <w:rFonts w:hint="eastAsia" w:eastAsia="楷体_GB2312"/>
          <w:color w:val="000000"/>
        </w:rPr>
        <w:t>有异议，</w:t>
      </w:r>
      <w:r>
        <w:rPr>
          <w:rFonts w:eastAsia="楷体_GB2312"/>
          <w:color w:val="000000"/>
        </w:rPr>
        <w:t>在收到“受托人”</w:t>
      </w:r>
      <w:r>
        <w:rPr>
          <w:rFonts w:hint="eastAsia" w:eastAsia="楷体_GB2312"/>
          <w:color w:val="000000"/>
        </w:rPr>
        <w:t>书面</w:t>
      </w:r>
      <w:r>
        <w:rPr>
          <w:rFonts w:eastAsia="楷体_GB2312"/>
          <w:color w:val="000000"/>
        </w:rPr>
        <w:t>通知后【】个“工作日”内，可以</w:t>
      </w:r>
      <w:r>
        <w:rPr>
          <w:rFonts w:hint="eastAsia" w:eastAsia="楷体_GB2312"/>
          <w:color w:val="000000"/>
        </w:rPr>
        <w:t>根据</w:t>
      </w:r>
      <w:r>
        <w:rPr>
          <w:rFonts w:eastAsia="楷体_GB2312"/>
          <w:color w:val="000000"/>
          <w:w w:val="0"/>
        </w:rPr>
        <w:t>“《信托合同》”</w:t>
      </w:r>
      <w:r>
        <w:rPr>
          <w:rFonts w:hint="eastAsia" w:eastAsia="楷体_GB2312"/>
          <w:color w:val="000000"/>
        </w:rPr>
        <w:t>的相关约定</w:t>
      </w:r>
      <w:r>
        <w:rPr>
          <w:rFonts w:eastAsia="楷体_GB2312"/>
          <w:color w:val="000000"/>
        </w:rPr>
        <w:t>请求“受托人”召集“资产支持证券持有人大会”</w:t>
      </w:r>
      <w:r>
        <w:rPr>
          <w:rFonts w:hint="eastAsia" w:eastAsia="楷体_GB2312"/>
          <w:color w:val="000000"/>
        </w:rPr>
        <w:t>。</w:t>
      </w:r>
      <w:r>
        <w:rPr>
          <w:rFonts w:eastAsia="楷体_GB2312"/>
          <w:color w:val="000000"/>
        </w:rPr>
        <w:t>书面要约中</w:t>
      </w:r>
      <w:r>
        <w:rPr>
          <w:rFonts w:hint="eastAsia" w:eastAsia="楷体_GB2312"/>
          <w:color w:val="000000"/>
        </w:rPr>
        <w:t>应</w:t>
      </w:r>
      <w:r>
        <w:rPr>
          <w:rFonts w:eastAsia="楷体_GB2312"/>
          <w:lang w:eastAsia="zh-CN"/>
        </w:rPr>
        <w:t>约定在“委托人”承诺后，“受托人”将自“回购起算日”</w:t>
      </w:r>
      <w:r>
        <w:rPr>
          <w:rFonts w:eastAsia="楷体_GB2312"/>
          <w:color w:val="000000"/>
        </w:rPr>
        <w:t>【</w:t>
      </w:r>
      <w:r>
        <w:rPr>
          <w:rFonts w:eastAsia="楷体_GB2312"/>
          <w:i/>
          <w:iCs/>
        </w:rPr>
        <w:t>具体时点</w:t>
      </w:r>
      <w:r>
        <w:rPr>
          <w:rFonts w:eastAsia="楷体_GB2312"/>
          <w:color w:val="000000"/>
        </w:rPr>
        <w:t>】</w:t>
      </w:r>
      <w:r>
        <w:rPr>
          <w:rFonts w:eastAsia="楷体_GB2312"/>
          <w:lang w:eastAsia="zh-CN"/>
        </w:rPr>
        <w:t>起“信托”项下全部剩余“资产池”出售给“委托人”。</w:t>
      </w:r>
    </w:p>
    <w:p w14:paraId="5CADFF66">
      <w:pPr>
        <w:widowControl w:val="0"/>
        <w:tabs>
          <w:tab w:val="left" w:pos="425"/>
          <w:tab w:val="left" w:pos="992"/>
        </w:tabs>
        <w:spacing w:line="360" w:lineRule="auto"/>
        <w:ind w:left="992"/>
        <w:jc w:val="both"/>
        <w:rPr>
          <w:rFonts w:eastAsia="楷体_GB2312"/>
          <w:b/>
          <w:lang w:eastAsia="zh-CN"/>
        </w:rPr>
      </w:pPr>
      <w:r>
        <w:rPr>
          <w:rFonts w:eastAsia="楷体_GB2312"/>
          <w:i/>
          <w:iCs/>
          <w:color w:val="FF0000"/>
          <w:lang w:eastAsia="zh-CN"/>
        </w:rPr>
        <w:t>【</w:t>
      </w:r>
      <w:r>
        <w:rPr>
          <w:rFonts w:eastAsia="楷体_GB2312"/>
          <w:b/>
          <w:bCs/>
          <w:i/>
          <w:iCs/>
          <w:color w:val="FF0000"/>
          <w:lang w:eastAsia="zh-CN"/>
        </w:rPr>
        <w:t>注：</w:t>
      </w:r>
      <w:r>
        <w:rPr>
          <w:rFonts w:hint="eastAsia" w:eastAsia="楷体_GB2312"/>
          <w:b/>
          <w:bCs/>
          <w:i/>
          <w:iCs/>
          <w:color w:val="FF0000"/>
        </w:rPr>
        <w:t>（1）鼓励按上述方式确定并执行清仓回购价格。（2）清仓回购价格应注意参考公允价值予以确定</w:t>
      </w:r>
      <w:r>
        <w:rPr>
          <w:rFonts w:eastAsia="楷体_GB2312"/>
          <w:b/>
          <w:bCs/>
          <w:i/>
          <w:iCs/>
          <w:color w:val="FF0000"/>
        </w:rPr>
        <w:t>。</w:t>
      </w:r>
      <w:r>
        <w:rPr>
          <w:rFonts w:hint="eastAsia" w:eastAsia="楷体_GB2312"/>
          <w:b/>
          <w:bCs/>
          <w:i/>
          <w:iCs/>
          <w:color w:val="FF0000"/>
        </w:rPr>
        <w:t>如</w:t>
      </w:r>
      <w:r>
        <w:rPr>
          <w:rFonts w:eastAsia="楷体_GB2312"/>
          <w:b/>
          <w:bCs/>
          <w:i/>
          <w:iCs/>
          <w:color w:val="FF0000"/>
        </w:rPr>
        <w:t>资产支持证券持有人</w:t>
      </w:r>
      <w:r>
        <w:rPr>
          <w:rFonts w:hint="eastAsia" w:eastAsia="楷体_GB2312"/>
          <w:b/>
          <w:bCs/>
          <w:i/>
          <w:iCs/>
          <w:color w:val="FF0000"/>
        </w:rPr>
        <w:t>有异议，在</w:t>
      </w:r>
      <w:r>
        <w:rPr>
          <w:rFonts w:eastAsia="楷体_GB2312"/>
          <w:b/>
          <w:bCs/>
          <w:i/>
          <w:iCs/>
          <w:color w:val="FF0000"/>
        </w:rPr>
        <w:t>收到受托人</w:t>
      </w:r>
      <w:r>
        <w:rPr>
          <w:rFonts w:hint="eastAsia" w:eastAsia="楷体_GB2312"/>
          <w:b/>
          <w:bCs/>
          <w:i/>
          <w:iCs/>
          <w:color w:val="FF0000"/>
        </w:rPr>
        <w:t>书面</w:t>
      </w:r>
      <w:r>
        <w:rPr>
          <w:rFonts w:eastAsia="楷体_GB2312"/>
          <w:b/>
          <w:bCs/>
          <w:i/>
          <w:iCs/>
          <w:color w:val="FF0000"/>
        </w:rPr>
        <w:t>通知后，可以</w:t>
      </w:r>
      <w:r>
        <w:rPr>
          <w:rFonts w:hint="eastAsia" w:eastAsia="楷体_GB2312"/>
          <w:b/>
          <w:bCs/>
          <w:i/>
          <w:iCs/>
          <w:color w:val="FF0000"/>
        </w:rPr>
        <w:t>在约定时间内，根据</w:t>
      </w:r>
      <w:r>
        <w:rPr>
          <w:rFonts w:eastAsia="楷体_GB2312"/>
          <w:b/>
          <w:bCs/>
          <w:i/>
          <w:iCs/>
          <w:color w:val="FF0000"/>
        </w:rPr>
        <w:t>《信托合同》</w:t>
      </w:r>
      <w:r>
        <w:rPr>
          <w:rFonts w:hint="eastAsia" w:eastAsia="楷体_GB2312"/>
          <w:b/>
          <w:bCs/>
          <w:i/>
          <w:iCs/>
          <w:color w:val="FF0000"/>
        </w:rPr>
        <w:t>第19.2.2款</w:t>
      </w:r>
      <w:r>
        <w:rPr>
          <w:rFonts w:eastAsia="楷体_GB2312"/>
          <w:b/>
          <w:bCs/>
          <w:i/>
          <w:iCs/>
          <w:color w:val="FF0000"/>
        </w:rPr>
        <w:t>请求受托人召集资产支持证券持有人大会</w:t>
      </w:r>
      <w:r>
        <w:rPr>
          <w:rFonts w:hint="eastAsia" w:eastAsia="楷体_GB2312"/>
          <w:b/>
          <w:bCs/>
          <w:i/>
          <w:iCs/>
          <w:color w:val="FF0000"/>
        </w:rPr>
        <w:t>，届时将</w:t>
      </w:r>
      <w:r>
        <w:rPr>
          <w:rFonts w:eastAsia="楷体_GB2312"/>
          <w:b/>
          <w:bCs/>
          <w:i/>
          <w:iCs/>
          <w:color w:val="FF0000"/>
        </w:rPr>
        <w:t>由资产支持证券持有人大会就清仓回购价格作出决议，并</w:t>
      </w:r>
      <w:r>
        <w:rPr>
          <w:rFonts w:hint="eastAsia" w:eastAsia="楷体_GB2312"/>
          <w:b/>
          <w:bCs/>
          <w:i/>
          <w:iCs/>
          <w:color w:val="FF0000"/>
        </w:rPr>
        <w:t>将</w:t>
      </w:r>
      <w:r>
        <w:rPr>
          <w:rFonts w:eastAsia="楷体_GB2312"/>
          <w:b/>
          <w:bCs/>
          <w:i/>
          <w:iCs/>
          <w:color w:val="FF0000"/>
        </w:rPr>
        <w:t>表决结果</w:t>
      </w:r>
      <w:r>
        <w:rPr>
          <w:rFonts w:hint="eastAsia" w:eastAsia="楷体_GB2312"/>
          <w:b/>
          <w:bCs/>
          <w:i/>
          <w:iCs/>
          <w:color w:val="FF0000"/>
        </w:rPr>
        <w:t>作为最终的</w:t>
      </w:r>
      <w:r>
        <w:rPr>
          <w:rFonts w:eastAsia="楷体_GB2312"/>
          <w:b/>
          <w:bCs/>
          <w:i/>
          <w:iCs/>
          <w:color w:val="FF0000"/>
        </w:rPr>
        <w:t>清仓回购价格</w:t>
      </w:r>
      <w:r>
        <w:rPr>
          <w:rFonts w:hint="eastAsia" w:eastAsia="楷体_GB2312"/>
          <w:b/>
          <w:bCs/>
          <w:i/>
          <w:iCs/>
          <w:color w:val="FF0000"/>
        </w:rPr>
        <w:t>。</w:t>
      </w:r>
      <w:r>
        <w:rPr>
          <w:rFonts w:eastAsia="楷体_GB2312"/>
          <w:b/>
          <w:bCs/>
          <w:i/>
          <w:iCs/>
          <w:color w:val="FF0000"/>
        </w:rPr>
        <w:t>】</w:t>
      </w:r>
    </w:p>
    <w:p w14:paraId="1A2BD568">
      <w:pPr>
        <w:pStyle w:val="50"/>
        <w:spacing w:after="0" w:line="360" w:lineRule="auto"/>
        <w:rPr>
          <w:rFonts w:eastAsia="楷体_GB2312"/>
          <w:b/>
          <w:szCs w:val="24"/>
          <w:lang w:val="en-US" w:eastAsia="zh-CN"/>
        </w:rPr>
      </w:pPr>
    </w:p>
    <w:p w14:paraId="1EA6B918">
      <w:pPr>
        <w:widowControl w:val="0"/>
        <w:numPr>
          <w:ilvl w:val="1"/>
          <w:numId w:val="8"/>
        </w:numPr>
        <w:tabs>
          <w:tab w:val="left" w:pos="900"/>
        </w:tabs>
        <w:spacing w:line="360" w:lineRule="auto"/>
        <w:jc w:val="both"/>
        <w:rPr>
          <w:rFonts w:eastAsia="楷体_GB2312"/>
          <w:lang w:eastAsia="zh-CN"/>
        </w:rPr>
      </w:pPr>
      <w:r>
        <w:rPr>
          <w:rFonts w:eastAsia="楷体_GB2312"/>
          <w:lang w:eastAsia="zh-CN"/>
        </w:rPr>
        <w:t>如果“委托人”同意接受“受托人”发出的上述要约，则应在收到该要约通知后【】个“工作日”内，向“受托人”书面发出不可撤销的承诺通知（格式见本合同</w:t>
      </w:r>
      <w:r>
        <w:rPr>
          <w:rFonts w:eastAsia="楷体_GB2312"/>
          <w:b/>
          <w:i/>
          <w:lang w:eastAsia="zh-CN"/>
        </w:rPr>
        <w:t>附件五</w:t>
      </w:r>
      <w:r>
        <w:rPr>
          <w:rFonts w:eastAsia="楷体_GB2312"/>
          <w:lang w:eastAsia="zh-CN"/>
        </w:rPr>
        <w:t>），并抄送“评级机构”。“委托人”应于“受托人”发出的书面要约载明的期限内（但最晚不得晚于发出《清仓回购通知书》所在“收款期间”结束后的【第一个“回收款转付日”】）将相当于“清仓回购价格”的资金扣除本合同第</w:t>
      </w:r>
      <w:r>
        <w:rPr>
          <w:rFonts w:eastAsia="楷体_GB2312"/>
        </w:rPr>
        <w:fldChar w:fldCharType="begin"/>
      </w:r>
      <w:r>
        <w:rPr>
          <w:rFonts w:eastAsia="楷体_GB2312"/>
          <w:lang w:eastAsia="zh-CN"/>
        </w:rPr>
        <w:instrText xml:space="preserve"> REF _Ref331596015 \r \h  \* MERGEFORMAT </w:instrText>
      </w:r>
      <w:r>
        <w:rPr>
          <w:rFonts w:eastAsia="楷体_GB2312"/>
        </w:rPr>
        <w:fldChar w:fldCharType="separate"/>
      </w:r>
      <w:r>
        <w:rPr>
          <w:rFonts w:eastAsia="楷体_GB2312"/>
          <w:lang w:eastAsia="zh-CN"/>
        </w:rPr>
        <w:t>5.5</w:t>
      </w:r>
      <w:r>
        <w:rPr>
          <w:rFonts w:eastAsia="楷体_GB2312"/>
        </w:rPr>
        <w:fldChar w:fldCharType="end"/>
      </w:r>
      <w:r>
        <w:rPr>
          <w:rFonts w:eastAsia="楷体_GB2312"/>
          <w:lang w:eastAsia="zh-CN"/>
        </w:rPr>
        <w:t>款“委托人”可扣除的款项后的资金一次性支付至“信托账户”。</w:t>
      </w:r>
    </w:p>
    <w:p w14:paraId="7D179E0A">
      <w:pPr>
        <w:spacing w:line="360" w:lineRule="auto"/>
        <w:jc w:val="both"/>
        <w:rPr>
          <w:rFonts w:eastAsia="楷体_GB2312"/>
          <w:lang w:eastAsia="zh-CN"/>
        </w:rPr>
      </w:pPr>
    </w:p>
    <w:p w14:paraId="0E16DB0C">
      <w:pPr>
        <w:widowControl w:val="0"/>
        <w:numPr>
          <w:ilvl w:val="1"/>
          <w:numId w:val="8"/>
        </w:numPr>
        <w:tabs>
          <w:tab w:val="left" w:pos="900"/>
        </w:tabs>
        <w:spacing w:line="360" w:lineRule="auto"/>
        <w:jc w:val="both"/>
        <w:rPr>
          <w:rFonts w:eastAsia="楷体_GB2312"/>
          <w:lang w:eastAsia="zh-CN"/>
        </w:rPr>
      </w:pPr>
      <w:bookmarkStart w:id="126" w:name="_Ref331596015"/>
      <w:r>
        <w:rPr>
          <w:rFonts w:eastAsia="楷体_GB2312"/>
          <w:lang w:eastAsia="zh-CN"/>
        </w:rPr>
        <w:t>自“信托账户”收到“委托人”支付的相当于“清仓回购价格”的资金之日</w:t>
      </w:r>
      <w:r>
        <w:rPr>
          <w:rFonts w:hint="eastAsia" w:eastAsia="楷体_GB2312"/>
          <w:lang w:eastAsia="zh-CN"/>
        </w:rPr>
        <w:t>起</w:t>
      </w:r>
      <w:r>
        <w:rPr>
          <w:rFonts w:eastAsia="楷体_GB2312"/>
          <w:lang w:eastAsia="zh-CN"/>
        </w:rPr>
        <w:t>，“受托人”自“回购起算日”</w:t>
      </w:r>
      <w:r>
        <w:rPr>
          <w:rFonts w:eastAsia="楷体_GB2312"/>
          <w:color w:val="000000"/>
        </w:rPr>
        <w:t>【</w:t>
      </w:r>
      <w:r>
        <w:rPr>
          <w:rFonts w:eastAsia="楷体_GB2312"/>
          <w:i/>
          <w:iCs/>
        </w:rPr>
        <w:t>具体时点</w:t>
      </w:r>
      <w:r>
        <w:rPr>
          <w:rFonts w:eastAsia="楷体_GB2312"/>
          <w:color w:val="000000"/>
        </w:rPr>
        <w:t>】</w:t>
      </w:r>
      <w:r>
        <w:rPr>
          <w:rFonts w:eastAsia="楷体_GB2312"/>
          <w:lang w:eastAsia="zh-CN"/>
        </w:rPr>
        <w:t>起对剩余“资产池”和相关“账户记录”的（现时的和未来的、实际的和或有的）权利、权益、利益和收益全部自动转让给“委托人”；自“回购起算日”</w:t>
      </w:r>
      <w:r>
        <w:rPr>
          <w:rFonts w:eastAsia="楷体_GB2312"/>
          <w:color w:val="000000"/>
        </w:rPr>
        <w:t>【</w:t>
      </w:r>
      <w:r>
        <w:rPr>
          <w:rFonts w:eastAsia="楷体_GB2312"/>
          <w:i/>
          <w:iCs/>
        </w:rPr>
        <w:t>具体时点</w:t>
      </w:r>
      <w:r>
        <w:rPr>
          <w:rFonts w:eastAsia="楷体_GB2312"/>
          <w:color w:val="000000"/>
        </w:rPr>
        <w:t>】</w:t>
      </w:r>
      <w:r>
        <w:rPr>
          <w:rFonts w:eastAsia="楷体_GB2312"/>
          <w:lang w:eastAsia="zh-CN"/>
        </w:rPr>
        <w:t>起“资产池”所产生的全部“回收款”为“委托人”所有，如果“贷款服务机构”已经将发出《清仓回购通知书》所在“收款期间”产生的“回收款”转付给“受托人”的，“委托人”可以从其支付的“清仓回购价格”款项中扣除该等“回收款”，如“贷款服务机构”尚未将发出《清仓回购通知书》所在“收款期间”产生的“回收款”转付给“受托人”的，“受托人”可指示“贷款服务机构”向“委托人”交付该等“回收款”。此外，在由“委托人”承担费用的前提下，“受托人”应协助“委托人”办理其合理地认为必要的全部变更登记和通知手续（如有）。</w:t>
      </w:r>
      <w:bookmarkEnd w:id="126"/>
    </w:p>
    <w:p w14:paraId="1DDE271D">
      <w:pPr>
        <w:widowControl w:val="0"/>
        <w:tabs>
          <w:tab w:val="left" w:pos="992"/>
        </w:tabs>
        <w:spacing w:line="360" w:lineRule="auto"/>
        <w:ind w:left="992"/>
        <w:jc w:val="both"/>
        <w:rPr>
          <w:rFonts w:eastAsia="楷体_GB2312"/>
          <w:lang w:eastAsia="zh-CN"/>
        </w:rPr>
      </w:pPr>
    </w:p>
    <w:p w14:paraId="6E8F4F83">
      <w:pPr>
        <w:widowControl w:val="0"/>
        <w:numPr>
          <w:ilvl w:val="1"/>
          <w:numId w:val="8"/>
        </w:numPr>
        <w:tabs>
          <w:tab w:val="left" w:pos="900"/>
        </w:tabs>
        <w:spacing w:line="360" w:lineRule="auto"/>
        <w:jc w:val="both"/>
        <w:rPr>
          <w:rFonts w:eastAsia="楷体_GB2312"/>
          <w:lang w:eastAsia="zh-CN"/>
        </w:rPr>
      </w:pPr>
      <w:r>
        <w:rPr>
          <w:rFonts w:eastAsia="楷体_GB2312"/>
          <w:lang w:eastAsia="zh-CN"/>
        </w:rPr>
        <w:t>“受托人”应将“信托账户”收到的“清仓回购价格”款项分别作为“收入回收款”和“本金回收款”转入“收入分账户”和“本金分账户”。</w:t>
      </w:r>
    </w:p>
    <w:p w14:paraId="0AEA357A">
      <w:pPr>
        <w:widowControl w:val="0"/>
        <w:tabs>
          <w:tab w:val="left" w:pos="992"/>
        </w:tabs>
        <w:spacing w:line="360" w:lineRule="auto"/>
        <w:ind w:left="992"/>
        <w:jc w:val="both"/>
        <w:rPr>
          <w:rFonts w:eastAsia="楷体_GB2312"/>
          <w:lang w:eastAsia="zh-CN"/>
        </w:rPr>
      </w:pPr>
    </w:p>
    <w:p w14:paraId="5612378D">
      <w:pPr>
        <w:widowControl w:val="0"/>
        <w:numPr>
          <w:ilvl w:val="0"/>
          <w:numId w:val="8"/>
        </w:numPr>
        <w:spacing w:line="360" w:lineRule="auto"/>
        <w:jc w:val="both"/>
        <w:outlineLvl w:val="0"/>
        <w:rPr>
          <w:rFonts w:eastAsia="楷体_GB2312"/>
          <w:b/>
          <w:lang w:eastAsia="zh-CN"/>
        </w:rPr>
      </w:pPr>
      <w:bookmarkStart w:id="127" w:name="_Toc75510465"/>
      <w:bookmarkStart w:id="128" w:name="_Toc201490207"/>
      <w:bookmarkStart w:id="129" w:name="_Toc207007302"/>
      <w:bookmarkStart w:id="130" w:name="_Toc201569386"/>
      <w:bookmarkStart w:id="131" w:name="_Ref333752294"/>
      <w:bookmarkStart w:id="132" w:name="_Toc69138583"/>
      <w:bookmarkStart w:id="133" w:name="_Toc166105866"/>
      <w:bookmarkStart w:id="134" w:name="_Toc454484853"/>
      <w:bookmarkStart w:id="135" w:name="_Toc227955280"/>
      <w:r>
        <w:rPr>
          <w:rFonts w:eastAsia="楷体_GB2312"/>
          <w:b/>
          <w:lang w:eastAsia="zh-CN"/>
        </w:rPr>
        <w:t>权利完善</w:t>
      </w:r>
      <w:bookmarkEnd w:id="127"/>
      <w:bookmarkEnd w:id="128"/>
      <w:bookmarkEnd w:id="129"/>
      <w:bookmarkEnd w:id="130"/>
      <w:bookmarkEnd w:id="131"/>
      <w:bookmarkEnd w:id="132"/>
      <w:bookmarkEnd w:id="133"/>
      <w:bookmarkEnd w:id="134"/>
      <w:r>
        <w:rPr>
          <w:rFonts w:hint="eastAsia" w:eastAsia="楷体_GB2312"/>
          <w:b/>
          <w:lang w:eastAsia="zh-CN"/>
        </w:rPr>
        <w:t>通知</w:t>
      </w:r>
      <w:bookmarkEnd w:id="135"/>
    </w:p>
    <w:p w14:paraId="13E9F8D6">
      <w:pPr>
        <w:pStyle w:val="78"/>
        <w:spacing w:after="0" w:line="360" w:lineRule="auto"/>
        <w:ind w:left="1515"/>
        <w:rPr>
          <w:rFonts w:eastAsia="楷体_GB2312"/>
          <w:lang w:eastAsia="zh-CN"/>
        </w:rPr>
      </w:pPr>
      <w:bookmarkStart w:id="136" w:name="_Ref201483510"/>
      <w:bookmarkStart w:id="137" w:name="_Toc201569388"/>
    </w:p>
    <w:p w14:paraId="11FBF0B4">
      <w:pPr>
        <w:widowControl w:val="0"/>
        <w:numPr>
          <w:ilvl w:val="1"/>
          <w:numId w:val="8"/>
        </w:numPr>
        <w:tabs>
          <w:tab w:val="left" w:pos="900"/>
        </w:tabs>
        <w:spacing w:line="360" w:lineRule="auto"/>
        <w:jc w:val="both"/>
        <w:outlineLvl w:val="1"/>
        <w:rPr>
          <w:rFonts w:eastAsia="楷体_GB2312"/>
          <w:b/>
          <w:lang w:eastAsia="zh-CN"/>
        </w:rPr>
      </w:pPr>
      <w:bookmarkStart w:id="138" w:name="_Ref332385414"/>
      <w:r>
        <w:rPr>
          <w:rFonts w:eastAsia="楷体_GB2312"/>
          <w:b/>
          <w:lang w:eastAsia="zh-CN"/>
        </w:rPr>
        <w:t>委托人发送权利完善通知</w:t>
      </w:r>
      <w:bookmarkEnd w:id="136"/>
      <w:bookmarkEnd w:id="137"/>
      <w:bookmarkEnd w:id="138"/>
    </w:p>
    <w:p w14:paraId="094DDD65">
      <w:pPr>
        <w:widowControl w:val="0"/>
        <w:tabs>
          <w:tab w:val="left" w:pos="1571"/>
        </w:tabs>
        <w:spacing w:line="360" w:lineRule="auto"/>
        <w:ind w:left="1620"/>
        <w:jc w:val="both"/>
        <w:rPr>
          <w:rFonts w:eastAsia="楷体_GB2312"/>
          <w:lang w:eastAsia="zh-CN"/>
        </w:rPr>
      </w:pPr>
    </w:p>
    <w:p w14:paraId="0B33216B">
      <w:pPr>
        <w:widowControl w:val="0"/>
        <w:numPr>
          <w:ilvl w:val="2"/>
          <w:numId w:val="8"/>
        </w:numPr>
        <w:tabs>
          <w:tab w:val="left" w:pos="1620"/>
        </w:tabs>
        <w:spacing w:line="360" w:lineRule="auto"/>
        <w:ind w:left="1620" w:hanging="769"/>
        <w:jc w:val="both"/>
        <w:rPr>
          <w:rFonts w:eastAsia="楷体_GB2312"/>
          <w:bCs/>
          <w:lang w:eastAsia="zh-CN"/>
        </w:rPr>
      </w:pPr>
      <w:bookmarkStart w:id="139" w:name="_Ref331597944"/>
      <w:r>
        <w:rPr>
          <w:rFonts w:eastAsia="楷体_GB2312"/>
          <w:bCs/>
          <w:lang w:eastAsia="zh-CN"/>
        </w:rPr>
        <w:t>发生“权利完善事件”之第【(a)】项或第【(b)】项情形</w:t>
      </w:r>
      <w:bookmarkStart w:id="140" w:name="_Hlk221891374"/>
      <w:r>
        <w:rPr>
          <w:rFonts w:eastAsia="楷体_GB2312"/>
          <w:bCs/>
          <w:lang w:eastAsia="zh-CN"/>
        </w:rPr>
        <w:t>后【】个“工作日”内</w:t>
      </w:r>
      <w:bookmarkEnd w:id="140"/>
      <w:r>
        <w:rPr>
          <w:rFonts w:eastAsia="楷体_GB2312"/>
          <w:bCs/>
          <w:lang w:eastAsia="zh-CN"/>
        </w:rPr>
        <w:t>，</w:t>
      </w:r>
      <w:r>
        <w:rPr>
          <w:rFonts w:eastAsia="楷体_GB2312"/>
          <w:lang w:eastAsia="zh-CN"/>
        </w:rPr>
        <w:t>“委托人”</w:t>
      </w:r>
      <w:r>
        <w:rPr>
          <w:rFonts w:eastAsia="楷体_GB2312"/>
          <w:bCs/>
          <w:lang w:eastAsia="zh-CN"/>
        </w:rPr>
        <w:t>应以挂号信</w:t>
      </w:r>
      <w:r>
        <w:rPr>
          <w:rFonts w:eastAsia="楷体_GB2312"/>
          <w:color w:val="000000"/>
        </w:rPr>
        <w:t>或特快专递等</w:t>
      </w:r>
      <w:r>
        <w:rPr>
          <w:rFonts w:eastAsia="楷体_GB2312"/>
          <w:bCs/>
          <w:lang w:eastAsia="zh-CN"/>
        </w:rPr>
        <w:t>方式发出如下“权利完善通知”（格式见本合同</w:t>
      </w:r>
      <w:r>
        <w:rPr>
          <w:rFonts w:eastAsia="楷体_GB2312"/>
          <w:b/>
          <w:i/>
          <w:iCs/>
          <w:lang w:eastAsia="zh-CN"/>
        </w:rPr>
        <w:t>附件六</w:t>
      </w:r>
      <w:r>
        <w:rPr>
          <w:rFonts w:eastAsia="楷体_GB2312"/>
          <w:bCs/>
          <w:lang w:eastAsia="zh-CN"/>
        </w:rPr>
        <w:t>），并抄送给“受托人”：</w:t>
      </w:r>
      <w:bookmarkEnd w:id="139"/>
    </w:p>
    <w:p w14:paraId="4395C26A">
      <w:pPr>
        <w:tabs>
          <w:tab w:val="left" w:pos="900"/>
        </w:tabs>
        <w:spacing w:line="360" w:lineRule="auto"/>
        <w:jc w:val="both"/>
        <w:rPr>
          <w:rFonts w:eastAsia="楷体_GB2312"/>
          <w:lang w:eastAsia="zh-CN"/>
        </w:rPr>
      </w:pPr>
    </w:p>
    <w:p w14:paraId="63502D5B">
      <w:pPr>
        <w:widowControl w:val="0"/>
        <w:numPr>
          <w:ilvl w:val="0"/>
          <w:numId w:val="13"/>
        </w:numPr>
        <w:tabs>
          <w:tab w:val="left" w:pos="2127"/>
        </w:tabs>
        <w:spacing w:line="360" w:lineRule="auto"/>
        <w:ind w:left="2131" w:leftChars="711" w:hanging="425"/>
        <w:jc w:val="both"/>
        <w:rPr>
          <w:rFonts w:eastAsia="楷体_GB2312"/>
          <w:lang w:eastAsia="zh-CN"/>
        </w:rPr>
      </w:pPr>
      <w:r>
        <w:rPr>
          <w:rFonts w:eastAsia="楷体_GB2312"/>
          <w:lang w:eastAsia="zh-CN"/>
        </w:rPr>
        <w:t>将相关初始“基础资产”已设立“信托”的事实，通知每一个“借款人”、“抵押人”、“共同借款人”（如有）和“保证人”（如有）；以及</w:t>
      </w:r>
    </w:p>
    <w:p w14:paraId="15E8D587">
      <w:pPr>
        <w:widowControl w:val="0"/>
        <w:tabs>
          <w:tab w:val="left" w:pos="2040"/>
        </w:tabs>
        <w:spacing w:line="360" w:lineRule="auto"/>
        <w:ind w:left="2280" w:leftChars="950"/>
        <w:jc w:val="both"/>
        <w:rPr>
          <w:rFonts w:eastAsia="楷体_GB2312"/>
          <w:lang w:eastAsia="zh-CN"/>
        </w:rPr>
      </w:pPr>
    </w:p>
    <w:p w14:paraId="20544AE0">
      <w:pPr>
        <w:widowControl w:val="0"/>
        <w:numPr>
          <w:ilvl w:val="0"/>
          <w:numId w:val="13"/>
        </w:numPr>
        <w:tabs>
          <w:tab w:val="left" w:pos="2127"/>
        </w:tabs>
        <w:spacing w:line="360" w:lineRule="auto"/>
        <w:ind w:left="2131" w:leftChars="711" w:hanging="425"/>
        <w:jc w:val="both"/>
        <w:rPr>
          <w:rFonts w:eastAsia="楷体_GB2312"/>
          <w:lang w:eastAsia="zh-CN"/>
        </w:rPr>
      </w:pPr>
      <w:r>
        <w:rPr>
          <w:rFonts w:eastAsia="楷体_GB2312"/>
          <w:lang w:eastAsia="zh-CN"/>
        </w:rPr>
        <w:t>告知“借款人”、“抵押人”、“共同借款人”（如有）及“保证人”（如有）自收到“权利完善通知”之日起，将其应支付的款项支付至“信托账户”。</w:t>
      </w:r>
    </w:p>
    <w:p w14:paraId="5CC93B01">
      <w:pPr>
        <w:pStyle w:val="40"/>
        <w:spacing w:line="360" w:lineRule="auto"/>
        <w:ind w:left="2040" w:firstLine="0" w:firstLineChars="0"/>
        <w:rPr>
          <w:rFonts w:eastAsia="楷体_GB2312"/>
          <w:b/>
          <w:bCs/>
          <w:i/>
          <w:iCs/>
          <w:color w:val="000000"/>
          <w:lang w:eastAsia="zh-CN"/>
        </w:rPr>
      </w:pPr>
    </w:p>
    <w:p w14:paraId="2EE98814">
      <w:pPr>
        <w:widowControl w:val="0"/>
        <w:numPr>
          <w:ilvl w:val="2"/>
          <w:numId w:val="8"/>
        </w:numPr>
        <w:tabs>
          <w:tab w:val="left" w:pos="1620"/>
        </w:tabs>
        <w:spacing w:line="360" w:lineRule="auto"/>
        <w:ind w:left="1620" w:hanging="769"/>
        <w:jc w:val="both"/>
        <w:rPr>
          <w:rFonts w:eastAsia="楷体_GB2312"/>
          <w:bCs/>
          <w:lang w:eastAsia="zh-CN"/>
        </w:rPr>
      </w:pPr>
      <w:bookmarkStart w:id="141" w:name="_Ref221455516"/>
      <w:r>
        <w:rPr>
          <w:rFonts w:eastAsia="楷体_GB2312"/>
          <w:bCs/>
          <w:lang w:eastAsia="zh-CN"/>
        </w:rPr>
        <w:t>发生“权利完善事件”之第【(a)】项或第【(b)】项情形后【】个“工作日”内，“委托人”应以挂号信的方式发出如下“权利完善通知”（格式见本合同</w:t>
      </w:r>
      <w:r>
        <w:rPr>
          <w:rFonts w:eastAsia="楷体_GB2312"/>
          <w:b/>
          <w:bCs/>
          <w:i/>
          <w:lang w:eastAsia="zh-CN"/>
        </w:rPr>
        <w:t>附件六</w:t>
      </w:r>
      <w:r>
        <w:rPr>
          <w:rFonts w:eastAsia="楷体_GB2312"/>
          <w:bCs/>
          <w:lang w:eastAsia="zh-CN"/>
        </w:rPr>
        <w:t>），并抄送给“受托人”：将相关初始“基础资产”已设立“信托”</w:t>
      </w:r>
      <w:r>
        <w:rPr>
          <w:rFonts w:eastAsia="楷体_GB2312"/>
          <w:lang w:eastAsia="zh-CN"/>
        </w:rPr>
        <w:t>的事实</w:t>
      </w:r>
      <w:r>
        <w:rPr>
          <w:rFonts w:eastAsia="楷体_GB2312"/>
          <w:bCs/>
          <w:lang w:eastAsia="zh-CN"/>
        </w:rPr>
        <w:t>，通知每一“个人汽车贷款”或“车辆”项下保单的每一位“保险人”（如有）或被保险人（如有），并尽最大可能促使</w:t>
      </w:r>
      <w:r>
        <w:rPr>
          <w:rFonts w:eastAsia="楷体_GB2312"/>
          <w:lang w:eastAsia="zh-CN"/>
        </w:rPr>
        <w:t>“受托人”</w:t>
      </w:r>
      <w:r>
        <w:rPr>
          <w:rFonts w:eastAsia="楷体_GB2312"/>
          <w:bCs/>
          <w:lang w:eastAsia="zh-CN"/>
        </w:rPr>
        <w:t>成为每一保单项下的保险金领受人，并告知“保险人”自收到“权利完善通知”之日起，将其应支付的款项支付至“信托账户”。</w:t>
      </w:r>
      <w:bookmarkEnd w:id="141"/>
    </w:p>
    <w:p w14:paraId="501644A0">
      <w:pPr>
        <w:widowControl w:val="0"/>
        <w:tabs>
          <w:tab w:val="left" w:pos="1571"/>
        </w:tabs>
        <w:spacing w:line="360" w:lineRule="auto"/>
        <w:jc w:val="both"/>
        <w:rPr>
          <w:rFonts w:eastAsia="楷体_GB2312"/>
          <w:lang w:eastAsia="zh-CN"/>
        </w:rPr>
      </w:pPr>
    </w:p>
    <w:p w14:paraId="01539468">
      <w:pPr>
        <w:widowControl w:val="0"/>
        <w:numPr>
          <w:ilvl w:val="2"/>
          <w:numId w:val="8"/>
        </w:numPr>
        <w:tabs>
          <w:tab w:val="left" w:pos="1620"/>
        </w:tabs>
        <w:spacing w:line="360" w:lineRule="auto"/>
        <w:ind w:left="1620" w:hanging="769"/>
        <w:jc w:val="both"/>
        <w:rPr>
          <w:rFonts w:eastAsia="楷体_GB2312"/>
          <w:bCs/>
          <w:lang w:eastAsia="zh-CN"/>
        </w:rPr>
      </w:pPr>
      <w:r>
        <w:rPr>
          <w:rFonts w:eastAsia="楷体_GB2312"/>
          <w:bCs/>
          <w:lang w:eastAsia="zh-CN"/>
        </w:rPr>
        <w:t>发生“权利完善事件”之第【(c)】项或第【(d)】项情形后的【】个“工作日”内，“委托人”应以挂号信</w:t>
      </w:r>
      <w:r>
        <w:rPr>
          <w:rFonts w:eastAsia="楷体_GB2312"/>
          <w:color w:val="000000"/>
        </w:rPr>
        <w:t>或特快专递等</w:t>
      </w:r>
      <w:r>
        <w:rPr>
          <w:rFonts w:eastAsia="楷体_GB2312"/>
          <w:bCs/>
          <w:lang w:eastAsia="zh-CN"/>
        </w:rPr>
        <w:t>方式发出如下“权利完善通知”，并抄送给“受托人”：将相关初始“基础资产”已设立“信托”</w:t>
      </w:r>
      <w:r>
        <w:rPr>
          <w:rFonts w:eastAsia="楷体_GB2312"/>
          <w:lang w:eastAsia="zh-CN"/>
        </w:rPr>
        <w:t>的事实</w:t>
      </w:r>
      <w:r>
        <w:rPr>
          <w:rFonts w:eastAsia="楷体_GB2312"/>
          <w:bCs/>
          <w:lang w:eastAsia="zh-CN"/>
        </w:rPr>
        <w:t>，通知每一个“借款人”、</w:t>
      </w:r>
      <w:r>
        <w:rPr>
          <w:rFonts w:eastAsia="楷体_GB2312"/>
          <w:lang w:eastAsia="zh-CN"/>
        </w:rPr>
        <w:t>“抵押人”、</w:t>
      </w:r>
      <w:r>
        <w:rPr>
          <w:rFonts w:eastAsia="楷体_GB2312"/>
          <w:bCs/>
          <w:lang w:eastAsia="zh-CN"/>
        </w:rPr>
        <w:t>“共同借款人”（如有）和“保证人”（如有）、“保险人”（如有）或被保险人（如有）。</w:t>
      </w:r>
      <w:r>
        <w:rPr>
          <w:rFonts w:eastAsia="楷体_GB2312"/>
          <w:color w:val="000000"/>
        </w:rPr>
        <w:t>当“委托人”担任“贷款服务机构时”，发生“权利完善事件”之第【(c)】或第【(d)】项情形的，则按本合同第</w:t>
      </w:r>
      <w:r>
        <w:rPr>
          <w:rFonts w:eastAsia="楷体_GB2312"/>
          <w:color w:val="000000"/>
        </w:rPr>
        <w:fldChar w:fldCharType="begin"/>
      </w:r>
      <w:r>
        <w:rPr>
          <w:rFonts w:eastAsia="楷体_GB2312"/>
          <w:color w:val="000000"/>
        </w:rPr>
        <w:instrText xml:space="preserve"> REF _Ref331597944 \r \h  \* MERGEFORMAT </w:instrText>
      </w:r>
      <w:r>
        <w:rPr>
          <w:rFonts w:eastAsia="楷体_GB2312"/>
          <w:color w:val="000000"/>
        </w:rPr>
        <w:fldChar w:fldCharType="separate"/>
      </w:r>
      <w:r>
        <w:rPr>
          <w:rFonts w:eastAsia="楷体_GB2312"/>
          <w:color w:val="000000"/>
        </w:rPr>
        <w:t>6.1.1</w:t>
      </w:r>
      <w:r>
        <w:rPr>
          <w:rFonts w:eastAsia="楷体_GB2312"/>
          <w:color w:val="000000"/>
        </w:rPr>
        <w:fldChar w:fldCharType="end"/>
      </w:r>
      <w:r>
        <w:rPr>
          <w:rFonts w:eastAsia="楷体_GB2312"/>
          <w:color w:val="000000"/>
        </w:rPr>
        <w:t>款约定执行（如涉及“保险人”或被保险人，则按本合同第</w:t>
      </w:r>
      <w:r>
        <w:rPr>
          <w:rFonts w:eastAsia="楷体_GB2312"/>
          <w:color w:val="000000"/>
        </w:rPr>
        <w:fldChar w:fldCharType="begin"/>
      </w:r>
      <w:r>
        <w:rPr>
          <w:rFonts w:eastAsia="楷体_GB2312"/>
          <w:color w:val="000000"/>
        </w:rPr>
        <w:instrText xml:space="preserve"> REF _Ref221455516 \r \h  \* MERGEFORMAT </w:instrText>
      </w:r>
      <w:r>
        <w:rPr>
          <w:rFonts w:eastAsia="楷体_GB2312"/>
          <w:color w:val="000000"/>
        </w:rPr>
        <w:fldChar w:fldCharType="separate"/>
      </w:r>
      <w:r>
        <w:rPr>
          <w:rFonts w:eastAsia="楷体_GB2312"/>
          <w:color w:val="000000"/>
        </w:rPr>
        <w:t>6.1.2</w:t>
      </w:r>
      <w:r>
        <w:rPr>
          <w:rFonts w:eastAsia="楷体_GB2312"/>
          <w:color w:val="000000"/>
        </w:rPr>
        <w:fldChar w:fldCharType="end"/>
      </w:r>
      <w:r>
        <w:rPr>
          <w:rFonts w:eastAsia="楷体_GB2312"/>
          <w:color w:val="000000"/>
        </w:rPr>
        <w:t>款约定执行）。</w:t>
      </w:r>
    </w:p>
    <w:p w14:paraId="7E710AEE">
      <w:pPr>
        <w:widowControl w:val="0"/>
        <w:tabs>
          <w:tab w:val="left" w:pos="1571"/>
        </w:tabs>
        <w:spacing w:line="360" w:lineRule="auto"/>
        <w:ind w:left="1620"/>
        <w:jc w:val="both"/>
        <w:rPr>
          <w:rFonts w:eastAsia="楷体_GB2312"/>
          <w:lang w:eastAsia="zh-CN"/>
        </w:rPr>
      </w:pPr>
    </w:p>
    <w:p w14:paraId="51BD52A8">
      <w:pPr>
        <w:widowControl w:val="0"/>
        <w:numPr>
          <w:ilvl w:val="2"/>
          <w:numId w:val="8"/>
        </w:numPr>
        <w:tabs>
          <w:tab w:val="left" w:pos="1620"/>
        </w:tabs>
        <w:spacing w:line="360" w:lineRule="auto"/>
        <w:ind w:left="1620" w:hanging="769"/>
        <w:jc w:val="both"/>
        <w:rPr>
          <w:rFonts w:eastAsia="楷体_GB2312"/>
          <w:bCs/>
          <w:lang w:eastAsia="zh-CN"/>
        </w:rPr>
      </w:pPr>
      <w:bookmarkStart w:id="142" w:name="_Ref332385436"/>
      <w:r>
        <w:rPr>
          <w:rFonts w:eastAsia="楷体_GB2312"/>
          <w:bCs/>
          <w:lang w:eastAsia="zh-CN"/>
        </w:rPr>
        <w:t>发生“权利完善事件”中的第【(e)】项第【(i)】类或第【(ii)】类情形后的【】个“工作日”内，“委托人”应根据其通常标准并经“受托人”同意以挂号信或特快专递等方式但仅向未履行义务的“借款人”、</w:t>
      </w:r>
      <w:r>
        <w:rPr>
          <w:rFonts w:eastAsia="楷体_GB2312"/>
          <w:lang w:eastAsia="zh-CN"/>
        </w:rPr>
        <w:t>“抵押人”、</w:t>
      </w:r>
      <w:r>
        <w:rPr>
          <w:rFonts w:eastAsia="楷体_GB2312"/>
          <w:bCs/>
          <w:lang w:eastAsia="zh-CN"/>
        </w:rPr>
        <w:t>“共同借款人”（如有）及“保证人”（如有），并抄送给“受托人”：</w:t>
      </w:r>
    </w:p>
    <w:p w14:paraId="6718E8B2">
      <w:pPr>
        <w:widowControl w:val="0"/>
        <w:numPr>
          <w:ilvl w:val="0"/>
          <w:numId w:val="14"/>
        </w:numPr>
        <w:tabs>
          <w:tab w:val="left" w:pos="2127"/>
          <w:tab w:val="clear" w:pos="2040"/>
        </w:tabs>
        <w:spacing w:line="360" w:lineRule="auto"/>
        <w:ind w:left="2131" w:leftChars="711" w:hanging="425"/>
        <w:jc w:val="both"/>
        <w:rPr>
          <w:rFonts w:eastAsia="楷体_GB2312"/>
          <w:lang w:eastAsia="zh-CN"/>
        </w:rPr>
      </w:pPr>
      <w:r>
        <w:rPr>
          <w:rFonts w:eastAsia="楷体_GB2312"/>
          <w:lang w:eastAsia="zh-CN"/>
        </w:rPr>
        <w:t>将相关初始“基础资产”已设立“信托”的事实，通知相关“借款人”、“抵押人”、“共同借款人”（如有）和“保证人”（如有）；</w:t>
      </w:r>
    </w:p>
    <w:p w14:paraId="41A3E38F">
      <w:pPr>
        <w:widowControl w:val="0"/>
        <w:numPr>
          <w:ilvl w:val="0"/>
          <w:numId w:val="14"/>
        </w:numPr>
        <w:tabs>
          <w:tab w:val="left" w:pos="2127"/>
          <w:tab w:val="clear" w:pos="2040"/>
        </w:tabs>
        <w:spacing w:line="360" w:lineRule="auto"/>
        <w:ind w:left="2131" w:leftChars="711" w:hanging="425"/>
        <w:jc w:val="both"/>
        <w:rPr>
          <w:rFonts w:eastAsia="楷体_GB2312"/>
          <w:lang w:eastAsia="zh-CN"/>
        </w:rPr>
      </w:pPr>
      <w:r>
        <w:rPr>
          <w:rFonts w:eastAsia="楷体_GB2312"/>
          <w:lang w:eastAsia="zh-CN"/>
        </w:rPr>
        <w:t>告知“借款人”、“抵押人”、“共同借款人”（如有）、“保证人”（如有）自收到“权利完善通知”之日起，将其应支付的款项支付至“信托账户”。</w:t>
      </w:r>
    </w:p>
    <w:bookmarkEnd w:id="142"/>
    <w:p w14:paraId="475DB832">
      <w:pPr>
        <w:widowControl w:val="0"/>
        <w:tabs>
          <w:tab w:val="left" w:pos="1620"/>
        </w:tabs>
        <w:spacing w:line="360" w:lineRule="auto"/>
        <w:ind w:left="1620"/>
        <w:jc w:val="both"/>
        <w:rPr>
          <w:rFonts w:eastAsia="楷体_GB2312"/>
          <w:lang w:eastAsia="zh-CN"/>
        </w:rPr>
      </w:pPr>
    </w:p>
    <w:p w14:paraId="7170286F">
      <w:pPr>
        <w:widowControl w:val="0"/>
        <w:numPr>
          <w:ilvl w:val="2"/>
          <w:numId w:val="8"/>
        </w:numPr>
        <w:tabs>
          <w:tab w:val="left" w:pos="1620"/>
        </w:tabs>
        <w:spacing w:line="360" w:lineRule="auto"/>
        <w:ind w:left="1620" w:hanging="769"/>
        <w:jc w:val="both"/>
        <w:rPr>
          <w:rFonts w:eastAsia="楷体_GB2312"/>
          <w:bCs/>
          <w:lang w:eastAsia="zh-CN"/>
        </w:rPr>
      </w:pPr>
      <w:r>
        <w:rPr>
          <w:rFonts w:eastAsia="楷体_GB2312"/>
          <w:bCs/>
          <w:lang w:eastAsia="zh-CN"/>
        </w:rPr>
        <w:t>发生“权利完善事件”中的第【(e)】项第【(iii)】类情形后的【】个“工作日”内，“委托人”应以挂号信或特快专递等方式但仅向未履行义务的相关“个人汽车贷款”或“车辆”项下保单的“保险人”（如有）或被保险人（如有）发出“权利完善通知”，并抄送给“受托人”：将相关初始“基础资产”已设立“信托”</w:t>
      </w:r>
      <w:r>
        <w:rPr>
          <w:rFonts w:eastAsia="楷体_GB2312"/>
          <w:lang w:eastAsia="zh-CN"/>
        </w:rPr>
        <w:t>的事实</w:t>
      </w:r>
      <w:r>
        <w:rPr>
          <w:rFonts w:eastAsia="楷体_GB2312"/>
          <w:bCs/>
          <w:lang w:eastAsia="zh-CN"/>
        </w:rPr>
        <w:t>，通知相关“个人汽车贷款”或“车辆”项下保单的每一位“保险人”（如有）或被保险人（如有），并尽最大可能促使“受托人”成为每一保单项下的保险金领受人；并告知“保险人”自收到“权利完善通知”之日起，将其应支付的款项支付至“信托账户”。</w:t>
      </w:r>
    </w:p>
    <w:p w14:paraId="76CC1518">
      <w:pPr>
        <w:widowControl w:val="0"/>
        <w:tabs>
          <w:tab w:val="left" w:pos="425"/>
          <w:tab w:val="left" w:pos="1620"/>
          <w:tab w:val="left" w:pos="1997"/>
        </w:tabs>
        <w:spacing w:line="360" w:lineRule="auto"/>
        <w:ind w:left="1620"/>
        <w:jc w:val="both"/>
        <w:rPr>
          <w:rFonts w:eastAsia="楷体_GB2312"/>
          <w:bCs/>
          <w:lang w:eastAsia="zh-CN"/>
        </w:rPr>
      </w:pPr>
    </w:p>
    <w:p w14:paraId="0E5233C8">
      <w:pPr>
        <w:widowControl w:val="0"/>
        <w:numPr>
          <w:ilvl w:val="2"/>
          <w:numId w:val="8"/>
        </w:numPr>
        <w:tabs>
          <w:tab w:val="left" w:pos="1620"/>
        </w:tabs>
        <w:spacing w:line="360" w:lineRule="auto"/>
        <w:ind w:left="1620" w:hanging="769"/>
        <w:jc w:val="both"/>
        <w:rPr>
          <w:rFonts w:eastAsia="楷体_GB2312"/>
          <w:lang w:eastAsia="zh-CN"/>
        </w:rPr>
      </w:pPr>
      <w:r>
        <w:rPr>
          <w:rFonts w:eastAsia="楷体_GB2312"/>
          <w:color w:val="000000"/>
        </w:rPr>
        <w:t>根据相关</w:t>
      </w:r>
      <w:r>
        <w:rPr>
          <w:rFonts w:eastAsia="楷体_GB2312"/>
          <w:bCs/>
          <w:color w:val="000000"/>
        </w:rPr>
        <w:t>“</w:t>
      </w:r>
      <w:r>
        <w:rPr>
          <w:rFonts w:eastAsia="楷体_GB2312"/>
          <w:color w:val="000000"/>
        </w:rPr>
        <w:t>中国”“法律”的规定或</w:t>
      </w:r>
      <w:r>
        <w:rPr>
          <w:rFonts w:eastAsia="楷体_GB2312"/>
          <w:bCs/>
        </w:rPr>
        <w:t>“个人汽车贷款”</w:t>
      </w:r>
      <w:r>
        <w:rPr>
          <w:rFonts w:eastAsia="楷体_GB2312"/>
          <w:color w:val="000000"/>
        </w:rPr>
        <w:t>的届时状况和回收需要，“受托人”有权要求“委托人”或由“委托人”自行向相应的“义务人”发送“权利完善通知”，具体方式与内容可按最有利于回收</w:t>
      </w:r>
      <w:r>
        <w:rPr>
          <w:rFonts w:eastAsia="楷体_GB2312"/>
          <w:bCs/>
        </w:rPr>
        <w:t>“个人汽车贷款”</w:t>
      </w:r>
      <w:r>
        <w:rPr>
          <w:rFonts w:eastAsia="楷体_GB2312"/>
          <w:color w:val="000000"/>
        </w:rPr>
        <w:t>的原则予以确定。</w:t>
      </w:r>
    </w:p>
    <w:p w14:paraId="02992F17">
      <w:pPr>
        <w:pStyle w:val="40"/>
        <w:ind w:firstLine="480"/>
        <w:rPr>
          <w:rFonts w:eastAsia="楷体_GB2312"/>
          <w:lang w:eastAsia="zh-CN"/>
        </w:rPr>
      </w:pPr>
    </w:p>
    <w:p w14:paraId="49B03802">
      <w:pPr>
        <w:spacing w:line="360" w:lineRule="auto"/>
        <w:ind w:left="1701"/>
        <w:rPr>
          <w:rFonts w:eastAsia="楷体_GB2312"/>
          <w:b/>
          <w:bCs/>
          <w:i/>
          <w:iCs/>
          <w:color w:val="FF0000"/>
        </w:rPr>
      </w:pPr>
      <w:r>
        <w:rPr>
          <w:rFonts w:eastAsia="楷体_GB2312"/>
          <w:b/>
          <w:bCs/>
          <w:i/>
          <w:iCs/>
          <w:color w:val="FF0000"/>
        </w:rPr>
        <w:t>【注：</w:t>
      </w:r>
      <w:bookmarkStart w:id="143" w:name="_Hlk221450192"/>
      <w:r>
        <w:rPr>
          <w:rFonts w:eastAsia="楷体_GB2312"/>
          <w:b/>
          <w:bCs/>
          <w:i/>
          <w:iCs/>
          <w:color w:val="FF0000"/>
        </w:rPr>
        <w:t>权利完善事件/个别通知事件市场主体采取的表述方式多样，具体权利完善事件以及该等事件发生后的法律后果均可结合项目实际需要而予以调整，注意与相关条款约定相匹配即可。</w:t>
      </w:r>
      <w:bookmarkEnd w:id="143"/>
      <w:r>
        <w:rPr>
          <w:rFonts w:eastAsia="楷体_GB2312"/>
          <w:b/>
          <w:bCs/>
          <w:i/>
          <w:iCs/>
          <w:color w:val="FF0000"/>
        </w:rPr>
        <w:t>】</w:t>
      </w:r>
    </w:p>
    <w:p w14:paraId="0861767B">
      <w:pPr>
        <w:spacing w:line="360" w:lineRule="auto"/>
        <w:ind w:left="1620"/>
        <w:jc w:val="both"/>
        <w:rPr>
          <w:rFonts w:eastAsia="楷体_GB2312"/>
          <w:b/>
          <w:lang w:eastAsia="zh-CN"/>
        </w:rPr>
      </w:pPr>
    </w:p>
    <w:p w14:paraId="1E0AF752">
      <w:pPr>
        <w:widowControl w:val="0"/>
        <w:numPr>
          <w:ilvl w:val="1"/>
          <w:numId w:val="8"/>
        </w:numPr>
        <w:tabs>
          <w:tab w:val="left" w:pos="900"/>
        </w:tabs>
        <w:spacing w:line="360" w:lineRule="auto"/>
        <w:jc w:val="both"/>
        <w:outlineLvl w:val="1"/>
        <w:rPr>
          <w:rFonts w:eastAsia="楷体_GB2312"/>
          <w:b/>
          <w:lang w:eastAsia="zh-CN"/>
        </w:rPr>
      </w:pPr>
      <w:bookmarkStart w:id="144" w:name="_Ref333411174"/>
      <w:bookmarkStart w:id="145" w:name="_Ref201652377"/>
      <w:bookmarkStart w:id="146" w:name="_Toc201569389"/>
      <w:r>
        <w:rPr>
          <w:rFonts w:eastAsia="楷体_GB2312"/>
          <w:b/>
          <w:lang w:eastAsia="zh-CN"/>
        </w:rPr>
        <w:t>受托人代为发送权利完善通知</w:t>
      </w:r>
      <w:bookmarkEnd w:id="144"/>
      <w:bookmarkEnd w:id="145"/>
      <w:bookmarkEnd w:id="146"/>
    </w:p>
    <w:p w14:paraId="25BEC5D4">
      <w:pPr>
        <w:widowControl w:val="0"/>
        <w:spacing w:line="360" w:lineRule="auto"/>
        <w:ind w:left="2040"/>
        <w:jc w:val="both"/>
        <w:rPr>
          <w:rFonts w:eastAsia="楷体_GB2312"/>
          <w:bCs/>
          <w:lang w:eastAsia="zh-CN"/>
        </w:rPr>
      </w:pPr>
    </w:p>
    <w:p w14:paraId="22B822F8">
      <w:pPr>
        <w:widowControl w:val="0"/>
        <w:numPr>
          <w:ilvl w:val="2"/>
          <w:numId w:val="8"/>
        </w:numPr>
        <w:tabs>
          <w:tab w:val="left" w:pos="1620"/>
        </w:tabs>
        <w:spacing w:line="360" w:lineRule="auto"/>
        <w:ind w:left="1620" w:hanging="769"/>
        <w:jc w:val="both"/>
        <w:rPr>
          <w:rFonts w:eastAsia="楷体_GB2312"/>
          <w:bCs/>
          <w:lang w:eastAsia="zh-CN"/>
        </w:rPr>
      </w:pPr>
      <w:r>
        <w:rPr>
          <w:rFonts w:eastAsia="楷体_GB2312"/>
          <w:bCs/>
          <w:lang w:eastAsia="zh-CN"/>
        </w:rPr>
        <w:t>“委托人”应于“信托生效日”前向“受托人”出具不可撤销的“授权书”（格式见本合同</w:t>
      </w:r>
      <w:r>
        <w:rPr>
          <w:rFonts w:eastAsia="楷体_GB2312"/>
          <w:b/>
          <w:i/>
          <w:iCs/>
          <w:lang w:eastAsia="zh-CN"/>
        </w:rPr>
        <w:t>附件七</w:t>
      </w:r>
      <w:r>
        <w:rPr>
          <w:rFonts w:eastAsia="楷体_GB2312"/>
          <w:bCs/>
          <w:lang w:eastAsia="zh-CN"/>
        </w:rPr>
        <w:t>），授权“受托人”以“委托人”的名义，在发生“权利完善事件”且“委托人”不履行发送“权利完善通知”的义务时，代为发送“权利完善通知”。</w:t>
      </w:r>
    </w:p>
    <w:p w14:paraId="0D224C7A">
      <w:pPr>
        <w:spacing w:line="360" w:lineRule="auto"/>
        <w:ind w:left="1276"/>
        <w:jc w:val="both"/>
        <w:rPr>
          <w:rFonts w:eastAsia="楷体_GB2312"/>
          <w:lang w:eastAsia="zh-CN"/>
        </w:rPr>
      </w:pPr>
    </w:p>
    <w:p w14:paraId="77DCA9A0">
      <w:pPr>
        <w:widowControl w:val="0"/>
        <w:numPr>
          <w:ilvl w:val="2"/>
          <w:numId w:val="8"/>
        </w:numPr>
        <w:tabs>
          <w:tab w:val="left" w:pos="1620"/>
        </w:tabs>
        <w:spacing w:line="360" w:lineRule="auto"/>
        <w:ind w:left="1620" w:hanging="769"/>
        <w:jc w:val="both"/>
        <w:rPr>
          <w:rFonts w:eastAsia="楷体_GB2312"/>
          <w:bCs/>
          <w:lang w:eastAsia="zh-CN"/>
        </w:rPr>
      </w:pPr>
      <w:r>
        <w:rPr>
          <w:rFonts w:eastAsia="楷体_GB2312"/>
          <w:bCs/>
          <w:lang w:eastAsia="zh-CN"/>
        </w:rPr>
        <w:t>如果“委托人”在发生“权利完善事件”后未按照本合同第</w:t>
      </w:r>
      <w:r>
        <w:rPr>
          <w:rFonts w:eastAsia="楷体_GB2312"/>
          <w:bCs/>
          <w:lang w:eastAsia="zh-CN"/>
        </w:rPr>
        <w:fldChar w:fldCharType="begin"/>
      </w:r>
      <w:r>
        <w:rPr>
          <w:rFonts w:eastAsia="楷体_GB2312"/>
          <w:bCs/>
          <w:lang w:eastAsia="zh-CN"/>
        </w:rPr>
        <w:instrText xml:space="preserve"> REF _Ref332385414 \r \h  \* MERGEFORMAT </w:instrText>
      </w:r>
      <w:r>
        <w:rPr>
          <w:rFonts w:eastAsia="楷体_GB2312"/>
          <w:bCs/>
          <w:lang w:eastAsia="zh-CN"/>
        </w:rPr>
        <w:fldChar w:fldCharType="separate"/>
      </w:r>
      <w:r>
        <w:rPr>
          <w:rFonts w:eastAsia="楷体_GB2312"/>
          <w:bCs/>
          <w:lang w:eastAsia="zh-CN"/>
        </w:rPr>
        <w:t>6.1</w:t>
      </w:r>
      <w:r>
        <w:rPr>
          <w:rFonts w:eastAsia="楷体_GB2312"/>
          <w:bCs/>
          <w:lang w:eastAsia="zh-CN"/>
        </w:rPr>
        <w:fldChar w:fldCharType="end"/>
      </w:r>
      <w:r>
        <w:rPr>
          <w:rFonts w:eastAsia="楷体_GB2312"/>
          <w:bCs/>
          <w:lang w:eastAsia="zh-CN"/>
        </w:rPr>
        <w:t>款的约定发送“权利完善通知”，则“受托人”应在“委托人”按照本合同第</w:t>
      </w:r>
      <w:r>
        <w:rPr>
          <w:rFonts w:eastAsia="楷体_GB2312"/>
          <w:bCs/>
          <w:lang w:eastAsia="zh-CN"/>
        </w:rPr>
        <w:fldChar w:fldCharType="begin"/>
      </w:r>
      <w:r>
        <w:rPr>
          <w:rFonts w:eastAsia="楷体_GB2312"/>
          <w:bCs/>
          <w:lang w:eastAsia="zh-CN"/>
        </w:rPr>
        <w:instrText xml:space="preserve"> REF _Ref332385414 \r \h  \* MERGEFORMAT </w:instrText>
      </w:r>
      <w:r>
        <w:rPr>
          <w:rFonts w:eastAsia="楷体_GB2312"/>
          <w:bCs/>
          <w:lang w:eastAsia="zh-CN"/>
        </w:rPr>
        <w:fldChar w:fldCharType="separate"/>
      </w:r>
      <w:r>
        <w:rPr>
          <w:rFonts w:eastAsia="楷体_GB2312"/>
          <w:bCs/>
          <w:lang w:eastAsia="zh-CN"/>
        </w:rPr>
        <w:t>6.1</w:t>
      </w:r>
      <w:r>
        <w:rPr>
          <w:rFonts w:eastAsia="楷体_GB2312"/>
          <w:bCs/>
          <w:lang w:eastAsia="zh-CN"/>
        </w:rPr>
        <w:fldChar w:fldCharType="end"/>
      </w:r>
      <w:r>
        <w:rPr>
          <w:rFonts w:eastAsia="楷体_GB2312"/>
          <w:bCs/>
          <w:lang w:eastAsia="zh-CN"/>
        </w:rPr>
        <w:t>款的约定本应发送“权利完善通知”之日后的【】个“工作日”内，按照本款的约定，代表“委托人”向相应的“借款人”、</w:t>
      </w:r>
      <w:r>
        <w:rPr>
          <w:rFonts w:eastAsia="楷体_GB2312"/>
          <w:lang w:eastAsia="zh-CN"/>
        </w:rPr>
        <w:t>“抵押人”、</w:t>
      </w:r>
      <w:r>
        <w:rPr>
          <w:rFonts w:eastAsia="楷体_GB2312"/>
          <w:bCs/>
          <w:lang w:eastAsia="zh-CN"/>
        </w:rPr>
        <w:t>“共同借款人”（如有）及“保证人”（如有）、相关“个人汽车贷款”或“车辆”项下保单的“保险人”（如有）或被保险人送达“权利完善通知”，并抄送给“委托人”。</w:t>
      </w:r>
    </w:p>
    <w:p w14:paraId="67646000">
      <w:pPr>
        <w:pStyle w:val="71"/>
        <w:numPr>
          <w:ilvl w:val="0"/>
          <w:numId w:val="0"/>
        </w:numPr>
        <w:spacing w:line="360" w:lineRule="auto"/>
        <w:rPr>
          <w:rFonts w:cs="Times New Roman"/>
          <w:lang w:eastAsia="zh-CN"/>
        </w:rPr>
      </w:pPr>
    </w:p>
    <w:p w14:paraId="10C3CA07">
      <w:pPr>
        <w:widowControl w:val="0"/>
        <w:numPr>
          <w:ilvl w:val="1"/>
          <w:numId w:val="8"/>
        </w:numPr>
        <w:tabs>
          <w:tab w:val="left" w:pos="900"/>
        </w:tabs>
        <w:spacing w:line="360" w:lineRule="auto"/>
        <w:jc w:val="both"/>
        <w:outlineLvl w:val="1"/>
        <w:rPr>
          <w:rFonts w:eastAsia="楷体_GB2312"/>
          <w:b/>
          <w:lang w:eastAsia="zh-CN"/>
        </w:rPr>
      </w:pPr>
      <w:bookmarkStart w:id="147" w:name="_Toc201569390"/>
      <w:bookmarkStart w:id="148" w:name="_Ref333932958"/>
      <w:r>
        <w:rPr>
          <w:rFonts w:eastAsia="楷体_GB2312"/>
          <w:b/>
          <w:lang w:eastAsia="zh-CN"/>
        </w:rPr>
        <w:t>发送权利完善通知的费用</w:t>
      </w:r>
      <w:bookmarkEnd w:id="147"/>
      <w:bookmarkEnd w:id="148"/>
    </w:p>
    <w:p w14:paraId="422A22D8">
      <w:pPr>
        <w:spacing w:line="360" w:lineRule="auto"/>
        <w:ind w:left="1094" w:leftChars="456"/>
        <w:jc w:val="both"/>
        <w:rPr>
          <w:rFonts w:eastAsia="楷体_GB2312"/>
          <w:lang w:eastAsia="zh-CN"/>
        </w:rPr>
      </w:pPr>
    </w:p>
    <w:p w14:paraId="65878A10">
      <w:pPr>
        <w:spacing w:line="360" w:lineRule="auto"/>
        <w:ind w:left="991" w:leftChars="413"/>
        <w:jc w:val="both"/>
        <w:rPr>
          <w:rFonts w:eastAsia="楷体_GB2312"/>
          <w:lang w:eastAsia="zh-CN"/>
        </w:rPr>
      </w:pPr>
      <w:r>
        <w:rPr>
          <w:rFonts w:eastAsia="楷体_GB2312"/>
          <w:lang w:eastAsia="zh-CN"/>
        </w:rPr>
        <w:t>除本合同另有约定外，“委托人”、“贷款服务机构”、“后备贷款服务机构”（如有）和/或“受托机构”，为向“金融监管总局”、“人民银行”、其他“政府机构”、“借款人”、“抵押人”、</w:t>
      </w:r>
      <w:r>
        <w:rPr>
          <w:rFonts w:eastAsia="楷体_GB2312"/>
          <w:bCs/>
          <w:lang w:eastAsia="zh-CN"/>
        </w:rPr>
        <w:t>“共同借款人”（如有）、</w:t>
      </w:r>
      <w:r>
        <w:rPr>
          <w:rFonts w:eastAsia="楷体_GB2312"/>
          <w:lang w:eastAsia="zh-CN"/>
        </w:rPr>
        <w:t>“保险人”</w:t>
      </w:r>
      <w:r>
        <w:rPr>
          <w:rFonts w:eastAsia="楷体_GB2312"/>
          <w:bCs/>
          <w:lang w:eastAsia="zh-CN"/>
        </w:rPr>
        <w:t>（如有）</w:t>
      </w:r>
      <w:r>
        <w:rPr>
          <w:rFonts w:eastAsia="楷体_GB2312"/>
          <w:lang w:eastAsia="zh-CN"/>
        </w:rPr>
        <w:t>、被保险人（如有）或“保证人”</w:t>
      </w:r>
      <w:r>
        <w:rPr>
          <w:rFonts w:eastAsia="楷体_GB2312"/>
          <w:bCs/>
          <w:lang w:eastAsia="zh-CN"/>
        </w:rPr>
        <w:t>（如有）</w:t>
      </w:r>
      <w:r>
        <w:rPr>
          <w:rFonts w:eastAsia="楷体_GB2312"/>
          <w:lang w:eastAsia="zh-CN"/>
        </w:rPr>
        <w:t>发出本第</w:t>
      </w:r>
      <w:r>
        <w:rPr>
          <w:rFonts w:eastAsia="楷体_GB2312"/>
          <w:lang w:eastAsia="zh-CN"/>
        </w:rPr>
        <w:fldChar w:fldCharType="begin"/>
      </w:r>
      <w:r>
        <w:rPr>
          <w:rFonts w:eastAsia="楷体_GB2312"/>
          <w:lang w:eastAsia="zh-CN"/>
        </w:rPr>
        <w:instrText xml:space="preserve"> REF _Ref333752294 \r \h  \* MERGEFORMAT </w:instrText>
      </w:r>
      <w:r>
        <w:rPr>
          <w:rFonts w:eastAsia="楷体_GB2312"/>
          <w:lang w:eastAsia="zh-CN"/>
        </w:rPr>
        <w:fldChar w:fldCharType="separate"/>
      </w:r>
      <w:r>
        <w:rPr>
          <w:rFonts w:eastAsia="楷体_GB2312"/>
          <w:lang w:eastAsia="zh-CN"/>
        </w:rPr>
        <w:t>6</w:t>
      </w:r>
      <w:r>
        <w:rPr>
          <w:rFonts w:eastAsia="楷体_GB2312"/>
          <w:lang w:eastAsia="zh-CN"/>
        </w:rPr>
        <w:fldChar w:fldCharType="end"/>
      </w:r>
      <w:r>
        <w:rPr>
          <w:rFonts w:eastAsia="楷体_GB2312"/>
          <w:lang w:eastAsia="zh-CN"/>
        </w:rPr>
        <w:t>条或“《服务合同》”项下的任何通知、报告或办理相关登记所发生的一切合理的费用和支出（包括但不限于与之有关的所有的印花税和其他“税收”），应按如下约定承担：</w:t>
      </w:r>
    </w:p>
    <w:p w14:paraId="1BC88099">
      <w:pPr>
        <w:jc w:val="both"/>
        <w:rPr>
          <w:rFonts w:eastAsia="楷体_GB2312"/>
          <w:lang w:eastAsia="zh-CN"/>
        </w:rPr>
      </w:pPr>
    </w:p>
    <w:p w14:paraId="75FA3FED">
      <w:pPr>
        <w:widowControl w:val="0"/>
        <w:numPr>
          <w:ilvl w:val="2"/>
          <w:numId w:val="8"/>
        </w:numPr>
        <w:tabs>
          <w:tab w:val="left" w:pos="1620"/>
        </w:tabs>
        <w:spacing w:line="360" w:lineRule="auto"/>
        <w:ind w:left="1620" w:hanging="769"/>
        <w:jc w:val="both"/>
        <w:rPr>
          <w:rFonts w:eastAsia="楷体_GB2312"/>
          <w:bCs/>
          <w:lang w:eastAsia="zh-CN"/>
        </w:rPr>
      </w:pPr>
      <w:r>
        <w:rPr>
          <w:rFonts w:eastAsia="楷体_GB2312"/>
          <w:bCs/>
          <w:lang w:eastAsia="zh-CN"/>
        </w:rPr>
        <w:t>如产生于“信托生效日”</w:t>
      </w:r>
      <w:r>
        <w:rPr>
          <w:rFonts w:eastAsia="楷体_GB2312"/>
          <w:lang w:eastAsia="zh-CN"/>
        </w:rPr>
        <w:t>（适用于初始“基础资产”）</w:t>
      </w:r>
      <w:r>
        <w:rPr>
          <w:rFonts w:eastAsia="楷体_GB2312"/>
          <w:bCs/>
          <w:lang w:eastAsia="zh-CN"/>
        </w:rPr>
        <w:t>当日或之前，则应由“发起机构”承担，且“发起机构”应根据其与“贷款服务机构”、“后备贷款服务机构”</w:t>
      </w:r>
      <w:r>
        <w:rPr>
          <w:rFonts w:eastAsia="楷体_GB2312"/>
          <w:lang w:eastAsia="zh-CN"/>
        </w:rPr>
        <w:t>和/或“受托机构”（如适用）</w:t>
      </w:r>
      <w:r>
        <w:rPr>
          <w:rFonts w:eastAsia="楷体_GB2312"/>
          <w:bCs/>
          <w:lang w:eastAsia="zh-CN"/>
        </w:rPr>
        <w:t>的相关协议，支付和补偿上述机构所发生和承担的全部合理的费用和支出，并应在上述机构第一次要求付款时予以支付；或</w:t>
      </w:r>
    </w:p>
    <w:p w14:paraId="1C7358D7">
      <w:pPr>
        <w:widowControl w:val="0"/>
        <w:tabs>
          <w:tab w:val="left" w:pos="1571"/>
        </w:tabs>
        <w:spacing w:line="360" w:lineRule="auto"/>
        <w:ind w:left="1380" w:leftChars="575"/>
        <w:jc w:val="both"/>
        <w:rPr>
          <w:rFonts w:eastAsia="楷体_GB2312"/>
          <w:lang w:eastAsia="zh-CN"/>
        </w:rPr>
      </w:pPr>
    </w:p>
    <w:p w14:paraId="1023FFC2">
      <w:pPr>
        <w:widowControl w:val="0"/>
        <w:numPr>
          <w:ilvl w:val="2"/>
          <w:numId w:val="8"/>
        </w:numPr>
        <w:tabs>
          <w:tab w:val="left" w:pos="1620"/>
        </w:tabs>
        <w:spacing w:line="360" w:lineRule="auto"/>
        <w:ind w:left="1620" w:hanging="769"/>
        <w:jc w:val="both"/>
        <w:rPr>
          <w:rFonts w:eastAsia="楷体_GB2312"/>
          <w:bCs/>
          <w:lang w:eastAsia="zh-CN"/>
        </w:rPr>
      </w:pPr>
      <w:r>
        <w:rPr>
          <w:rFonts w:eastAsia="楷体_GB2312"/>
          <w:bCs/>
          <w:lang w:eastAsia="zh-CN"/>
        </w:rPr>
        <w:t>如该费用和支出产生于“信托生效日”</w:t>
      </w:r>
      <w:r>
        <w:rPr>
          <w:rFonts w:eastAsia="楷体_GB2312"/>
          <w:lang w:eastAsia="zh-CN"/>
        </w:rPr>
        <w:t>（适用于初始“基础资产”）</w:t>
      </w:r>
      <w:r>
        <w:rPr>
          <w:rFonts w:eastAsia="楷体_GB2312"/>
          <w:bCs/>
          <w:lang w:eastAsia="zh-CN"/>
        </w:rPr>
        <w:t>之后，则应按照本合同第</w:t>
      </w:r>
      <w:r>
        <w:rPr>
          <w:rFonts w:eastAsia="楷体_GB2312"/>
          <w:bCs/>
          <w:lang w:eastAsia="zh-CN"/>
        </w:rPr>
        <w:fldChar w:fldCharType="begin"/>
      </w:r>
      <w:r>
        <w:rPr>
          <w:rFonts w:eastAsia="楷体_GB2312"/>
          <w:bCs/>
          <w:lang w:eastAsia="zh-CN"/>
        </w:rPr>
        <w:instrText xml:space="preserve"> REF _Ref201563930 \r \h  \* MERGEFORMAT </w:instrText>
      </w:r>
      <w:r>
        <w:rPr>
          <w:rFonts w:eastAsia="楷体_GB2312"/>
          <w:bCs/>
          <w:lang w:eastAsia="zh-CN"/>
        </w:rPr>
        <w:fldChar w:fldCharType="separate"/>
      </w:r>
      <w:r>
        <w:rPr>
          <w:rFonts w:eastAsia="楷体_GB2312"/>
          <w:bCs/>
          <w:lang w:eastAsia="zh-CN"/>
        </w:rPr>
        <w:t>9</w:t>
      </w:r>
      <w:r>
        <w:rPr>
          <w:rFonts w:eastAsia="楷体_GB2312"/>
          <w:bCs/>
          <w:lang w:eastAsia="zh-CN"/>
        </w:rPr>
        <w:fldChar w:fldCharType="end"/>
      </w:r>
      <w:r>
        <w:rPr>
          <w:rFonts w:eastAsia="楷体_GB2312"/>
          <w:bCs/>
          <w:lang w:eastAsia="zh-CN"/>
        </w:rPr>
        <w:t>条的约定从“信托财产”中补偿或支付给“贷款服务机构”、“后备贷款服务机构”和/或“受托机构”（如适用）。</w:t>
      </w:r>
    </w:p>
    <w:p w14:paraId="50176C2C">
      <w:pPr>
        <w:pStyle w:val="40"/>
        <w:ind w:firstLine="482"/>
        <w:jc w:val="both"/>
        <w:rPr>
          <w:rFonts w:eastAsia="楷体_GB2312"/>
          <w:b/>
          <w:bCs/>
          <w:i/>
          <w:iCs/>
          <w:color w:val="FF0000"/>
          <w:lang w:eastAsia="zh-CN"/>
        </w:rPr>
      </w:pPr>
    </w:p>
    <w:p w14:paraId="2D9DC4C1">
      <w:pPr>
        <w:pStyle w:val="50"/>
        <w:spacing w:after="0" w:line="360" w:lineRule="auto"/>
        <w:ind w:left="1560" w:leftChars="650"/>
        <w:rPr>
          <w:rFonts w:eastAsia="楷体_GB2312"/>
          <w:b/>
          <w:bCs/>
          <w:i/>
          <w:iCs/>
          <w:color w:val="FF0000"/>
          <w:lang w:val="en-US" w:eastAsia="zh-CN"/>
        </w:rPr>
      </w:pPr>
      <w:r>
        <w:rPr>
          <w:rFonts w:eastAsia="楷体_GB2312"/>
          <w:b/>
          <w:bCs/>
          <w:i/>
          <w:iCs/>
          <w:color w:val="FF0000"/>
          <w:lang w:val="en-US" w:eastAsia="zh-CN"/>
        </w:rPr>
        <w:t>【注：发送权利完善通知的费用安排可根据具体项目情况调整。】</w:t>
      </w:r>
    </w:p>
    <w:p w14:paraId="1891E1C1">
      <w:pPr>
        <w:tabs>
          <w:tab w:val="left" w:pos="900"/>
        </w:tabs>
        <w:spacing w:line="360" w:lineRule="auto"/>
        <w:jc w:val="both"/>
        <w:rPr>
          <w:rFonts w:eastAsia="楷体_GB2312"/>
          <w:b/>
          <w:lang w:eastAsia="zh-CN"/>
        </w:rPr>
      </w:pPr>
    </w:p>
    <w:p w14:paraId="2F8E6116">
      <w:pPr>
        <w:widowControl w:val="0"/>
        <w:numPr>
          <w:ilvl w:val="1"/>
          <w:numId w:val="8"/>
        </w:numPr>
        <w:tabs>
          <w:tab w:val="left" w:pos="900"/>
        </w:tabs>
        <w:spacing w:line="360" w:lineRule="auto"/>
        <w:jc w:val="both"/>
        <w:outlineLvl w:val="1"/>
        <w:rPr>
          <w:rFonts w:eastAsia="楷体_GB2312"/>
          <w:b/>
          <w:lang w:eastAsia="zh-CN"/>
        </w:rPr>
      </w:pPr>
      <w:bookmarkStart w:id="149" w:name="_Toc201569391"/>
      <w:r>
        <w:rPr>
          <w:rFonts w:eastAsia="楷体_GB2312"/>
          <w:b/>
          <w:lang w:eastAsia="zh-CN"/>
        </w:rPr>
        <w:t>借款人/</w:t>
      </w:r>
      <w:r>
        <w:rPr>
          <w:rFonts w:eastAsia="楷体_GB2312"/>
          <w:b/>
          <w:bCs/>
          <w:lang w:eastAsia="zh-CN"/>
        </w:rPr>
        <w:t>共同借款人（如有）</w:t>
      </w:r>
      <w:r>
        <w:rPr>
          <w:rFonts w:eastAsia="楷体_GB2312"/>
          <w:b/>
          <w:lang w:eastAsia="zh-CN"/>
        </w:rPr>
        <w:t>抵销的处理</w:t>
      </w:r>
      <w:bookmarkEnd w:id="149"/>
    </w:p>
    <w:p w14:paraId="042F56C6">
      <w:pPr>
        <w:jc w:val="both"/>
        <w:rPr>
          <w:rFonts w:eastAsia="楷体_GB2312"/>
          <w:lang w:eastAsia="zh-CN"/>
        </w:rPr>
      </w:pPr>
    </w:p>
    <w:p w14:paraId="27208BE0">
      <w:pPr>
        <w:widowControl w:val="0"/>
        <w:numPr>
          <w:ilvl w:val="2"/>
          <w:numId w:val="8"/>
        </w:numPr>
        <w:tabs>
          <w:tab w:val="left" w:pos="1620"/>
        </w:tabs>
        <w:spacing w:line="360" w:lineRule="auto"/>
        <w:ind w:left="1620" w:hanging="769"/>
        <w:jc w:val="both"/>
        <w:rPr>
          <w:rFonts w:eastAsia="楷体_GB2312"/>
          <w:bCs/>
          <w:lang w:eastAsia="zh-CN"/>
        </w:rPr>
      </w:pPr>
      <w:r>
        <w:rPr>
          <w:rFonts w:eastAsia="楷体_GB2312"/>
          <w:bCs/>
          <w:lang w:eastAsia="zh-CN"/>
        </w:rPr>
        <w:t>如果“借款人”及“共同借款人”（如有）依据“中国”“法律”行使抵销权且被抵销债权属于“委托人”已交付设立“信托”的“信托财产”，则“委托人”应无时滞地将相当于被抵销款项的资金全额支付给“贷款服务机构”，作为“借款人”及“共同借款人”（如有）偿还的相应数额的还款，并同时通知“受托人”。</w:t>
      </w:r>
    </w:p>
    <w:p w14:paraId="26A2CEB8">
      <w:pPr>
        <w:tabs>
          <w:tab w:val="left" w:pos="1571"/>
        </w:tabs>
        <w:spacing w:line="360" w:lineRule="auto"/>
        <w:ind w:left="1381" w:leftChars="255" w:hanging="769"/>
        <w:jc w:val="both"/>
        <w:rPr>
          <w:rFonts w:eastAsia="楷体_GB2312"/>
          <w:lang w:val="en-GB" w:eastAsia="zh-CN"/>
        </w:rPr>
      </w:pPr>
    </w:p>
    <w:p w14:paraId="4EE1211D">
      <w:pPr>
        <w:widowControl w:val="0"/>
        <w:numPr>
          <w:ilvl w:val="2"/>
          <w:numId w:val="8"/>
        </w:numPr>
        <w:tabs>
          <w:tab w:val="left" w:pos="1620"/>
        </w:tabs>
        <w:spacing w:line="360" w:lineRule="auto"/>
        <w:ind w:left="1620" w:hanging="769"/>
        <w:jc w:val="both"/>
        <w:rPr>
          <w:rFonts w:eastAsia="楷体_GB2312"/>
          <w:bCs/>
          <w:lang w:eastAsia="zh-CN"/>
        </w:rPr>
      </w:pPr>
      <w:r>
        <w:rPr>
          <w:rFonts w:eastAsia="楷体_GB2312"/>
          <w:bCs/>
          <w:lang w:eastAsia="zh-CN"/>
        </w:rPr>
        <w:t>如果“委托人”对“借款人”/“共同借款人”（如有）有多笔债权，且“借款人”/“共同借款人”（如有）依据“中国”“法律”行使抵销权，则“委托人”、“受托人”应共同与“借款人”/“共同借款人”（如有）确认被抵销债权是否属于“信托财产”。如果被抵销债权属于“委托人”已交付设立“信托”</w:t>
      </w:r>
      <w:r>
        <w:rPr>
          <w:rFonts w:eastAsia="楷体_GB2312"/>
          <w:lang w:eastAsia="zh-CN"/>
        </w:rPr>
        <w:t>或已转让给“受托人”</w:t>
      </w:r>
      <w:r>
        <w:rPr>
          <w:rFonts w:eastAsia="楷体_GB2312"/>
          <w:bCs/>
          <w:lang w:eastAsia="zh-CN"/>
        </w:rPr>
        <w:t>的“信托财产”，则“委托人”应按照前款约定履行义务。</w:t>
      </w:r>
    </w:p>
    <w:p w14:paraId="2DC03F2F">
      <w:pPr>
        <w:jc w:val="both"/>
        <w:rPr>
          <w:rFonts w:eastAsia="楷体_GB2312"/>
          <w:lang w:eastAsia="zh-CN"/>
        </w:rPr>
      </w:pPr>
    </w:p>
    <w:p w14:paraId="4344CC42">
      <w:pPr>
        <w:widowControl w:val="0"/>
        <w:numPr>
          <w:ilvl w:val="0"/>
          <w:numId w:val="8"/>
        </w:numPr>
        <w:spacing w:line="360" w:lineRule="auto"/>
        <w:jc w:val="both"/>
        <w:outlineLvl w:val="0"/>
        <w:rPr>
          <w:rFonts w:eastAsia="楷体_GB2312"/>
          <w:b/>
          <w:lang w:eastAsia="zh-CN"/>
        </w:rPr>
      </w:pPr>
      <w:bookmarkStart w:id="150" w:name="_Toc148384189"/>
      <w:bookmarkEnd w:id="150"/>
      <w:bookmarkStart w:id="151" w:name="_DV_M419"/>
      <w:bookmarkEnd w:id="151"/>
      <w:bookmarkStart w:id="152" w:name="_DV_M409"/>
      <w:bookmarkEnd w:id="152"/>
      <w:bookmarkStart w:id="153" w:name="_Toc148384205"/>
      <w:bookmarkEnd w:id="153"/>
      <w:bookmarkStart w:id="154" w:name="_Toc146349244"/>
      <w:bookmarkEnd w:id="154"/>
      <w:bookmarkStart w:id="155" w:name="_DV_M423"/>
      <w:bookmarkEnd w:id="155"/>
      <w:bookmarkStart w:id="156" w:name="_DV_M431"/>
      <w:bookmarkEnd w:id="156"/>
      <w:bookmarkStart w:id="157" w:name="_Toc148440782"/>
      <w:bookmarkEnd w:id="157"/>
      <w:bookmarkStart w:id="158" w:name="_Toc148384198"/>
      <w:bookmarkEnd w:id="158"/>
      <w:bookmarkStart w:id="159" w:name="_DV_M413"/>
      <w:bookmarkEnd w:id="159"/>
      <w:bookmarkStart w:id="160" w:name="_Toc148440790"/>
      <w:bookmarkEnd w:id="160"/>
      <w:bookmarkStart w:id="161" w:name="_Toc148384200"/>
      <w:bookmarkEnd w:id="161"/>
      <w:bookmarkStart w:id="162" w:name="_Toc146989567"/>
      <w:bookmarkEnd w:id="162"/>
      <w:bookmarkStart w:id="163" w:name="_Toc148384197"/>
      <w:bookmarkEnd w:id="163"/>
      <w:bookmarkStart w:id="164" w:name="_DV_M455"/>
      <w:bookmarkEnd w:id="164"/>
      <w:bookmarkStart w:id="165" w:name="_DV_M452"/>
      <w:bookmarkEnd w:id="165"/>
      <w:bookmarkStart w:id="166" w:name="_Toc146989568"/>
      <w:bookmarkEnd w:id="166"/>
      <w:bookmarkStart w:id="167" w:name="_Toc148440784"/>
      <w:bookmarkEnd w:id="167"/>
      <w:bookmarkStart w:id="168" w:name="_DV_M411"/>
      <w:bookmarkEnd w:id="168"/>
      <w:bookmarkStart w:id="169" w:name="_Toc148384203"/>
      <w:bookmarkEnd w:id="169"/>
      <w:bookmarkStart w:id="170" w:name="_Toc148440786"/>
      <w:bookmarkEnd w:id="170"/>
      <w:bookmarkStart w:id="171" w:name="_DV_M420"/>
      <w:bookmarkEnd w:id="171"/>
      <w:bookmarkStart w:id="172" w:name="_DV_M437"/>
      <w:bookmarkEnd w:id="172"/>
      <w:bookmarkStart w:id="173" w:name="_DV_M450"/>
      <w:bookmarkEnd w:id="173"/>
      <w:bookmarkStart w:id="174" w:name="_DV_M449"/>
      <w:bookmarkEnd w:id="174"/>
      <w:bookmarkStart w:id="175" w:name="_DV_M436"/>
      <w:bookmarkEnd w:id="175"/>
      <w:bookmarkStart w:id="176" w:name="_DV_M427"/>
      <w:bookmarkEnd w:id="176"/>
      <w:bookmarkStart w:id="177" w:name="_DV_M429"/>
      <w:bookmarkEnd w:id="177"/>
      <w:bookmarkStart w:id="178" w:name="_DV_M404"/>
      <w:bookmarkEnd w:id="178"/>
      <w:bookmarkStart w:id="179" w:name="_DV_M425"/>
      <w:bookmarkEnd w:id="179"/>
      <w:bookmarkStart w:id="180" w:name="_Toc148384195"/>
      <w:bookmarkEnd w:id="180"/>
      <w:bookmarkStart w:id="181" w:name="_DV_M416"/>
      <w:bookmarkEnd w:id="181"/>
      <w:bookmarkStart w:id="182" w:name="_Toc148440795"/>
      <w:bookmarkEnd w:id="182"/>
      <w:bookmarkStart w:id="183" w:name="_DV_M414"/>
      <w:bookmarkEnd w:id="183"/>
      <w:bookmarkStart w:id="184" w:name="_DV_M432"/>
      <w:bookmarkEnd w:id="184"/>
      <w:bookmarkStart w:id="185" w:name="_DV_M417"/>
      <w:bookmarkEnd w:id="185"/>
      <w:bookmarkStart w:id="186" w:name="_DV_M405"/>
      <w:bookmarkEnd w:id="186"/>
      <w:bookmarkStart w:id="187" w:name="_Toc146989572"/>
      <w:bookmarkEnd w:id="187"/>
      <w:bookmarkStart w:id="188" w:name="_Toc148440777"/>
      <w:bookmarkEnd w:id="188"/>
      <w:bookmarkStart w:id="189" w:name="_Toc148440785"/>
      <w:bookmarkEnd w:id="189"/>
      <w:bookmarkStart w:id="190" w:name="_Toc148440792"/>
      <w:bookmarkEnd w:id="190"/>
      <w:bookmarkStart w:id="191" w:name="_Toc148384196"/>
      <w:bookmarkEnd w:id="191"/>
      <w:bookmarkStart w:id="192" w:name="_DV_M454"/>
      <w:bookmarkEnd w:id="192"/>
      <w:bookmarkStart w:id="193" w:name="_DV_M410"/>
      <w:bookmarkEnd w:id="193"/>
      <w:bookmarkStart w:id="194" w:name="_DV_M415"/>
      <w:bookmarkEnd w:id="194"/>
      <w:bookmarkStart w:id="195" w:name="_Toc148384204"/>
      <w:bookmarkEnd w:id="195"/>
      <w:bookmarkStart w:id="196" w:name="_DV_M407"/>
      <w:bookmarkEnd w:id="196"/>
      <w:bookmarkStart w:id="197" w:name="_Toc148384191"/>
      <w:bookmarkEnd w:id="197"/>
      <w:bookmarkStart w:id="198" w:name="_Toc148384192"/>
      <w:bookmarkEnd w:id="198"/>
      <w:bookmarkStart w:id="199" w:name="_DV_M418"/>
      <w:bookmarkEnd w:id="199"/>
      <w:bookmarkStart w:id="200" w:name="_Toc148440779"/>
      <w:bookmarkEnd w:id="200"/>
      <w:bookmarkStart w:id="201" w:name="_DV_M424"/>
      <w:bookmarkEnd w:id="201"/>
      <w:bookmarkStart w:id="202" w:name="_Toc148440791"/>
      <w:bookmarkEnd w:id="202"/>
      <w:bookmarkStart w:id="203" w:name="_Toc148440793"/>
      <w:bookmarkEnd w:id="203"/>
      <w:bookmarkStart w:id="204" w:name="_Toc148384202"/>
      <w:bookmarkEnd w:id="204"/>
      <w:bookmarkStart w:id="205" w:name="_Toc148384194"/>
      <w:bookmarkEnd w:id="205"/>
      <w:bookmarkStart w:id="206" w:name="_DV_M412"/>
      <w:bookmarkEnd w:id="206"/>
      <w:bookmarkStart w:id="207" w:name="_DV_M406"/>
      <w:bookmarkEnd w:id="207"/>
      <w:bookmarkStart w:id="208" w:name="_DV_M408"/>
      <w:bookmarkEnd w:id="208"/>
      <w:bookmarkStart w:id="209" w:name="_Toc148440780"/>
      <w:bookmarkEnd w:id="209"/>
      <w:bookmarkStart w:id="210" w:name="_DV_M428"/>
      <w:bookmarkEnd w:id="210"/>
      <w:bookmarkStart w:id="211" w:name="_Toc148384190"/>
      <w:bookmarkEnd w:id="211"/>
      <w:bookmarkStart w:id="212" w:name="_DV_M430"/>
      <w:bookmarkEnd w:id="212"/>
      <w:bookmarkStart w:id="213" w:name="_DV_M451"/>
      <w:bookmarkEnd w:id="213"/>
      <w:bookmarkStart w:id="214" w:name="_DV_M426"/>
      <w:bookmarkEnd w:id="214"/>
      <w:bookmarkStart w:id="215" w:name="_DV_M422"/>
      <w:bookmarkEnd w:id="215"/>
      <w:bookmarkStart w:id="216" w:name="_Toc148440781"/>
      <w:bookmarkEnd w:id="216"/>
      <w:bookmarkStart w:id="217" w:name="_DV_M453"/>
      <w:bookmarkEnd w:id="217"/>
      <w:bookmarkStart w:id="218" w:name="_Toc148440783"/>
      <w:bookmarkEnd w:id="218"/>
      <w:bookmarkStart w:id="219" w:name="_Toc148384187"/>
      <w:bookmarkEnd w:id="219"/>
      <w:bookmarkStart w:id="220" w:name="_Toc148384201"/>
      <w:bookmarkEnd w:id="220"/>
      <w:bookmarkStart w:id="221" w:name="_Toc148440787"/>
      <w:bookmarkEnd w:id="221"/>
      <w:bookmarkStart w:id="222" w:name="_DV_M421"/>
      <w:bookmarkEnd w:id="222"/>
      <w:bookmarkStart w:id="223" w:name="_Toc148440794"/>
      <w:bookmarkEnd w:id="223"/>
      <w:bookmarkStart w:id="224" w:name="_Toc148440788"/>
      <w:bookmarkEnd w:id="224"/>
      <w:bookmarkStart w:id="225" w:name="_Toc146349245"/>
      <w:bookmarkEnd w:id="225"/>
      <w:bookmarkStart w:id="226" w:name="_Toc148384193"/>
      <w:bookmarkEnd w:id="226"/>
      <w:bookmarkStart w:id="227" w:name="_Toc110153436"/>
      <w:bookmarkStart w:id="228" w:name="_Toc111281786"/>
      <w:bookmarkStart w:id="229" w:name="_Toc201569405"/>
      <w:bookmarkStart w:id="230" w:name="_Toc69138584"/>
      <w:bookmarkStart w:id="231" w:name="_Toc75510466"/>
      <w:bookmarkStart w:id="232" w:name="_Toc166105867"/>
      <w:bookmarkStart w:id="233" w:name="_Toc454484854"/>
      <w:bookmarkStart w:id="234" w:name="_Toc227955281"/>
      <w:bookmarkStart w:id="235" w:name="_Toc207007303"/>
      <w:r>
        <w:rPr>
          <w:rFonts w:eastAsia="楷体_GB2312"/>
          <w:b/>
          <w:lang w:eastAsia="zh-CN"/>
        </w:rPr>
        <w:t>信</w:t>
      </w:r>
      <w:bookmarkStart w:id="236" w:name="_Toc92612923"/>
      <w:r>
        <w:rPr>
          <w:rFonts w:eastAsia="楷体_GB2312"/>
          <w:b/>
          <w:lang w:eastAsia="zh-CN"/>
        </w:rPr>
        <w:t>托受益权</w:t>
      </w:r>
      <w:bookmarkEnd w:id="227"/>
      <w:bookmarkEnd w:id="228"/>
      <w:r>
        <w:rPr>
          <w:rFonts w:eastAsia="楷体_GB2312"/>
          <w:b/>
          <w:lang w:eastAsia="zh-CN"/>
        </w:rPr>
        <w:t>和资产支持证券</w:t>
      </w:r>
      <w:bookmarkEnd w:id="229"/>
      <w:bookmarkEnd w:id="230"/>
      <w:bookmarkEnd w:id="231"/>
      <w:bookmarkEnd w:id="232"/>
      <w:bookmarkEnd w:id="233"/>
      <w:bookmarkEnd w:id="234"/>
      <w:bookmarkEnd w:id="235"/>
    </w:p>
    <w:bookmarkEnd w:id="236"/>
    <w:p w14:paraId="415CE62E">
      <w:pPr>
        <w:spacing w:line="360" w:lineRule="auto"/>
        <w:jc w:val="both"/>
        <w:rPr>
          <w:rFonts w:eastAsia="楷体_GB2312"/>
          <w:b/>
          <w:lang w:eastAsia="zh-CN"/>
        </w:rPr>
      </w:pPr>
    </w:p>
    <w:p w14:paraId="23F74343">
      <w:pPr>
        <w:widowControl w:val="0"/>
        <w:numPr>
          <w:ilvl w:val="1"/>
          <w:numId w:val="8"/>
        </w:numPr>
        <w:tabs>
          <w:tab w:val="left" w:pos="900"/>
        </w:tabs>
        <w:spacing w:line="360" w:lineRule="auto"/>
        <w:jc w:val="both"/>
        <w:outlineLvl w:val="1"/>
        <w:rPr>
          <w:rFonts w:eastAsia="楷体_GB2312"/>
          <w:b/>
        </w:rPr>
      </w:pPr>
      <w:bookmarkStart w:id="237" w:name="_Toc201569406"/>
      <w:bookmarkStart w:id="238" w:name="_Toc111281787"/>
      <w:r>
        <w:rPr>
          <w:rFonts w:eastAsia="楷体_GB2312"/>
          <w:b/>
        </w:rPr>
        <w:t>信托受益权</w:t>
      </w:r>
      <w:bookmarkEnd w:id="237"/>
      <w:bookmarkEnd w:id="238"/>
      <w:r>
        <w:rPr>
          <w:rFonts w:eastAsia="楷体_GB2312"/>
          <w:b/>
          <w:lang w:eastAsia="zh-CN"/>
        </w:rPr>
        <w:t>的类别</w:t>
      </w:r>
    </w:p>
    <w:p w14:paraId="5FDC1EEE">
      <w:pPr>
        <w:spacing w:line="360" w:lineRule="auto"/>
        <w:jc w:val="both"/>
        <w:rPr>
          <w:rFonts w:eastAsia="楷体_GB2312"/>
          <w:b/>
          <w:bCs/>
        </w:rPr>
      </w:pPr>
    </w:p>
    <w:p w14:paraId="1A9B7624">
      <w:pPr>
        <w:tabs>
          <w:tab w:val="left" w:pos="2160"/>
        </w:tabs>
        <w:spacing w:line="360" w:lineRule="auto"/>
        <w:ind w:left="900"/>
        <w:jc w:val="both"/>
        <w:rPr>
          <w:rFonts w:eastAsia="楷体_GB2312"/>
          <w:w w:val="0"/>
          <w:lang w:eastAsia="zh-CN"/>
        </w:rPr>
      </w:pPr>
      <w:bookmarkStart w:id="239" w:name="_DV_C377"/>
      <w:r>
        <w:rPr>
          <w:rStyle w:val="70"/>
          <w:rFonts w:eastAsia="楷体_GB2312"/>
          <w:color w:val="auto"/>
          <w:w w:val="0"/>
          <w:u w:val="none"/>
          <w:lang w:eastAsia="zh-CN"/>
        </w:rPr>
        <w:t>本合同项下“信托受益权”分为“优先级信托受益权”、“次级信托受益权”。</w:t>
      </w:r>
      <w:bookmarkEnd w:id="239"/>
      <w:r>
        <w:rPr>
          <w:rFonts w:eastAsia="楷体_GB2312"/>
          <w:lang w:eastAsia="zh-CN"/>
        </w:rPr>
        <w:t>其中，“优先级信托受益权”由“优先级资产支持证券”表示，“次级信托受益权”由“次级资产支持证券”表示。除本合同约定的以外，“信托”不产生任何其他受益权。</w:t>
      </w:r>
    </w:p>
    <w:p w14:paraId="59100936">
      <w:pPr>
        <w:tabs>
          <w:tab w:val="left" w:pos="2160"/>
        </w:tabs>
        <w:spacing w:line="360" w:lineRule="auto"/>
        <w:ind w:left="1080"/>
        <w:jc w:val="both"/>
        <w:rPr>
          <w:rFonts w:eastAsia="楷体_GB2312"/>
          <w:lang w:eastAsia="zh-CN"/>
        </w:rPr>
      </w:pPr>
    </w:p>
    <w:p w14:paraId="573E370E">
      <w:pPr>
        <w:widowControl w:val="0"/>
        <w:numPr>
          <w:ilvl w:val="1"/>
          <w:numId w:val="8"/>
        </w:numPr>
        <w:tabs>
          <w:tab w:val="left" w:pos="900"/>
        </w:tabs>
        <w:spacing w:line="360" w:lineRule="auto"/>
        <w:jc w:val="both"/>
        <w:outlineLvl w:val="1"/>
        <w:rPr>
          <w:rFonts w:eastAsia="楷体_GB2312"/>
          <w:b/>
        </w:rPr>
      </w:pPr>
      <w:bookmarkStart w:id="240" w:name="_Toc111281788"/>
      <w:bookmarkStart w:id="241" w:name="_Toc201569407"/>
      <w:r>
        <w:rPr>
          <w:rFonts w:eastAsia="楷体_GB2312"/>
          <w:b/>
        </w:rPr>
        <w:t>资产支持证券</w:t>
      </w:r>
      <w:bookmarkEnd w:id="240"/>
      <w:bookmarkEnd w:id="241"/>
      <w:r>
        <w:rPr>
          <w:rFonts w:eastAsia="楷体_GB2312"/>
          <w:b/>
          <w:lang w:eastAsia="zh-CN"/>
        </w:rPr>
        <w:t>的类别</w:t>
      </w:r>
    </w:p>
    <w:p w14:paraId="08D2F725">
      <w:pPr>
        <w:tabs>
          <w:tab w:val="left" w:pos="1800"/>
        </w:tabs>
        <w:spacing w:line="360" w:lineRule="auto"/>
        <w:jc w:val="both"/>
        <w:rPr>
          <w:rFonts w:eastAsia="楷体_GB2312"/>
        </w:rPr>
      </w:pPr>
    </w:p>
    <w:p w14:paraId="205FFEDD">
      <w:pPr>
        <w:widowControl w:val="0"/>
        <w:numPr>
          <w:ilvl w:val="2"/>
          <w:numId w:val="8"/>
        </w:numPr>
        <w:tabs>
          <w:tab w:val="left" w:pos="1620"/>
        </w:tabs>
        <w:spacing w:line="360" w:lineRule="auto"/>
        <w:ind w:left="1620" w:hanging="769"/>
        <w:jc w:val="both"/>
        <w:rPr>
          <w:rFonts w:eastAsia="楷体_GB2312"/>
          <w:lang w:eastAsia="zh-CN"/>
        </w:rPr>
      </w:pPr>
      <w:bookmarkStart w:id="242" w:name="_DV_C379"/>
      <w:r>
        <w:rPr>
          <w:rFonts w:eastAsia="楷体_GB2312"/>
          <w:lang w:eastAsia="zh-CN"/>
        </w:rPr>
        <w:t>本“信托”项下的“资产支持证券”分为“优先级资产支持证券”和“次级资产支持证券”</w:t>
      </w:r>
      <w:bookmarkEnd w:id="242"/>
      <w:r>
        <w:rPr>
          <w:rFonts w:eastAsia="楷体_GB2312"/>
          <w:lang w:eastAsia="zh-CN"/>
        </w:rPr>
        <w:t>，相应代表本“信托”项下的“优先级信托受益权”和“次级信托受益权”。“优先级资产支持证券”包括“优先A1级资产支持证券”和“优先A2级资产支持证券”。</w:t>
      </w:r>
    </w:p>
    <w:p w14:paraId="1DC13583">
      <w:pPr>
        <w:tabs>
          <w:tab w:val="left" w:pos="2160"/>
        </w:tabs>
        <w:spacing w:line="360" w:lineRule="auto"/>
        <w:ind w:left="840" w:leftChars="350"/>
        <w:jc w:val="both"/>
        <w:rPr>
          <w:rFonts w:eastAsia="楷体_GB2312"/>
          <w:lang w:eastAsia="zh-CN"/>
        </w:rPr>
      </w:pPr>
    </w:p>
    <w:p w14:paraId="182E922C">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在“资产支持证券”发行之日，全部“资产支持证券”的发行总量（面值）为【】元，各级“资产支持证券”的总面值、本息支付及其他基本特征详见本合同第</w:t>
      </w:r>
      <w:r>
        <w:rPr>
          <w:rFonts w:eastAsia="楷体_GB2312"/>
        </w:rPr>
        <w:fldChar w:fldCharType="begin"/>
      </w:r>
      <w:r>
        <w:rPr>
          <w:rFonts w:eastAsia="楷体_GB2312"/>
          <w:lang w:eastAsia="zh-CN"/>
        </w:rPr>
        <w:instrText xml:space="preserve"> REF _Ref333491027 \r \h  \* MERGEFORMAT </w:instrText>
      </w:r>
      <w:r>
        <w:rPr>
          <w:rFonts w:eastAsia="楷体_GB2312"/>
        </w:rPr>
        <w:fldChar w:fldCharType="separate"/>
      </w:r>
      <w:r>
        <w:rPr>
          <w:rFonts w:eastAsia="楷体_GB2312"/>
          <w:lang w:eastAsia="zh-CN"/>
        </w:rPr>
        <w:t>7.4</w:t>
      </w:r>
      <w:r>
        <w:rPr>
          <w:rFonts w:eastAsia="楷体_GB2312"/>
        </w:rPr>
        <w:fldChar w:fldCharType="end"/>
      </w:r>
      <w:r>
        <w:rPr>
          <w:rFonts w:eastAsia="楷体_GB2312"/>
          <w:lang w:eastAsia="zh-CN"/>
        </w:rPr>
        <w:t>款至</w:t>
      </w:r>
      <w:r>
        <w:rPr>
          <w:rFonts w:eastAsia="楷体_GB2312"/>
        </w:rPr>
        <w:fldChar w:fldCharType="begin"/>
      </w:r>
      <w:r>
        <w:rPr>
          <w:rFonts w:eastAsia="楷体_GB2312"/>
          <w:lang w:eastAsia="zh-CN"/>
        </w:rPr>
        <w:instrText xml:space="preserve"> REF _Ref332390896 \r \h  \* MERGEFORMAT </w:instrText>
      </w:r>
      <w:r>
        <w:rPr>
          <w:rFonts w:eastAsia="楷体_GB2312"/>
        </w:rPr>
        <w:fldChar w:fldCharType="separate"/>
      </w:r>
      <w:r>
        <w:rPr>
          <w:rFonts w:eastAsia="楷体_GB2312"/>
          <w:lang w:eastAsia="zh-CN"/>
        </w:rPr>
        <w:t>7.6</w:t>
      </w:r>
      <w:r>
        <w:rPr>
          <w:rFonts w:eastAsia="楷体_GB2312"/>
        </w:rPr>
        <w:fldChar w:fldCharType="end"/>
      </w:r>
      <w:r>
        <w:rPr>
          <w:rFonts w:eastAsia="楷体_GB2312"/>
          <w:lang w:eastAsia="zh-CN"/>
        </w:rPr>
        <w:t>款的约定。</w:t>
      </w:r>
    </w:p>
    <w:p w14:paraId="4DAA6292">
      <w:pPr>
        <w:pStyle w:val="40"/>
        <w:spacing w:line="360" w:lineRule="auto"/>
        <w:ind w:left="1680" w:leftChars="700" w:firstLine="0" w:firstLineChars="0"/>
        <w:jc w:val="both"/>
        <w:rPr>
          <w:rFonts w:eastAsia="楷体_GB2312"/>
          <w:i/>
          <w:iCs/>
          <w:lang w:eastAsia="zh-CN"/>
        </w:rPr>
      </w:pPr>
      <w:r>
        <w:rPr>
          <w:rFonts w:eastAsia="楷体_GB2312"/>
          <w:b/>
          <w:bCs/>
          <w:i/>
          <w:iCs/>
          <w:color w:val="FF0000"/>
        </w:rPr>
        <w:t>【注：关于信托受益权、资产支持证券的实际种类，可根据项目实际情况进行调整。】</w:t>
      </w:r>
    </w:p>
    <w:p w14:paraId="1C946AE9">
      <w:pPr>
        <w:pStyle w:val="40"/>
        <w:ind w:firstLine="480"/>
        <w:jc w:val="both"/>
        <w:rPr>
          <w:rFonts w:eastAsia="楷体_GB2312"/>
          <w:lang w:eastAsia="zh-CN"/>
        </w:rPr>
      </w:pPr>
      <w:bookmarkStart w:id="243" w:name="_DV_M260"/>
      <w:bookmarkEnd w:id="243"/>
      <w:bookmarkStart w:id="244" w:name="_DV_M254"/>
      <w:bookmarkEnd w:id="244"/>
      <w:bookmarkStart w:id="245" w:name="_DV_M262"/>
      <w:bookmarkEnd w:id="245"/>
      <w:bookmarkStart w:id="246" w:name="_DV_M261"/>
      <w:bookmarkEnd w:id="246"/>
      <w:bookmarkStart w:id="247" w:name="_DV_M253"/>
      <w:bookmarkEnd w:id="247"/>
      <w:bookmarkStart w:id="248" w:name="_DV_M251"/>
      <w:bookmarkEnd w:id="248"/>
      <w:bookmarkStart w:id="249" w:name="_DV_M258"/>
      <w:bookmarkEnd w:id="249"/>
      <w:bookmarkStart w:id="250" w:name="_DV_M247"/>
      <w:bookmarkEnd w:id="250"/>
      <w:bookmarkStart w:id="251" w:name="_DV_M259"/>
      <w:bookmarkEnd w:id="251"/>
      <w:bookmarkStart w:id="252" w:name="_DV_M250"/>
      <w:bookmarkEnd w:id="252"/>
      <w:bookmarkStart w:id="253" w:name="_DV_M252"/>
      <w:bookmarkEnd w:id="253"/>
      <w:bookmarkStart w:id="254" w:name="_DV_M257"/>
      <w:bookmarkEnd w:id="254"/>
      <w:bookmarkStart w:id="255" w:name="_Toc201569409"/>
      <w:bookmarkStart w:id="256" w:name="_Ref201565513"/>
    </w:p>
    <w:p w14:paraId="04D62764">
      <w:pPr>
        <w:widowControl w:val="0"/>
        <w:numPr>
          <w:ilvl w:val="1"/>
          <w:numId w:val="8"/>
        </w:numPr>
        <w:tabs>
          <w:tab w:val="left" w:pos="900"/>
        </w:tabs>
        <w:spacing w:line="360" w:lineRule="auto"/>
        <w:jc w:val="both"/>
        <w:outlineLvl w:val="1"/>
        <w:rPr>
          <w:rFonts w:eastAsia="楷体_GB2312"/>
          <w:b/>
          <w:lang w:eastAsia="zh-CN"/>
        </w:rPr>
      </w:pPr>
      <w:r>
        <w:rPr>
          <w:rFonts w:eastAsia="楷体_GB2312"/>
          <w:b/>
          <w:lang w:eastAsia="zh-CN"/>
        </w:rPr>
        <w:t>资产支持证券持有人名单</w:t>
      </w:r>
    </w:p>
    <w:p w14:paraId="26B1EA64">
      <w:pPr>
        <w:spacing w:line="360" w:lineRule="auto"/>
        <w:jc w:val="both"/>
        <w:rPr>
          <w:rFonts w:eastAsia="楷体_GB2312"/>
          <w:b/>
          <w:lang w:eastAsia="zh-CN"/>
        </w:rPr>
      </w:pPr>
    </w:p>
    <w:p w14:paraId="1279C79C">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在“支付日”前【】个“工作日”，由“登记托管机构”登记于“资产支持证券</w:t>
      </w:r>
      <w:r>
        <w:rPr>
          <w:rFonts w:eastAsia="楷体_GB2312"/>
          <w:bCs/>
          <w:lang w:eastAsia="zh-CN"/>
        </w:rPr>
        <w:t>持有</w:t>
      </w:r>
      <w:r>
        <w:rPr>
          <w:rFonts w:eastAsia="楷体_GB2312"/>
          <w:lang w:eastAsia="zh-CN"/>
        </w:rPr>
        <w:t>人”名单上的“资产支持证券持有人”为享有当期本息的“资产支持证券持有人”，有权于该“支付日”取得“资产支持证券”在当期的本金和利息。</w:t>
      </w:r>
    </w:p>
    <w:p w14:paraId="64EB77DF">
      <w:pPr>
        <w:jc w:val="both"/>
        <w:rPr>
          <w:rFonts w:eastAsia="楷体_GB2312"/>
          <w:lang w:eastAsia="zh-CN"/>
        </w:rPr>
      </w:pPr>
    </w:p>
    <w:p w14:paraId="38629BCD">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“受托人”应妥善保管“支付代理机构”向“受托人”出具的</w:t>
      </w:r>
      <w:r>
        <w:rPr>
          <w:rFonts w:eastAsia="楷体_GB2312"/>
          <w:bCs/>
          <w:lang w:eastAsia="zh-CN"/>
        </w:rPr>
        <w:t>《资产支持证券兑付、付息手续完成确认书》</w:t>
      </w:r>
      <w:r>
        <w:rPr>
          <w:rFonts w:eastAsia="楷体_GB2312"/>
          <w:lang w:eastAsia="zh-CN"/>
        </w:rPr>
        <w:t>（如有）。</w:t>
      </w:r>
    </w:p>
    <w:p w14:paraId="39FFCFA1">
      <w:pPr>
        <w:tabs>
          <w:tab w:val="left" w:pos="2160"/>
        </w:tabs>
        <w:spacing w:line="360" w:lineRule="auto"/>
        <w:ind w:left="1080"/>
        <w:jc w:val="both"/>
        <w:rPr>
          <w:rFonts w:eastAsia="楷体_GB2312"/>
          <w:lang w:eastAsia="zh-CN"/>
        </w:rPr>
      </w:pPr>
    </w:p>
    <w:p w14:paraId="25CD2A42">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“资产支持证券持有人”在“登记托管机构”登记的信息发生变化时，该“资产支持证券持有人”应通知“受托人”和“登记托管机构”，由</w:t>
      </w:r>
      <w:r>
        <w:rPr>
          <w:rFonts w:eastAsia="楷体_GB2312"/>
          <w:bCs/>
          <w:lang w:eastAsia="zh-CN"/>
        </w:rPr>
        <w:t>“受托人”</w:t>
      </w:r>
      <w:r>
        <w:rPr>
          <w:rFonts w:eastAsia="楷体_GB2312"/>
          <w:lang w:eastAsia="zh-CN"/>
        </w:rPr>
        <w:t>和“登记托管机构”进行审核后作出相应的变更登记。如果“资产支持证券持有人”上述相关情况发生变化后未及时通知“受托人”及“登记托管机构”，则“资产支持证券持有人”承担因此造成的风险，“受托人”和“登记托管机构”不承担责任。</w:t>
      </w:r>
    </w:p>
    <w:p w14:paraId="4ADAE67D">
      <w:pPr>
        <w:jc w:val="both"/>
        <w:rPr>
          <w:rFonts w:eastAsia="楷体_GB2312"/>
          <w:b/>
          <w:lang w:eastAsia="zh-CN"/>
        </w:rPr>
      </w:pPr>
      <w:bookmarkStart w:id="257" w:name="_DV_M248"/>
      <w:bookmarkEnd w:id="257"/>
    </w:p>
    <w:p w14:paraId="4AC9324F">
      <w:pPr>
        <w:widowControl w:val="0"/>
        <w:numPr>
          <w:ilvl w:val="1"/>
          <w:numId w:val="8"/>
        </w:numPr>
        <w:tabs>
          <w:tab w:val="left" w:pos="900"/>
        </w:tabs>
        <w:spacing w:line="360" w:lineRule="auto"/>
        <w:jc w:val="both"/>
        <w:outlineLvl w:val="1"/>
        <w:rPr>
          <w:rFonts w:eastAsia="楷体_GB2312"/>
          <w:b/>
          <w:lang w:eastAsia="zh-CN"/>
        </w:rPr>
      </w:pPr>
      <w:bookmarkStart w:id="258" w:name="_Ref333491027"/>
      <w:r>
        <w:rPr>
          <w:rFonts w:eastAsia="楷体_GB2312"/>
          <w:b/>
          <w:lang w:eastAsia="zh-CN"/>
        </w:rPr>
        <w:t>优先A1级资产支持证券的基本特征</w:t>
      </w:r>
      <w:bookmarkEnd w:id="255"/>
      <w:bookmarkEnd w:id="256"/>
      <w:bookmarkEnd w:id="258"/>
    </w:p>
    <w:p w14:paraId="239BE5EE">
      <w:pPr>
        <w:spacing w:line="360" w:lineRule="auto"/>
        <w:jc w:val="both"/>
        <w:rPr>
          <w:rFonts w:eastAsia="楷体_GB2312"/>
          <w:b/>
          <w:lang w:eastAsia="zh-CN"/>
        </w:rPr>
      </w:pPr>
    </w:p>
    <w:p w14:paraId="2ED09E26">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“优先A1级资产支持证券”发行总量与比例：</w:t>
      </w:r>
      <w:r>
        <w:rPr>
          <w:rFonts w:eastAsia="楷体_GB2312"/>
          <w:lang w:eastAsia="zh-CN"/>
        </w:rPr>
        <w:t>在“资产支持证券”发行之日，</w:t>
      </w:r>
      <w:r>
        <w:rPr>
          <w:rFonts w:eastAsia="楷体_GB2312"/>
          <w:bCs/>
          <w:lang w:eastAsia="zh-CN"/>
        </w:rPr>
        <w:t>“</w:t>
      </w:r>
      <w:r>
        <w:rPr>
          <w:rFonts w:eastAsia="楷体_GB2312"/>
          <w:lang w:eastAsia="zh-CN"/>
        </w:rPr>
        <w:t>优先A1级资产支持证券”的发行总量（面值）为【】元</w:t>
      </w:r>
      <w:r>
        <w:rPr>
          <w:rFonts w:eastAsia="楷体_GB2312"/>
          <w:bCs/>
          <w:lang w:eastAsia="zh-CN"/>
        </w:rPr>
        <w:t>“人民币”</w:t>
      </w:r>
      <w:r>
        <w:rPr>
          <w:rFonts w:eastAsia="楷体_GB2312"/>
          <w:lang w:eastAsia="zh-CN"/>
        </w:rPr>
        <w:t>，占“资产支持证券”发行总量（面值）的【】%。</w:t>
      </w:r>
    </w:p>
    <w:p w14:paraId="144FE49C">
      <w:pPr>
        <w:tabs>
          <w:tab w:val="left" w:pos="2160"/>
        </w:tabs>
        <w:spacing w:line="360" w:lineRule="auto"/>
        <w:ind w:left="1080"/>
        <w:jc w:val="both"/>
        <w:rPr>
          <w:rFonts w:eastAsia="楷体_GB2312"/>
          <w:lang w:eastAsia="zh-CN"/>
        </w:rPr>
      </w:pPr>
    </w:p>
    <w:p w14:paraId="5801EF1D">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面值：</w:t>
      </w:r>
      <w:r>
        <w:rPr>
          <w:rFonts w:eastAsia="楷体_GB2312"/>
          <w:lang w:eastAsia="zh-CN"/>
        </w:rPr>
        <w:t>每张</w:t>
      </w:r>
      <w:r>
        <w:rPr>
          <w:rFonts w:eastAsia="楷体_GB2312"/>
          <w:bCs/>
          <w:lang w:eastAsia="zh-CN"/>
        </w:rPr>
        <w:t>“优先级</w:t>
      </w:r>
      <w:r>
        <w:rPr>
          <w:rFonts w:eastAsia="楷体_GB2312"/>
          <w:lang w:eastAsia="zh-CN"/>
        </w:rPr>
        <w:t>资产支持证券”的面值为“人民币”100元。</w:t>
      </w:r>
    </w:p>
    <w:p w14:paraId="5D3F1F73">
      <w:pPr>
        <w:tabs>
          <w:tab w:val="left" w:pos="2160"/>
        </w:tabs>
        <w:spacing w:line="360" w:lineRule="auto"/>
        <w:ind w:left="1080"/>
        <w:jc w:val="both"/>
        <w:rPr>
          <w:rFonts w:eastAsia="楷体_GB2312"/>
          <w:lang w:eastAsia="zh-CN"/>
        </w:rPr>
      </w:pPr>
    </w:p>
    <w:p w14:paraId="59A6588A">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发行价格：</w:t>
      </w:r>
      <w:r>
        <w:rPr>
          <w:rFonts w:eastAsia="楷体_GB2312"/>
          <w:lang w:eastAsia="zh-CN"/>
        </w:rPr>
        <w:t>按面值发行。</w:t>
      </w:r>
    </w:p>
    <w:p w14:paraId="5D9F9733">
      <w:pPr>
        <w:pStyle w:val="40"/>
        <w:spacing w:line="360" w:lineRule="auto"/>
        <w:ind w:firstLine="480"/>
        <w:jc w:val="both"/>
        <w:rPr>
          <w:rFonts w:eastAsia="楷体_GB2312"/>
          <w:lang w:eastAsia="zh-CN"/>
        </w:rPr>
      </w:pPr>
    </w:p>
    <w:p w14:paraId="4E785D0A">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票面利率：</w:t>
      </w:r>
      <w:r>
        <w:rPr>
          <w:rFonts w:eastAsia="楷体_GB2312"/>
          <w:bCs/>
          <w:lang w:eastAsia="zh-CN"/>
        </w:rPr>
        <w:t>“票面利率”</w:t>
      </w:r>
      <w:r>
        <w:rPr>
          <w:rFonts w:eastAsia="楷体_GB2312"/>
          <w:lang w:eastAsia="zh-CN"/>
        </w:rPr>
        <w:t>为固定利率，就“优先A1级资产支持证券”而言，系指通过</w:t>
      </w:r>
      <w:bookmarkStart w:id="259" w:name="OLE_LINK6"/>
      <w:r>
        <w:rPr>
          <w:rFonts w:eastAsia="楷体_GB2312"/>
          <w:lang w:eastAsia="zh-CN"/>
        </w:rPr>
        <w:t>簿记建档集中配售</w:t>
      </w:r>
      <w:bookmarkEnd w:id="259"/>
      <w:r>
        <w:rPr>
          <w:rFonts w:eastAsia="楷体_GB2312"/>
          <w:lang w:eastAsia="zh-CN"/>
        </w:rPr>
        <w:t>的方式予以确定，并在《发行结果公告》中反映的“优先级资产支持证券”的票面利率。</w:t>
      </w:r>
      <w:r>
        <w:rPr>
          <w:rFonts w:eastAsia="楷体_GB2312"/>
          <w:b/>
          <w:bCs/>
          <w:i/>
          <w:iCs/>
          <w:color w:val="FF0000"/>
          <w:lang w:eastAsia="zh-CN"/>
        </w:rPr>
        <w:t>【注：票面利率类别需根据每期产品的实际情况进行更新】</w:t>
      </w:r>
    </w:p>
    <w:p w14:paraId="7A96167B">
      <w:pPr>
        <w:tabs>
          <w:tab w:val="left" w:pos="2160"/>
        </w:tabs>
        <w:spacing w:line="360" w:lineRule="auto"/>
        <w:jc w:val="both"/>
        <w:rPr>
          <w:rFonts w:eastAsia="楷体_GB2312"/>
          <w:color w:val="FF0000"/>
          <w:lang w:eastAsia="zh-CN"/>
        </w:rPr>
      </w:pPr>
    </w:p>
    <w:p w14:paraId="6AE96252">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期限：</w:t>
      </w:r>
      <w:r>
        <w:rPr>
          <w:rFonts w:eastAsia="楷体_GB2312"/>
          <w:lang w:eastAsia="zh-CN"/>
        </w:rPr>
        <w:t>自“信托生效日”（含该日）起至“法定到期日”（不含该日）止。“法定到期日”并不是</w:t>
      </w:r>
      <w:r>
        <w:rPr>
          <w:rFonts w:eastAsia="楷体_GB2312"/>
          <w:bCs/>
          <w:lang w:eastAsia="zh-CN"/>
        </w:rPr>
        <w:t>“</w:t>
      </w:r>
      <w:r>
        <w:rPr>
          <w:rFonts w:eastAsia="楷体_GB2312"/>
          <w:lang w:eastAsia="zh-CN"/>
        </w:rPr>
        <w:t>优先A1级资产支持证券”的实际到期日，“优先A1级资产支持证券”的本金将可能于“法定到期日”前清偿完毕。</w:t>
      </w:r>
    </w:p>
    <w:p w14:paraId="166DC486">
      <w:pPr>
        <w:widowControl w:val="0"/>
        <w:tabs>
          <w:tab w:val="left" w:pos="1571"/>
        </w:tabs>
        <w:spacing w:line="360" w:lineRule="auto"/>
        <w:jc w:val="both"/>
        <w:rPr>
          <w:rFonts w:eastAsia="楷体_GB2312"/>
          <w:b/>
          <w:lang w:eastAsia="zh-CN"/>
        </w:rPr>
      </w:pPr>
    </w:p>
    <w:p w14:paraId="0C190F57">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法定到期日：</w:t>
      </w:r>
      <w:r>
        <w:rPr>
          <w:rFonts w:eastAsia="楷体_GB2312"/>
          <w:bCs/>
          <w:lang w:eastAsia="zh-CN"/>
        </w:rPr>
        <w:t>【】</w:t>
      </w:r>
      <w:r>
        <w:rPr>
          <w:rFonts w:eastAsia="楷体_GB2312"/>
          <w:lang w:eastAsia="zh-CN"/>
        </w:rPr>
        <w:t>年【】月【】日。</w:t>
      </w:r>
    </w:p>
    <w:p w14:paraId="386E3B19">
      <w:pPr>
        <w:tabs>
          <w:tab w:val="left" w:pos="2160"/>
        </w:tabs>
        <w:spacing w:line="360" w:lineRule="auto"/>
        <w:jc w:val="both"/>
        <w:rPr>
          <w:rFonts w:eastAsia="楷体_GB2312"/>
          <w:lang w:eastAsia="zh-CN"/>
        </w:rPr>
      </w:pPr>
    </w:p>
    <w:p w14:paraId="77DDF449">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计息期间：</w:t>
      </w:r>
      <w:r>
        <w:rPr>
          <w:rFonts w:eastAsia="楷体_GB2312"/>
          <w:lang w:eastAsia="zh-CN"/>
        </w:rPr>
        <w:t>系指自一个“计息日”（含该日）至下一个“计息日”（不含该日）之间的期间。其中，第一个“计息期间”自“信托生效日”（含该日）开始并于第一个“计息日”（不含该日）结束。</w:t>
      </w:r>
    </w:p>
    <w:p w14:paraId="18F19C4B">
      <w:pPr>
        <w:tabs>
          <w:tab w:val="left" w:pos="2160"/>
        </w:tabs>
        <w:spacing w:line="360" w:lineRule="auto"/>
        <w:jc w:val="both"/>
        <w:rPr>
          <w:rFonts w:eastAsia="楷体_GB2312"/>
          <w:lang w:eastAsia="zh-CN"/>
        </w:rPr>
      </w:pPr>
    </w:p>
    <w:p w14:paraId="0805A1D2">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计息方式：</w:t>
      </w:r>
      <w:r>
        <w:rPr>
          <w:rFonts w:eastAsia="楷体_GB2312"/>
          <w:lang w:eastAsia="zh-CN"/>
        </w:rPr>
        <w:t>在每一个“支付日”应支付的“优先A1级资产支持证券”利息=“优先A1级资产支持证券”在该“支付日”本金兑付前的“未偿本金余额”（就第一个“支付日”而言系指“优先A1级资产支持证券”的面值）×票面利率×相应“计息期间”的实际天数÷365天（闰年亦相同）；尾数计算到分，分以下四舍五入；单利计息。</w:t>
      </w:r>
    </w:p>
    <w:p w14:paraId="5B1DAE15">
      <w:pPr>
        <w:tabs>
          <w:tab w:val="left" w:pos="2160"/>
        </w:tabs>
        <w:spacing w:line="360" w:lineRule="auto"/>
        <w:ind w:left="1080"/>
        <w:jc w:val="both"/>
        <w:rPr>
          <w:rFonts w:eastAsia="楷体_GB2312"/>
          <w:lang w:eastAsia="zh-CN"/>
        </w:rPr>
      </w:pPr>
    </w:p>
    <w:p w14:paraId="1CAC4FB2">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付息方式：</w:t>
      </w:r>
      <w:r>
        <w:rPr>
          <w:rFonts w:eastAsia="楷体_GB2312"/>
          <w:lang w:eastAsia="zh-CN"/>
        </w:rPr>
        <w:t>在每一个“支付日”，“受托人”根据本合同第</w:t>
      </w:r>
      <w:r>
        <w:rPr>
          <w:rFonts w:eastAsia="楷体_GB2312"/>
        </w:rPr>
        <w:fldChar w:fldCharType="begin"/>
      </w:r>
      <w:r>
        <w:rPr>
          <w:rFonts w:eastAsia="楷体_GB2312"/>
          <w:lang w:eastAsia="zh-CN"/>
        </w:rPr>
        <w:instrText xml:space="preserve"> REF _Ref201563930 \r \h  \* MERGEFORMAT </w:instrText>
      </w:r>
      <w:r>
        <w:rPr>
          <w:rFonts w:eastAsia="楷体_GB2312"/>
        </w:rPr>
        <w:fldChar w:fldCharType="separate"/>
      </w:r>
      <w:r>
        <w:rPr>
          <w:rFonts w:eastAsia="楷体_GB2312"/>
          <w:lang w:eastAsia="zh-CN"/>
        </w:rPr>
        <w:t>9</w:t>
      </w:r>
      <w:r>
        <w:rPr>
          <w:rFonts w:eastAsia="楷体_GB2312"/>
        </w:rPr>
        <w:fldChar w:fldCharType="end"/>
      </w:r>
      <w:r>
        <w:rPr>
          <w:rFonts w:eastAsia="楷体_GB2312"/>
          <w:lang w:eastAsia="zh-CN"/>
        </w:rPr>
        <w:t>条的约定向“优先A1级资产支持证券持有人”支付利息。</w:t>
      </w:r>
    </w:p>
    <w:p w14:paraId="197A2101">
      <w:pPr>
        <w:tabs>
          <w:tab w:val="left" w:pos="2160"/>
        </w:tabs>
        <w:spacing w:line="360" w:lineRule="auto"/>
        <w:ind w:left="1080"/>
        <w:jc w:val="both"/>
        <w:rPr>
          <w:rFonts w:eastAsia="楷体_GB2312"/>
          <w:lang w:eastAsia="zh-CN"/>
        </w:rPr>
      </w:pPr>
    </w:p>
    <w:p w14:paraId="7D50E5D2">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还本方式：</w:t>
      </w:r>
      <w:r>
        <w:rPr>
          <w:rFonts w:eastAsia="楷体_GB2312"/>
          <w:lang w:eastAsia="zh-CN"/>
        </w:rPr>
        <w:t>在每一个“支付日”，“受托人”根据本合同第</w:t>
      </w:r>
      <w:r>
        <w:rPr>
          <w:rFonts w:eastAsia="楷体_GB2312"/>
        </w:rPr>
        <w:fldChar w:fldCharType="begin"/>
      </w:r>
      <w:r>
        <w:rPr>
          <w:rFonts w:eastAsia="楷体_GB2312"/>
          <w:lang w:eastAsia="zh-CN"/>
        </w:rPr>
        <w:instrText xml:space="preserve"> REF _Ref201563930 \r \h  \* MERGEFORMAT </w:instrText>
      </w:r>
      <w:r>
        <w:rPr>
          <w:rFonts w:eastAsia="楷体_GB2312"/>
        </w:rPr>
        <w:fldChar w:fldCharType="separate"/>
      </w:r>
      <w:r>
        <w:rPr>
          <w:rFonts w:eastAsia="楷体_GB2312"/>
          <w:lang w:eastAsia="zh-CN"/>
        </w:rPr>
        <w:t>9</w:t>
      </w:r>
      <w:r>
        <w:rPr>
          <w:rFonts w:eastAsia="楷体_GB2312"/>
        </w:rPr>
        <w:fldChar w:fldCharType="end"/>
      </w:r>
      <w:r>
        <w:rPr>
          <w:rFonts w:eastAsia="楷体_GB2312"/>
          <w:lang w:eastAsia="zh-CN"/>
        </w:rPr>
        <w:t>条约定的支付顺序向“优先A1级资产支持证券持有人”偿还本金。</w:t>
      </w:r>
    </w:p>
    <w:p w14:paraId="238DADEA">
      <w:pPr>
        <w:tabs>
          <w:tab w:val="left" w:pos="2160"/>
        </w:tabs>
        <w:spacing w:line="360" w:lineRule="auto"/>
        <w:ind w:left="1080"/>
        <w:jc w:val="both"/>
        <w:rPr>
          <w:rFonts w:eastAsia="楷体_GB2312"/>
          <w:lang w:eastAsia="zh-CN"/>
        </w:rPr>
      </w:pPr>
    </w:p>
    <w:p w14:paraId="0D55B0F8">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信用级别：</w:t>
      </w:r>
      <w:r>
        <w:rPr>
          <w:rFonts w:eastAsia="楷体_GB2312"/>
          <w:lang w:eastAsia="zh-CN"/>
        </w:rPr>
        <w:t>在“资产支持证券”发行之日，“【评级机构1简称】”给予“优先A1级资产支持证券”的信用级别为【】级，“【评级机构2简称】”给予“优先A1级资产支持证券”的信用级别为【】级。</w:t>
      </w:r>
    </w:p>
    <w:p w14:paraId="2B72CE18">
      <w:pPr>
        <w:widowControl w:val="0"/>
        <w:tabs>
          <w:tab w:val="left" w:pos="425"/>
          <w:tab w:val="left" w:pos="1997"/>
        </w:tabs>
        <w:spacing w:line="360" w:lineRule="auto"/>
        <w:ind w:left="1844"/>
        <w:jc w:val="both"/>
        <w:rPr>
          <w:rFonts w:eastAsia="楷体_GB2312"/>
          <w:lang w:eastAsia="zh-CN"/>
        </w:rPr>
      </w:pPr>
    </w:p>
    <w:p w14:paraId="6E594ACE">
      <w:pPr>
        <w:widowControl w:val="0"/>
        <w:numPr>
          <w:ilvl w:val="1"/>
          <w:numId w:val="8"/>
        </w:numPr>
        <w:tabs>
          <w:tab w:val="left" w:pos="900"/>
        </w:tabs>
        <w:spacing w:line="360" w:lineRule="auto"/>
        <w:jc w:val="both"/>
        <w:outlineLvl w:val="1"/>
        <w:rPr>
          <w:rFonts w:eastAsia="楷体_GB2312"/>
          <w:b/>
          <w:lang w:eastAsia="zh-CN"/>
        </w:rPr>
      </w:pPr>
      <w:r>
        <w:rPr>
          <w:rFonts w:eastAsia="楷体_GB2312"/>
          <w:b/>
          <w:lang w:eastAsia="zh-CN"/>
        </w:rPr>
        <w:t>优先A2级资产支持证券的基本特征</w:t>
      </w:r>
    </w:p>
    <w:p w14:paraId="7297A3BD">
      <w:pPr>
        <w:spacing w:line="360" w:lineRule="auto"/>
        <w:jc w:val="both"/>
        <w:rPr>
          <w:rFonts w:eastAsia="楷体_GB2312"/>
          <w:b/>
          <w:lang w:eastAsia="zh-CN"/>
        </w:rPr>
      </w:pPr>
    </w:p>
    <w:p w14:paraId="3E7180DF">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“优先A2级资产支持证券”发行总量与比例：</w:t>
      </w:r>
      <w:r>
        <w:rPr>
          <w:rFonts w:eastAsia="楷体_GB2312"/>
          <w:lang w:eastAsia="zh-CN"/>
        </w:rPr>
        <w:t>在“资产支持证券”发行之日，</w:t>
      </w:r>
      <w:r>
        <w:rPr>
          <w:rFonts w:eastAsia="楷体_GB2312"/>
          <w:bCs/>
          <w:lang w:eastAsia="zh-CN"/>
        </w:rPr>
        <w:t>“</w:t>
      </w:r>
      <w:r>
        <w:rPr>
          <w:rFonts w:eastAsia="楷体_GB2312"/>
          <w:lang w:eastAsia="zh-CN"/>
        </w:rPr>
        <w:t>优先A2级资产支持证券”的发行总量（面值）为【】元“人民币”，占“资产支持证券”发行总量（面值）的【】%。</w:t>
      </w:r>
    </w:p>
    <w:p w14:paraId="2369C48E">
      <w:pPr>
        <w:tabs>
          <w:tab w:val="left" w:pos="2160"/>
        </w:tabs>
        <w:spacing w:line="360" w:lineRule="auto"/>
        <w:ind w:left="1080"/>
        <w:jc w:val="both"/>
        <w:rPr>
          <w:rFonts w:eastAsia="楷体_GB2312"/>
          <w:lang w:eastAsia="zh-CN"/>
        </w:rPr>
      </w:pPr>
    </w:p>
    <w:p w14:paraId="2BA63163">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面值：</w:t>
      </w:r>
      <w:r>
        <w:rPr>
          <w:rFonts w:eastAsia="楷体_GB2312"/>
          <w:lang w:eastAsia="zh-CN"/>
        </w:rPr>
        <w:t>每张</w:t>
      </w:r>
      <w:r>
        <w:rPr>
          <w:rFonts w:eastAsia="楷体_GB2312"/>
          <w:bCs/>
          <w:lang w:eastAsia="zh-CN"/>
        </w:rPr>
        <w:t>“</w:t>
      </w:r>
      <w:r>
        <w:rPr>
          <w:rFonts w:eastAsia="楷体_GB2312"/>
          <w:lang w:eastAsia="zh-CN"/>
        </w:rPr>
        <w:t>优先级资产支持证券”的面值为“人民币”100元。</w:t>
      </w:r>
    </w:p>
    <w:p w14:paraId="21C1667A">
      <w:pPr>
        <w:tabs>
          <w:tab w:val="left" w:pos="2160"/>
        </w:tabs>
        <w:spacing w:line="360" w:lineRule="auto"/>
        <w:ind w:left="1080"/>
        <w:jc w:val="both"/>
        <w:rPr>
          <w:rFonts w:eastAsia="楷体_GB2312"/>
          <w:lang w:eastAsia="zh-CN"/>
        </w:rPr>
      </w:pPr>
    </w:p>
    <w:p w14:paraId="1385230D">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发行价格：</w:t>
      </w:r>
      <w:r>
        <w:rPr>
          <w:rFonts w:eastAsia="楷体_GB2312"/>
          <w:lang w:eastAsia="zh-CN"/>
        </w:rPr>
        <w:t>按面值发行。</w:t>
      </w:r>
    </w:p>
    <w:p w14:paraId="759E5D32">
      <w:pPr>
        <w:pStyle w:val="40"/>
        <w:spacing w:line="360" w:lineRule="auto"/>
        <w:ind w:firstLine="480"/>
        <w:jc w:val="both"/>
        <w:rPr>
          <w:rFonts w:eastAsia="楷体_GB2312"/>
          <w:lang w:eastAsia="zh-CN"/>
        </w:rPr>
      </w:pPr>
    </w:p>
    <w:p w14:paraId="576A3F33">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票面利率：</w:t>
      </w:r>
      <w:r>
        <w:rPr>
          <w:rFonts w:eastAsia="楷体_GB2312"/>
          <w:lang w:eastAsia="zh-CN"/>
        </w:rPr>
        <w:t>“票面利率”为固定利率，就“优先A2级资产支持证券”而言，系指通过簿记建档集中配售的方式予以确定，并在《发行结果公告》中反映的“优先级资产支持证券”的票面利率。</w:t>
      </w:r>
      <w:r>
        <w:rPr>
          <w:rFonts w:eastAsia="楷体_GB2312"/>
          <w:b/>
          <w:bCs/>
          <w:i/>
          <w:iCs/>
          <w:color w:val="FF0000"/>
          <w:lang w:eastAsia="zh-CN"/>
        </w:rPr>
        <w:t>【注：票面利率类别需根据每期产品的实际情况进行更新】</w:t>
      </w:r>
    </w:p>
    <w:p w14:paraId="22076112">
      <w:pPr>
        <w:tabs>
          <w:tab w:val="left" w:pos="2160"/>
        </w:tabs>
        <w:spacing w:line="360" w:lineRule="auto"/>
        <w:jc w:val="both"/>
        <w:rPr>
          <w:rFonts w:eastAsia="楷体_GB2312"/>
          <w:color w:val="FF0000"/>
          <w:lang w:eastAsia="zh-CN"/>
        </w:rPr>
      </w:pPr>
    </w:p>
    <w:p w14:paraId="1023A557">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期限：</w:t>
      </w:r>
      <w:r>
        <w:rPr>
          <w:rFonts w:eastAsia="楷体_GB2312"/>
          <w:lang w:eastAsia="zh-CN"/>
        </w:rPr>
        <w:t>自“信托生效日”（含该日）起至“法定到期日”（不含该日）止。“法定到期日”并不是</w:t>
      </w:r>
      <w:r>
        <w:rPr>
          <w:rFonts w:eastAsia="楷体_GB2312"/>
          <w:bCs/>
          <w:lang w:eastAsia="zh-CN"/>
        </w:rPr>
        <w:t>“</w:t>
      </w:r>
      <w:r>
        <w:rPr>
          <w:rFonts w:eastAsia="楷体_GB2312"/>
          <w:lang w:eastAsia="zh-CN"/>
        </w:rPr>
        <w:t>优先A2级资产支持证券”的实际到期日，“优先A2级资产支持证券”的本金将可能于“法定到期日”前清偿完毕。</w:t>
      </w:r>
    </w:p>
    <w:p w14:paraId="428ABE1E">
      <w:pPr>
        <w:widowControl w:val="0"/>
        <w:tabs>
          <w:tab w:val="left" w:pos="1571"/>
        </w:tabs>
        <w:spacing w:line="360" w:lineRule="auto"/>
        <w:jc w:val="both"/>
        <w:rPr>
          <w:rFonts w:eastAsia="楷体_GB2312"/>
          <w:b/>
          <w:lang w:eastAsia="zh-CN"/>
        </w:rPr>
      </w:pPr>
    </w:p>
    <w:p w14:paraId="5FAC51A0">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法定到期日：</w:t>
      </w:r>
      <w:r>
        <w:rPr>
          <w:rFonts w:eastAsia="楷体_GB2312"/>
          <w:lang w:eastAsia="zh-CN"/>
        </w:rPr>
        <w:t>【】年【】月【】日。</w:t>
      </w:r>
    </w:p>
    <w:p w14:paraId="70C440F6">
      <w:pPr>
        <w:tabs>
          <w:tab w:val="left" w:pos="2160"/>
        </w:tabs>
        <w:spacing w:line="360" w:lineRule="auto"/>
        <w:jc w:val="both"/>
        <w:rPr>
          <w:rFonts w:eastAsia="楷体_GB2312"/>
          <w:lang w:eastAsia="zh-CN"/>
        </w:rPr>
      </w:pPr>
    </w:p>
    <w:p w14:paraId="33FD1567">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计息期间：</w:t>
      </w:r>
      <w:r>
        <w:rPr>
          <w:rFonts w:eastAsia="楷体_GB2312"/>
          <w:lang w:eastAsia="zh-CN"/>
        </w:rPr>
        <w:t>系指自一个“计息日”（含该日）至下一个“计息日”（不含该日）之间的期间。其中，第一个“计息期间”自“信托生效日”（含该日）开始并于第一个“计息日”（不含该日）结束。</w:t>
      </w:r>
    </w:p>
    <w:p w14:paraId="0F2AE9F6">
      <w:pPr>
        <w:tabs>
          <w:tab w:val="left" w:pos="2160"/>
        </w:tabs>
        <w:spacing w:line="360" w:lineRule="auto"/>
        <w:jc w:val="both"/>
        <w:rPr>
          <w:rFonts w:eastAsia="楷体_GB2312"/>
          <w:lang w:eastAsia="zh-CN"/>
        </w:rPr>
      </w:pPr>
    </w:p>
    <w:p w14:paraId="7C5E382A">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计息方式：</w:t>
      </w:r>
      <w:r>
        <w:rPr>
          <w:rFonts w:eastAsia="楷体_GB2312"/>
          <w:lang w:eastAsia="zh-CN"/>
        </w:rPr>
        <w:t>在每一个“支付日”应支付的“优先A2级资产支持证券”利息=“优先A2级资产支持证券”在该“支付日”本金兑付前的“未偿本金余额”（就第一个“支付日”而言系指“优先A2级资产支持证券”的面值）×票面利率×相应“计息期间”的实际天数÷365天（闰年亦相同）；尾数计算到分，分以下四舍五入；单利计息。</w:t>
      </w:r>
    </w:p>
    <w:p w14:paraId="459D8D22">
      <w:pPr>
        <w:tabs>
          <w:tab w:val="left" w:pos="2160"/>
        </w:tabs>
        <w:spacing w:line="360" w:lineRule="auto"/>
        <w:ind w:left="1080"/>
        <w:jc w:val="both"/>
        <w:rPr>
          <w:rFonts w:eastAsia="楷体_GB2312"/>
          <w:lang w:eastAsia="zh-CN"/>
        </w:rPr>
      </w:pPr>
    </w:p>
    <w:p w14:paraId="483C1E27">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付息方式：</w:t>
      </w:r>
      <w:r>
        <w:rPr>
          <w:rFonts w:eastAsia="楷体_GB2312"/>
          <w:lang w:eastAsia="zh-CN"/>
        </w:rPr>
        <w:t>在每一个“支付日”，“受托人”根据本合同第</w:t>
      </w:r>
      <w:r>
        <w:rPr>
          <w:rFonts w:eastAsia="楷体_GB2312"/>
        </w:rPr>
        <w:fldChar w:fldCharType="begin"/>
      </w:r>
      <w:r>
        <w:rPr>
          <w:rFonts w:eastAsia="楷体_GB2312"/>
          <w:lang w:eastAsia="zh-CN"/>
        </w:rPr>
        <w:instrText xml:space="preserve"> REF _Ref201563930 \r \h  \* MERGEFORMAT </w:instrText>
      </w:r>
      <w:r>
        <w:rPr>
          <w:rFonts w:eastAsia="楷体_GB2312"/>
        </w:rPr>
        <w:fldChar w:fldCharType="separate"/>
      </w:r>
      <w:r>
        <w:rPr>
          <w:rFonts w:eastAsia="楷体_GB2312"/>
          <w:lang w:eastAsia="zh-CN"/>
        </w:rPr>
        <w:t>9</w:t>
      </w:r>
      <w:r>
        <w:rPr>
          <w:rFonts w:eastAsia="楷体_GB2312"/>
        </w:rPr>
        <w:fldChar w:fldCharType="end"/>
      </w:r>
      <w:r>
        <w:rPr>
          <w:rFonts w:eastAsia="楷体_GB2312"/>
          <w:lang w:eastAsia="zh-CN"/>
        </w:rPr>
        <w:t>条的约定向“优先A2级资产支持证券持有人”支付利息。</w:t>
      </w:r>
    </w:p>
    <w:p w14:paraId="455D9EFA">
      <w:pPr>
        <w:tabs>
          <w:tab w:val="left" w:pos="2160"/>
        </w:tabs>
        <w:spacing w:line="360" w:lineRule="auto"/>
        <w:ind w:left="1080"/>
        <w:jc w:val="both"/>
        <w:rPr>
          <w:rFonts w:eastAsia="楷体_GB2312"/>
          <w:lang w:eastAsia="zh-CN"/>
        </w:rPr>
      </w:pPr>
    </w:p>
    <w:p w14:paraId="33A8AA5F">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还本方式：</w:t>
      </w:r>
      <w:r>
        <w:rPr>
          <w:rFonts w:eastAsia="楷体_GB2312"/>
          <w:lang w:eastAsia="zh-CN"/>
        </w:rPr>
        <w:t>在每一个“支付日”，“受托人”根据本合同第</w:t>
      </w:r>
      <w:r>
        <w:rPr>
          <w:rFonts w:eastAsia="楷体_GB2312"/>
        </w:rPr>
        <w:fldChar w:fldCharType="begin"/>
      </w:r>
      <w:r>
        <w:rPr>
          <w:rFonts w:eastAsia="楷体_GB2312"/>
          <w:lang w:eastAsia="zh-CN"/>
        </w:rPr>
        <w:instrText xml:space="preserve"> REF _Ref201563930 \r \h  \* MERGEFORMAT </w:instrText>
      </w:r>
      <w:r>
        <w:rPr>
          <w:rFonts w:eastAsia="楷体_GB2312"/>
        </w:rPr>
        <w:fldChar w:fldCharType="separate"/>
      </w:r>
      <w:r>
        <w:rPr>
          <w:rFonts w:eastAsia="楷体_GB2312"/>
          <w:lang w:eastAsia="zh-CN"/>
        </w:rPr>
        <w:t>9</w:t>
      </w:r>
      <w:r>
        <w:rPr>
          <w:rFonts w:eastAsia="楷体_GB2312"/>
        </w:rPr>
        <w:fldChar w:fldCharType="end"/>
      </w:r>
      <w:r>
        <w:rPr>
          <w:rFonts w:eastAsia="楷体_GB2312"/>
          <w:lang w:eastAsia="zh-CN"/>
        </w:rPr>
        <w:t>条约定的支付顺序向“优先A2级资产支持证券持有人”偿还本金。</w:t>
      </w:r>
    </w:p>
    <w:p w14:paraId="689CD846">
      <w:pPr>
        <w:tabs>
          <w:tab w:val="left" w:pos="2160"/>
        </w:tabs>
        <w:spacing w:line="360" w:lineRule="auto"/>
        <w:ind w:left="1080"/>
        <w:jc w:val="both"/>
        <w:rPr>
          <w:rFonts w:eastAsia="楷体_GB2312"/>
          <w:lang w:eastAsia="zh-CN"/>
        </w:rPr>
      </w:pPr>
    </w:p>
    <w:p w14:paraId="6421E67F">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信用级别：</w:t>
      </w:r>
      <w:r>
        <w:rPr>
          <w:rFonts w:eastAsia="楷体_GB2312"/>
          <w:bCs/>
          <w:lang w:eastAsia="zh-CN"/>
        </w:rPr>
        <w:t>在“资产支持证券”发行之日，“【评级机构1简称】”给予“优先A2级资产支持证券”的信用级别为【】级，“【评级机构2简称】”给予“优先A2级资产支持证券”的信用级别为【】级。</w:t>
      </w:r>
    </w:p>
    <w:p w14:paraId="039473A7">
      <w:pPr>
        <w:widowControl w:val="0"/>
        <w:numPr>
          <w:ilvl w:val="1"/>
          <w:numId w:val="8"/>
        </w:numPr>
        <w:tabs>
          <w:tab w:val="left" w:pos="900"/>
        </w:tabs>
        <w:spacing w:line="360" w:lineRule="auto"/>
        <w:jc w:val="both"/>
        <w:outlineLvl w:val="1"/>
        <w:rPr>
          <w:rFonts w:eastAsia="楷体_GB2312"/>
          <w:b/>
          <w:lang w:eastAsia="zh-CN"/>
        </w:rPr>
      </w:pPr>
      <w:bookmarkStart w:id="260" w:name="_Toc146989583"/>
      <w:bookmarkEnd w:id="260"/>
      <w:bookmarkStart w:id="261" w:name="_Ref332390896"/>
      <w:bookmarkStart w:id="262" w:name="_Toc111281791"/>
      <w:bookmarkStart w:id="263" w:name="_Toc107916182"/>
      <w:bookmarkStart w:id="264" w:name="_Toc201569410"/>
      <w:r>
        <w:rPr>
          <w:rFonts w:eastAsia="楷体_GB2312"/>
          <w:b/>
          <w:lang w:eastAsia="zh-CN"/>
        </w:rPr>
        <w:t>次级资产支持证券的基本特征</w:t>
      </w:r>
      <w:bookmarkEnd w:id="261"/>
      <w:bookmarkEnd w:id="262"/>
      <w:bookmarkEnd w:id="263"/>
    </w:p>
    <w:p w14:paraId="71257527">
      <w:pPr>
        <w:spacing w:line="360" w:lineRule="auto"/>
        <w:ind w:left="1620" w:hanging="769"/>
        <w:jc w:val="both"/>
        <w:rPr>
          <w:rFonts w:eastAsia="楷体_GB2312"/>
          <w:lang w:eastAsia="zh-CN"/>
        </w:rPr>
      </w:pPr>
    </w:p>
    <w:p w14:paraId="450C4ECE">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“次级资产支持证券”发行总量与比例：</w:t>
      </w:r>
      <w:r>
        <w:rPr>
          <w:rFonts w:eastAsia="楷体_GB2312"/>
          <w:lang w:eastAsia="zh-CN"/>
        </w:rPr>
        <w:t>在“资产支持证券”发行之日，</w:t>
      </w:r>
      <w:r>
        <w:rPr>
          <w:rFonts w:eastAsia="楷体_GB2312"/>
          <w:bCs/>
          <w:lang w:eastAsia="zh-CN"/>
        </w:rPr>
        <w:t>“</w:t>
      </w:r>
      <w:r>
        <w:rPr>
          <w:rFonts w:eastAsia="楷体_GB2312"/>
          <w:lang w:eastAsia="zh-CN"/>
        </w:rPr>
        <w:t>次级资产支持证券”的发行总量（面值）为【】元“人民币”，占“资产支持证券”发行总量（面值）的</w:t>
      </w:r>
      <w:r>
        <w:rPr>
          <w:rFonts w:eastAsia="楷体_GB2312"/>
          <w:bCs/>
          <w:lang w:eastAsia="zh-CN"/>
        </w:rPr>
        <w:t>【】</w:t>
      </w:r>
      <w:r>
        <w:rPr>
          <w:rFonts w:eastAsia="楷体_GB2312"/>
          <w:lang w:eastAsia="zh-CN"/>
        </w:rPr>
        <w:t>%。</w:t>
      </w:r>
    </w:p>
    <w:p w14:paraId="04381593">
      <w:pPr>
        <w:tabs>
          <w:tab w:val="left" w:pos="2160"/>
        </w:tabs>
        <w:spacing w:line="360" w:lineRule="auto"/>
        <w:ind w:left="1080"/>
        <w:jc w:val="both"/>
        <w:rPr>
          <w:rFonts w:eastAsia="楷体_GB2312"/>
          <w:lang w:eastAsia="zh-CN"/>
        </w:rPr>
      </w:pPr>
    </w:p>
    <w:p w14:paraId="76A0489E">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面值：</w:t>
      </w:r>
      <w:r>
        <w:rPr>
          <w:rFonts w:eastAsia="楷体_GB2312"/>
          <w:lang w:eastAsia="zh-CN"/>
        </w:rPr>
        <w:t>每张“次级资产支持证券”的面值为“人民币”100元。</w:t>
      </w:r>
    </w:p>
    <w:p w14:paraId="7E0ED9A5">
      <w:pPr>
        <w:pStyle w:val="40"/>
        <w:spacing w:line="360" w:lineRule="auto"/>
        <w:ind w:firstLine="480"/>
        <w:jc w:val="both"/>
        <w:rPr>
          <w:rFonts w:eastAsia="楷体_GB2312"/>
          <w:lang w:eastAsia="zh-CN"/>
        </w:rPr>
      </w:pPr>
    </w:p>
    <w:p w14:paraId="1AC07FB6">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发行价格：</w:t>
      </w:r>
      <w:r>
        <w:rPr>
          <w:rFonts w:eastAsia="楷体_GB2312"/>
          <w:lang w:eastAsia="zh-CN"/>
        </w:rPr>
        <w:t>按面值发行。</w:t>
      </w:r>
    </w:p>
    <w:p w14:paraId="65F02AD4">
      <w:pPr>
        <w:pStyle w:val="40"/>
        <w:spacing w:line="360" w:lineRule="auto"/>
        <w:ind w:firstLine="480"/>
        <w:jc w:val="both"/>
        <w:rPr>
          <w:rFonts w:eastAsia="楷体_GB2312"/>
          <w:lang w:eastAsia="zh-CN"/>
        </w:rPr>
      </w:pPr>
    </w:p>
    <w:p w14:paraId="49A7EC52">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票面利率：</w:t>
      </w:r>
      <w:r>
        <w:rPr>
          <w:rFonts w:eastAsia="楷体_GB2312"/>
          <w:lang w:eastAsia="zh-CN"/>
        </w:rPr>
        <w:t>无票面利率。</w:t>
      </w:r>
    </w:p>
    <w:p w14:paraId="4A21CF71">
      <w:pPr>
        <w:pStyle w:val="40"/>
        <w:spacing w:line="360" w:lineRule="auto"/>
        <w:ind w:firstLine="480"/>
        <w:jc w:val="both"/>
        <w:rPr>
          <w:rFonts w:eastAsia="楷体_GB2312"/>
          <w:lang w:eastAsia="zh-CN"/>
        </w:rPr>
      </w:pPr>
    </w:p>
    <w:p w14:paraId="0E201119">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期限：</w:t>
      </w:r>
      <w:r>
        <w:rPr>
          <w:rFonts w:eastAsia="楷体_GB2312"/>
          <w:lang w:eastAsia="zh-CN"/>
        </w:rPr>
        <w:t>自“信托生效日”（含该日）起至“法定到期日”（不含该日）止。“法定到期日”并不是</w:t>
      </w:r>
      <w:r>
        <w:rPr>
          <w:rFonts w:eastAsia="楷体_GB2312"/>
          <w:bCs/>
          <w:lang w:eastAsia="zh-CN"/>
        </w:rPr>
        <w:t>“</w:t>
      </w:r>
      <w:r>
        <w:rPr>
          <w:rFonts w:eastAsia="楷体_GB2312"/>
          <w:lang w:eastAsia="zh-CN"/>
        </w:rPr>
        <w:t>次级资产支持证券”的实际到期日，“次级资产支持证券”的本金将可能于“法定到期日”前清偿完毕。</w:t>
      </w:r>
    </w:p>
    <w:p w14:paraId="7F3CA6E6">
      <w:pPr>
        <w:widowControl w:val="0"/>
        <w:numPr>
          <w:ilvl w:val="255"/>
          <w:numId w:val="0"/>
        </w:numPr>
        <w:tabs>
          <w:tab w:val="left" w:pos="900"/>
        </w:tabs>
        <w:spacing w:line="360" w:lineRule="auto"/>
        <w:jc w:val="both"/>
        <w:rPr>
          <w:rFonts w:eastAsia="楷体_GB2312"/>
          <w:lang w:eastAsia="zh-CN"/>
        </w:rPr>
      </w:pPr>
    </w:p>
    <w:p w14:paraId="54DBB5F2">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法定到期日</w:t>
      </w:r>
      <w:r>
        <w:rPr>
          <w:rFonts w:eastAsia="楷体_GB2312"/>
          <w:b/>
        </w:rPr>
        <w:t>：</w:t>
      </w:r>
      <w:r>
        <w:rPr>
          <w:rFonts w:eastAsia="楷体_GB2312"/>
          <w:bCs/>
          <w:lang w:eastAsia="zh-CN"/>
        </w:rPr>
        <w:t>【】</w:t>
      </w:r>
      <w:r>
        <w:rPr>
          <w:rFonts w:eastAsia="楷体_GB2312"/>
          <w:lang w:eastAsia="zh-CN"/>
        </w:rPr>
        <w:t>年</w:t>
      </w:r>
      <w:r>
        <w:rPr>
          <w:rFonts w:eastAsia="楷体_GB2312"/>
          <w:bCs/>
          <w:lang w:eastAsia="zh-CN"/>
        </w:rPr>
        <w:t>【】</w:t>
      </w:r>
      <w:r>
        <w:rPr>
          <w:rFonts w:eastAsia="楷体_GB2312"/>
          <w:lang w:eastAsia="zh-CN"/>
        </w:rPr>
        <w:t>月</w:t>
      </w:r>
      <w:r>
        <w:rPr>
          <w:rFonts w:eastAsia="楷体_GB2312"/>
          <w:bCs/>
          <w:lang w:eastAsia="zh-CN"/>
        </w:rPr>
        <w:t>【】</w:t>
      </w:r>
      <w:r>
        <w:rPr>
          <w:rFonts w:eastAsia="楷体_GB2312"/>
          <w:lang w:eastAsia="zh-CN"/>
        </w:rPr>
        <w:t>日。</w:t>
      </w:r>
    </w:p>
    <w:p w14:paraId="0BDFF071">
      <w:pPr>
        <w:pStyle w:val="40"/>
        <w:spacing w:line="360" w:lineRule="auto"/>
        <w:ind w:firstLine="480"/>
        <w:jc w:val="both"/>
        <w:rPr>
          <w:rFonts w:eastAsia="楷体_GB2312"/>
          <w:lang w:eastAsia="zh-CN"/>
        </w:rPr>
      </w:pPr>
    </w:p>
    <w:p w14:paraId="2917C544">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rPr>
        <w:t>期间收益计算方式：</w:t>
      </w:r>
      <w:r>
        <w:rPr>
          <w:rFonts w:eastAsia="楷体_GB2312"/>
          <w:b/>
          <w:i/>
          <w:iCs/>
          <w:color w:val="FF0000"/>
        </w:rPr>
        <w:t>【注：可结合项目需要补充次级的期间收益计算方式（如需）】。</w:t>
      </w:r>
    </w:p>
    <w:p w14:paraId="0FF78D9C">
      <w:pPr>
        <w:pStyle w:val="40"/>
        <w:ind w:firstLine="482"/>
        <w:rPr>
          <w:rFonts w:eastAsia="楷体_GB2312"/>
          <w:b/>
          <w:lang w:eastAsia="zh-CN"/>
        </w:rPr>
      </w:pPr>
    </w:p>
    <w:p w14:paraId="27004D39">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本金和收益支付方式：</w:t>
      </w:r>
      <w:r>
        <w:rPr>
          <w:rFonts w:eastAsia="楷体_GB2312"/>
          <w:lang w:eastAsia="zh-CN"/>
        </w:rPr>
        <w:t>“受托人”根据本合同第</w:t>
      </w:r>
      <w:r>
        <w:rPr>
          <w:rFonts w:eastAsia="楷体_GB2312"/>
        </w:rPr>
        <w:fldChar w:fldCharType="begin"/>
      </w:r>
      <w:r>
        <w:rPr>
          <w:rFonts w:eastAsia="楷体_GB2312"/>
          <w:lang w:eastAsia="zh-CN"/>
        </w:rPr>
        <w:instrText xml:space="preserve"> REF _Ref201563930 \r \h  \* MERGEFORMAT </w:instrText>
      </w:r>
      <w:r>
        <w:rPr>
          <w:rFonts w:eastAsia="楷体_GB2312"/>
        </w:rPr>
        <w:fldChar w:fldCharType="separate"/>
      </w:r>
      <w:r>
        <w:rPr>
          <w:rFonts w:eastAsia="楷体_GB2312"/>
          <w:lang w:eastAsia="zh-CN"/>
        </w:rPr>
        <w:t>9</w:t>
      </w:r>
      <w:r>
        <w:rPr>
          <w:rFonts w:eastAsia="楷体_GB2312"/>
        </w:rPr>
        <w:fldChar w:fldCharType="end"/>
      </w:r>
      <w:r>
        <w:rPr>
          <w:rFonts w:eastAsia="楷体_GB2312"/>
          <w:lang w:eastAsia="zh-CN"/>
        </w:rPr>
        <w:t>条的约定支付顺序向“次级资产支持证券持有人”支付本金和收益。</w:t>
      </w:r>
    </w:p>
    <w:p w14:paraId="519F5C59">
      <w:pPr>
        <w:pStyle w:val="40"/>
        <w:ind w:firstLine="482"/>
        <w:rPr>
          <w:rFonts w:eastAsia="楷体_GB2312"/>
          <w:b/>
          <w:lang w:eastAsia="zh-CN"/>
        </w:rPr>
      </w:pPr>
    </w:p>
    <w:p w14:paraId="69A69799">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还本方式：</w:t>
      </w:r>
      <w:r>
        <w:rPr>
          <w:rFonts w:eastAsia="楷体_GB2312"/>
          <w:lang w:eastAsia="zh-CN"/>
        </w:rPr>
        <w:t>“受托人”根据本合同第</w:t>
      </w:r>
      <w:r>
        <w:rPr>
          <w:rFonts w:eastAsia="楷体_GB2312"/>
        </w:rPr>
        <w:fldChar w:fldCharType="begin"/>
      </w:r>
      <w:r>
        <w:rPr>
          <w:rFonts w:eastAsia="楷体_GB2312"/>
          <w:lang w:eastAsia="zh-CN"/>
        </w:rPr>
        <w:instrText xml:space="preserve"> REF _Ref201563930 \r \h  \* MERGEFORMAT </w:instrText>
      </w:r>
      <w:r>
        <w:rPr>
          <w:rFonts w:eastAsia="楷体_GB2312"/>
        </w:rPr>
        <w:fldChar w:fldCharType="separate"/>
      </w:r>
      <w:r>
        <w:rPr>
          <w:rFonts w:eastAsia="楷体_GB2312"/>
          <w:lang w:eastAsia="zh-CN"/>
        </w:rPr>
        <w:t>9</w:t>
      </w:r>
      <w:r>
        <w:rPr>
          <w:rFonts w:eastAsia="楷体_GB2312"/>
        </w:rPr>
        <w:fldChar w:fldCharType="end"/>
      </w:r>
      <w:r>
        <w:rPr>
          <w:rFonts w:eastAsia="楷体_GB2312"/>
          <w:lang w:eastAsia="zh-CN"/>
        </w:rPr>
        <w:t>条约定的支付顺序向“次级资产支持证券持有人”偿还本金。</w:t>
      </w:r>
    </w:p>
    <w:p w14:paraId="3712BD8C">
      <w:pPr>
        <w:pStyle w:val="40"/>
        <w:spacing w:line="360" w:lineRule="auto"/>
        <w:ind w:firstLine="482"/>
        <w:jc w:val="both"/>
        <w:rPr>
          <w:rFonts w:eastAsia="楷体_GB2312"/>
          <w:b/>
          <w:lang w:eastAsia="zh-CN"/>
        </w:rPr>
      </w:pPr>
    </w:p>
    <w:p w14:paraId="64FE6C17">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信用评级</w:t>
      </w:r>
      <w:r>
        <w:rPr>
          <w:rFonts w:eastAsia="楷体_GB2312"/>
          <w:b/>
          <w:bCs/>
          <w:lang w:eastAsia="zh-CN"/>
        </w:rPr>
        <w:t>：</w:t>
      </w:r>
      <w:r>
        <w:rPr>
          <w:rFonts w:eastAsia="楷体_GB2312"/>
          <w:lang w:eastAsia="zh-CN"/>
        </w:rPr>
        <w:t>“次级资产支持证券”不作信用评级。</w:t>
      </w:r>
    </w:p>
    <w:bookmarkEnd w:id="264"/>
    <w:p w14:paraId="0F858C18">
      <w:pPr>
        <w:tabs>
          <w:tab w:val="left" w:pos="2160"/>
        </w:tabs>
        <w:spacing w:line="360" w:lineRule="auto"/>
        <w:jc w:val="both"/>
        <w:rPr>
          <w:rFonts w:eastAsia="楷体_GB2312"/>
          <w:lang w:eastAsia="zh-CN"/>
        </w:rPr>
      </w:pPr>
      <w:bookmarkStart w:id="265" w:name="_Toc195174869"/>
      <w:bookmarkEnd w:id="265"/>
      <w:bookmarkStart w:id="266" w:name="_Toc195174857"/>
      <w:bookmarkEnd w:id="266"/>
      <w:bookmarkStart w:id="267" w:name="_Toc195174855"/>
      <w:bookmarkEnd w:id="267"/>
      <w:bookmarkStart w:id="268" w:name="_Toc195174859"/>
      <w:bookmarkEnd w:id="268"/>
      <w:bookmarkStart w:id="269" w:name="_Toc195174867"/>
      <w:bookmarkEnd w:id="269"/>
      <w:bookmarkStart w:id="270" w:name="_Toc195174847"/>
      <w:bookmarkEnd w:id="270"/>
      <w:bookmarkStart w:id="271" w:name="_Toc195174872"/>
      <w:bookmarkEnd w:id="271"/>
      <w:bookmarkStart w:id="272" w:name="_Toc195174865"/>
      <w:bookmarkEnd w:id="272"/>
      <w:bookmarkStart w:id="273" w:name="_Toc195174860"/>
      <w:bookmarkEnd w:id="273"/>
      <w:bookmarkStart w:id="274" w:name="_Toc195174852"/>
      <w:bookmarkEnd w:id="274"/>
      <w:bookmarkStart w:id="275" w:name="_Toc106417380"/>
      <w:bookmarkEnd w:id="275"/>
      <w:bookmarkStart w:id="276" w:name="_Toc195174850"/>
      <w:bookmarkEnd w:id="276"/>
      <w:bookmarkStart w:id="277" w:name="_Toc195174863"/>
      <w:bookmarkEnd w:id="277"/>
      <w:bookmarkStart w:id="278" w:name="_Toc195174871"/>
      <w:bookmarkEnd w:id="278"/>
      <w:bookmarkStart w:id="279" w:name="_Toc195174854"/>
      <w:bookmarkEnd w:id="279"/>
      <w:bookmarkStart w:id="280" w:name="_Toc195174848"/>
      <w:bookmarkEnd w:id="280"/>
      <w:bookmarkStart w:id="281" w:name="_Toc195174849"/>
      <w:bookmarkEnd w:id="281"/>
      <w:bookmarkStart w:id="282" w:name="_Toc195174862"/>
      <w:bookmarkEnd w:id="282"/>
      <w:bookmarkStart w:id="283" w:name="_Toc195174856"/>
      <w:bookmarkEnd w:id="283"/>
      <w:bookmarkStart w:id="284" w:name="_Toc195174870"/>
      <w:bookmarkEnd w:id="284"/>
      <w:bookmarkStart w:id="285" w:name="_Toc195174853"/>
      <w:bookmarkEnd w:id="285"/>
      <w:bookmarkStart w:id="286" w:name="_Toc195174864"/>
      <w:bookmarkEnd w:id="286"/>
      <w:bookmarkStart w:id="287" w:name="_Toc195174845"/>
      <w:bookmarkEnd w:id="287"/>
      <w:bookmarkStart w:id="288" w:name="_Toc195174858"/>
      <w:bookmarkEnd w:id="288"/>
      <w:bookmarkStart w:id="289" w:name="_Toc195174874"/>
      <w:bookmarkEnd w:id="289"/>
      <w:bookmarkStart w:id="290" w:name="_Toc195174861"/>
      <w:bookmarkEnd w:id="290"/>
      <w:bookmarkStart w:id="291" w:name="_Toc195174868"/>
      <w:bookmarkEnd w:id="291"/>
      <w:bookmarkStart w:id="292" w:name="_Toc146989589"/>
      <w:bookmarkEnd w:id="292"/>
      <w:bookmarkStart w:id="293" w:name="_Toc195174846"/>
      <w:bookmarkEnd w:id="293"/>
      <w:bookmarkStart w:id="294" w:name="_Toc195174873"/>
      <w:bookmarkEnd w:id="294"/>
      <w:bookmarkStart w:id="295" w:name="_Toc195174851"/>
      <w:bookmarkEnd w:id="295"/>
      <w:bookmarkStart w:id="296" w:name="_Toc195174866"/>
      <w:bookmarkEnd w:id="296"/>
    </w:p>
    <w:p w14:paraId="115C311D">
      <w:pPr>
        <w:widowControl w:val="0"/>
        <w:numPr>
          <w:ilvl w:val="1"/>
          <w:numId w:val="8"/>
        </w:numPr>
        <w:tabs>
          <w:tab w:val="left" w:pos="900"/>
        </w:tabs>
        <w:spacing w:line="360" w:lineRule="auto"/>
        <w:jc w:val="both"/>
        <w:outlineLvl w:val="1"/>
        <w:rPr>
          <w:rFonts w:eastAsia="楷体_GB2312"/>
          <w:b/>
          <w:lang w:eastAsia="zh-CN"/>
        </w:rPr>
      </w:pPr>
      <w:bookmarkStart w:id="297" w:name="_Toc110153441"/>
      <w:bookmarkStart w:id="298" w:name="_Toc111281792"/>
      <w:bookmarkStart w:id="299" w:name="_Toc207007304"/>
      <w:bookmarkStart w:id="300" w:name="_Toc201569412"/>
      <w:bookmarkStart w:id="301" w:name="_Ref150588804"/>
      <w:bookmarkStart w:id="302" w:name="_Ref150547317"/>
      <w:r>
        <w:rPr>
          <w:rFonts w:eastAsia="楷体_GB2312"/>
          <w:b/>
          <w:lang w:eastAsia="zh-CN"/>
        </w:rPr>
        <w:t>资产支持证券的发行、承销、登记、交易和结算</w:t>
      </w:r>
      <w:bookmarkEnd w:id="297"/>
      <w:bookmarkEnd w:id="298"/>
    </w:p>
    <w:p w14:paraId="18D4E873">
      <w:pPr>
        <w:widowControl w:val="0"/>
        <w:spacing w:line="360" w:lineRule="auto"/>
        <w:ind w:left="992"/>
        <w:jc w:val="both"/>
        <w:rPr>
          <w:rFonts w:eastAsia="楷体_GB2312"/>
          <w:b/>
          <w:lang w:eastAsia="zh-CN"/>
        </w:rPr>
      </w:pPr>
    </w:p>
    <w:p w14:paraId="3AE63F1F">
      <w:pPr>
        <w:widowControl w:val="0"/>
        <w:numPr>
          <w:ilvl w:val="2"/>
          <w:numId w:val="8"/>
        </w:numPr>
        <w:tabs>
          <w:tab w:val="left" w:pos="1620"/>
        </w:tabs>
        <w:spacing w:line="360" w:lineRule="auto"/>
        <w:ind w:left="1620" w:hanging="769"/>
        <w:jc w:val="both"/>
        <w:rPr>
          <w:rFonts w:eastAsia="楷体_GB2312"/>
          <w:b/>
        </w:rPr>
      </w:pPr>
      <w:r>
        <w:rPr>
          <w:rFonts w:eastAsia="楷体_GB2312"/>
          <w:b/>
          <w:lang w:eastAsia="zh-CN"/>
        </w:rPr>
        <w:t>资产支持证券的发行</w:t>
      </w:r>
    </w:p>
    <w:p w14:paraId="2E105CB5">
      <w:pPr>
        <w:spacing w:line="360" w:lineRule="auto"/>
        <w:jc w:val="both"/>
        <w:rPr>
          <w:rFonts w:eastAsia="楷体_GB2312"/>
        </w:rPr>
      </w:pPr>
    </w:p>
    <w:p w14:paraId="44C15A6E">
      <w:pPr>
        <w:pStyle w:val="40"/>
        <w:widowControl w:val="0"/>
        <w:numPr>
          <w:ilvl w:val="3"/>
          <w:numId w:val="8"/>
        </w:numPr>
        <w:tabs>
          <w:tab w:val="clear" w:pos="2356"/>
        </w:tabs>
        <w:spacing w:line="360" w:lineRule="auto"/>
        <w:ind w:hanging="850" w:firstLineChars="0"/>
        <w:jc w:val="both"/>
        <w:rPr>
          <w:rFonts w:eastAsia="楷体_GB2312"/>
          <w:lang w:eastAsia="zh-CN"/>
        </w:rPr>
      </w:pPr>
      <w:r>
        <w:rPr>
          <w:rFonts w:eastAsia="楷体_GB2312"/>
          <w:lang w:eastAsia="zh-CN"/>
        </w:rPr>
        <w:t>本合同签署后，“受托人”将向“人民银行”申请向全国银行间债券市场或“监管部门”允许的其他交易场所的投资者发行本合同项下“优先级资产支持证券”。</w:t>
      </w:r>
    </w:p>
    <w:p w14:paraId="48B6FD29">
      <w:pPr>
        <w:tabs>
          <w:tab w:val="left" w:pos="3060"/>
        </w:tabs>
        <w:spacing w:line="360" w:lineRule="auto"/>
        <w:ind w:left="3060" w:hanging="900"/>
        <w:jc w:val="both"/>
        <w:rPr>
          <w:rFonts w:eastAsia="楷体_GB2312"/>
          <w:lang w:eastAsia="zh-CN"/>
        </w:rPr>
      </w:pPr>
    </w:p>
    <w:p w14:paraId="2F1AE783">
      <w:pPr>
        <w:pStyle w:val="40"/>
        <w:widowControl w:val="0"/>
        <w:numPr>
          <w:ilvl w:val="3"/>
          <w:numId w:val="8"/>
        </w:numPr>
        <w:tabs>
          <w:tab w:val="clear" w:pos="2356"/>
        </w:tabs>
        <w:spacing w:line="360" w:lineRule="auto"/>
        <w:ind w:hanging="850" w:firstLineChars="0"/>
        <w:jc w:val="both"/>
        <w:rPr>
          <w:rFonts w:eastAsia="楷体_GB2312"/>
          <w:lang w:eastAsia="zh-CN"/>
        </w:rPr>
      </w:pPr>
      <w:r>
        <w:rPr>
          <w:rFonts w:eastAsia="楷体_GB2312"/>
          <w:lang w:eastAsia="zh-CN"/>
        </w:rPr>
        <w:t>“优先级资产支持证券”应根据“人民银行”的相关规则采取“簿记建档”</w:t>
      </w:r>
      <w:r>
        <w:rPr>
          <w:rFonts w:eastAsia="楷体_GB2312"/>
          <w:bCs/>
          <w:lang w:eastAsia="zh-CN"/>
        </w:rPr>
        <w:t>方式发行。全部“次级资产支持证券”应根据“人民银行”的相关规则由“委托人”持有。</w:t>
      </w:r>
    </w:p>
    <w:p w14:paraId="3630495C">
      <w:pPr>
        <w:tabs>
          <w:tab w:val="left" w:pos="3060"/>
        </w:tabs>
        <w:spacing w:line="360" w:lineRule="auto"/>
        <w:ind w:left="3060" w:hanging="900"/>
        <w:jc w:val="both"/>
        <w:rPr>
          <w:rFonts w:eastAsia="楷体_GB2312"/>
          <w:lang w:eastAsia="zh-CN"/>
        </w:rPr>
      </w:pPr>
    </w:p>
    <w:p w14:paraId="757B0DCF">
      <w:pPr>
        <w:pStyle w:val="40"/>
        <w:widowControl w:val="0"/>
        <w:numPr>
          <w:ilvl w:val="3"/>
          <w:numId w:val="8"/>
        </w:numPr>
        <w:tabs>
          <w:tab w:val="clear" w:pos="2356"/>
        </w:tabs>
        <w:spacing w:line="360" w:lineRule="auto"/>
        <w:ind w:hanging="850" w:firstLineChars="0"/>
        <w:jc w:val="both"/>
        <w:rPr>
          <w:rFonts w:eastAsia="楷体_GB2312"/>
          <w:lang w:eastAsia="zh-CN"/>
        </w:rPr>
      </w:pPr>
      <w:r>
        <w:rPr>
          <w:rFonts w:eastAsia="楷体_GB2312"/>
          <w:lang w:eastAsia="zh-CN"/>
        </w:rPr>
        <w:t>“受托人”应按照“登记托管机构”的规则将全部“次级资产支持证券”交付给“委托人”。</w:t>
      </w:r>
    </w:p>
    <w:p w14:paraId="0CCDB1AB">
      <w:pPr>
        <w:pStyle w:val="40"/>
        <w:widowControl w:val="0"/>
        <w:spacing w:line="360" w:lineRule="auto"/>
        <w:ind w:left="1984" w:firstLine="0" w:firstLineChars="0"/>
        <w:jc w:val="both"/>
        <w:rPr>
          <w:rFonts w:eastAsia="楷体_GB2312"/>
          <w:b/>
          <w:lang w:eastAsia="zh-CN"/>
        </w:rPr>
      </w:pPr>
    </w:p>
    <w:p w14:paraId="4A259D26">
      <w:pPr>
        <w:pStyle w:val="40"/>
        <w:widowControl w:val="0"/>
        <w:numPr>
          <w:ilvl w:val="3"/>
          <w:numId w:val="8"/>
        </w:numPr>
        <w:tabs>
          <w:tab w:val="clear" w:pos="2356"/>
        </w:tabs>
        <w:spacing w:line="360" w:lineRule="auto"/>
        <w:ind w:hanging="850" w:firstLineChars="0"/>
        <w:jc w:val="both"/>
        <w:rPr>
          <w:rFonts w:eastAsia="楷体_GB2312"/>
          <w:b/>
          <w:lang w:eastAsia="zh-CN"/>
        </w:rPr>
      </w:pPr>
      <w:r>
        <w:rPr>
          <w:rFonts w:eastAsia="楷体_GB2312"/>
          <w:lang w:eastAsia="zh-CN"/>
        </w:rPr>
        <w:t>“委托人”同意对“受托人”发行“优先级资产支持证券”给予积极协助。</w:t>
      </w:r>
    </w:p>
    <w:p w14:paraId="200AA535">
      <w:pPr>
        <w:pStyle w:val="40"/>
        <w:ind w:firstLine="482"/>
        <w:rPr>
          <w:rFonts w:eastAsia="楷体_GB2312"/>
          <w:b/>
          <w:lang w:eastAsia="zh-CN"/>
        </w:rPr>
      </w:pPr>
    </w:p>
    <w:p w14:paraId="53709308">
      <w:pPr>
        <w:pStyle w:val="40"/>
        <w:spacing w:line="360" w:lineRule="auto"/>
        <w:ind w:left="1985" w:leftChars="827" w:firstLine="0" w:firstLineChars="0"/>
        <w:rPr>
          <w:rFonts w:eastAsia="楷体_GB2312"/>
          <w:b/>
          <w:i/>
          <w:iCs/>
          <w:color w:val="FF0000"/>
          <w:lang w:eastAsia="zh-CN"/>
        </w:rPr>
      </w:pPr>
      <w:r>
        <w:rPr>
          <w:rFonts w:eastAsia="楷体_GB2312"/>
          <w:b/>
          <w:i/>
          <w:iCs/>
          <w:color w:val="FF0000"/>
          <w:lang w:eastAsia="zh-CN"/>
        </w:rPr>
        <w:t>【注：如为招标发行，则涉及发行的相关条款则可相应予以调整。】</w:t>
      </w:r>
    </w:p>
    <w:p w14:paraId="20C57D43">
      <w:pPr>
        <w:spacing w:line="360" w:lineRule="auto"/>
        <w:ind w:left="2160"/>
        <w:jc w:val="both"/>
        <w:rPr>
          <w:rFonts w:eastAsia="楷体_GB2312"/>
          <w:lang w:eastAsia="zh-CN"/>
        </w:rPr>
      </w:pPr>
    </w:p>
    <w:p w14:paraId="536347A2">
      <w:pPr>
        <w:widowControl w:val="0"/>
        <w:numPr>
          <w:ilvl w:val="2"/>
          <w:numId w:val="8"/>
        </w:numPr>
        <w:tabs>
          <w:tab w:val="left" w:pos="1620"/>
        </w:tabs>
        <w:spacing w:line="360" w:lineRule="auto"/>
        <w:ind w:left="1620" w:hanging="769"/>
        <w:jc w:val="both"/>
        <w:rPr>
          <w:rFonts w:eastAsia="楷体_GB2312"/>
          <w:b/>
        </w:rPr>
      </w:pPr>
      <w:r>
        <w:rPr>
          <w:rFonts w:eastAsia="楷体_GB2312"/>
          <w:b/>
          <w:lang w:eastAsia="zh-CN"/>
        </w:rPr>
        <w:t>资产支持证券的承销</w:t>
      </w:r>
    </w:p>
    <w:p w14:paraId="22BFF8F4">
      <w:pPr>
        <w:spacing w:line="360" w:lineRule="auto"/>
        <w:ind w:left="2160"/>
        <w:jc w:val="both"/>
        <w:rPr>
          <w:rFonts w:eastAsia="楷体_GB2312"/>
          <w:b/>
        </w:rPr>
      </w:pPr>
    </w:p>
    <w:p w14:paraId="39BE8015">
      <w:pPr>
        <w:pStyle w:val="40"/>
        <w:widowControl w:val="0"/>
        <w:numPr>
          <w:ilvl w:val="3"/>
          <w:numId w:val="8"/>
        </w:numPr>
        <w:tabs>
          <w:tab w:val="clear" w:pos="2356"/>
        </w:tabs>
        <w:spacing w:line="360" w:lineRule="auto"/>
        <w:ind w:hanging="850" w:firstLineChars="0"/>
        <w:jc w:val="both"/>
        <w:rPr>
          <w:rFonts w:eastAsia="楷体_GB2312"/>
          <w:lang w:eastAsia="zh-CN"/>
        </w:rPr>
      </w:pPr>
      <w:r>
        <w:rPr>
          <w:rFonts w:eastAsia="楷体_GB2312"/>
          <w:lang w:eastAsia="zh-CN"/>
        </w:rPr>
        <w:t>“受托人”作为“资产支持证券”的发行人，与“发起机构”、“主承销商”签署“《承销协议》”，“主承销商”再与其他“承销商”签署“《承销团协议》”，由“主承销商”和其他“承销商”承销“优先级资产支持证券”。各方具体权利义务在“受托人”、“委托人”和“主承销商”签署的“《承销协议》”中进行约定。</w:t>
      </w:r>
    </w:p>
    <w:p w14:paraId="5C447E7E">
      <w:pPr>
        <w:pStyle w:val="40"/>
        <w:ind w:firstLine="480"/>
        <w:jc w:val="both"/>
        <w:rPr>
          <w:rFonts w:eastAsia="楷体_GB2312"/>
          <w:lang w:eastAsia="zh-CN"/>
        </w:rPr>
      </w:pPr>
    </w:p>
    <w:p w14:paraId="4AB591F2">
      <w:pPr>
        <w:pStyle w:val="40"/>
        <w:widowControl w:val="0"/>
        <w:numPr>
          <w:ilvl w:val="3"/>
          <w:numId w:val="8"/>
        </w:numPr>
        <w:tabs>
          <w:tab w:val="clear" w:pos="2356"/>
        </w:tabs>
        <w:spacing w:line="360" w:lineRule="auto"/>
        <w:ind w:hanging="850" w:firstLineChars="0"/>
        <w:jc w:val="both"/>
        <w:rPr>
          <w:rFonts w:eastAsia="楷体_GB2312"/>
          <w:lang w:eastAsia="zh-CN"/>
        </w:rPr>
      </w:pPr>
      <w:r>
        <w:rPr>
          <w:rFonts w:eastAsia="楷体_GB2312"/>
          <w:lang w:eastAsia="zh-CN"/>
        </w:rPr>
        <w:t>“主承销商”应根据“《承销协议》”的约定及时将扣除“承销报酬”后的“资产支持证券募集资金”划付至“受托机构”指定的发行收入缴款账户。</w:t>
      </w:r>
    </w:p>
    <w:p w14:paraId="32ACD984">
      <w:pPr>
        <w:spacing w:line="360" w:lineRule="auto"/>
        <w:ind w:left="2160"/>
        <w:jc w:val="both"/>
        <w:rPr>
          <w:rFonts w:eastAsia="楷体_GB2312"/>
          <w:lang w:eastAsia="zh-CN"/>
        </w:rPr>
      </w:pPr>
    </w:p>
    <w:p w14:paraId="2C21664F">
      <w:pPr>
        <w:widowControl w:val="0"/>
        <w:numPr>
          <w:ilvl w:val="2"/>
          <w:numId w:val="8"/>
        </w:numPr>
        <w:tabs>
          <w:tab w:val="left" w:pos="1620"/>
        </w:tabs>
        <w:spacing w:line="360" w:lineRule="auto"/>
        <w:ind w:left="1620" w:hanging="769"/>
        <w:jc w:val="both"/>
        <w:rPr>
          <w:rFonts w:eastAsia="楷体_GB2312"/>
          <w:lang w:eastAsia="zh-CN"/>
        </w:rPr>
      </w:pPr>
      <w:r>
        <w:rPr>
          <w:rFonts w:eastAsia="楷体_GB2312"/>
          <w:b/>
          <w:lang w:eastAsia="zh-CN"/>
        </w:rPr>
        <w:t>资产支持证券的登记、托管</w:t>
      </w:r>
    </w:p>
    <w:p w14:paraId="185EB7DF">
      <w:pPr>
        <w:spacing w:line="360" w:lineRule="auto"/>
        <w:ind w:left="2160"/>
        <w:jc w:val="both"/>
        <w:rPr>
          <w:rFonts w:eastAsia="楷体_GB2312"/>
          <w:lang w:eastAsia="zh-CN"/>
        </w:rPr>
      </w:pPr>
    </w:p>
    <w:p w14:paraId="04C0B152">
      <w:pPr>
        <w:pStyle w:val="40"/>
        <w:widowControl w:val="0"/>
        <w:numPr>
          <w:ilvl w:val="3"/>
          <w:numId w:val="8"/>
        </w:numPr>
        <w:tabs>
          <w:tab w:val="clear" w:pos="2356"/>
        </w:tabs>
        <w:spacing w:line="360" w:lineRule="auto"/>
        <w:ind w:hanging="850" w:firstLineChars="0"/>
        <w:jc w:val="both"/>
        <w:rPr>
          <w:rFonts w:eastAsia="楷体_GB2312"/>
          <w:lang w:eastAsia="zh-CN"/>
        </w:rPr>
      </w:pPr>
      <w:r>
        <w:rPr>
          <w:rFonts w:eastAsia="楷体_GB2312"/>
          <w:lang w:eastAsia="zh-CN"/>
        </w:rPr>
        <w:t>在“信托期限”内，“资产支持证券”应在“登记托管机构”进行登记、托管。</w:t>
      </w:r>
    </w:p>
    <w:p w14:paraId="6F5F38F4">
      <w:pPr>
        <w:spacing w:line="360" w:lineRule="auto"/>
        <w:ind w:left="2160"/>
        <w:jc w:val="both"/>
        <w:rPr>
          <w:rFonts w:eastAsia="楷体_GB2312"/>
          <w:lang w:eastAsia="zh-CN"/>
        </w:rPr>
      </w:pPr>
    </w:p>
    <w:p w14:paraId="3318E240">
      <w:pPr>
        <w:pStyle w:val="40"/>
        <w:widowControl w:val="0"/>
        <w:numPr>
          <w:ilvl w:val="3"/>
          <w:numId w:val="8"/>
        </w:numPr>
        <w:tabs>
          <w:tab w:val="clear" w:pos="2356"/>
        </w:tabs>
        <w:spacing w:line="360" w:lineRule="auto"/>
        <w:ind w:hanging="850" w:firstLineChars="0"/>
        <w:jc w:val="both"/>
        <w:rPr>
          <w:rFonts w:eastAsia="楷体_GB2312"/>
          <w:lang w:eastAsia="zh-CN"/>
        </w:rPr>
      </w:pPr>
      <w:r>
        <w:rPr>
          <w:rFonts w:eastAsia="楷体_GB2312"/>
          <w:lang w:eastAsia="zh-CN"/>
        </w:rPr>
        <w:t>以“《承销协议》”中约定的“资产支持证券募集资金”（扣除“承销报酬”）于“信托财产交付日”汇入“受托机构”指定的发行收入缴款账户为条件，“受托机构”应根据“登记托管机构”的规则和程序，向“登记托管机构”提供“资产支持证券”发行款到账确认书及其他相关文件，“登记托管机构”据此办理“资产支持证券”的托管确认手续，并向“受托机构”签发“资产支持证券”登记托管完成确认书。“资产支持证券”的发行登记服务费由“受托机构”从发行收入中扣除，并于托管手续完成后【】个“工作日”内支付给“登记托管机构”。</w:t>
      </w:r>
    </w:p>
    <w:p w14:paraId="5CAC8398">
      <w:pPr>
        <w:pStyle w:val="145"/>
        <w:widowControl w:val="0"/>
        <w:spacing w:line="360" w:lineRule="auto"/>
        <w:ind w:left="2126" w:leftChars="886" w:firstLine="0" w:firstLineChars="0"/>
        <w:jc w:val="both"/>
      </w:pPr>
      <w:r>
        <w:rPr>
          <w:rFonts w:eastAsia="楷体_GB2312"/>
          <w:b/>
          <w:bCs/>
          <w:i/>
          <w:iCs/>
          <w:color w:val="FF0000"/>
          <w:lang w:eastAsia="zh-CN"/>
        </w:rPr>
        <w:t>【注：发行登记服务费的支付方式根据项目的具体安排进行调整。】</w:t>
      </w:r>
    </w:p>
    <w:p w14:paraId="61414FF5">
      <w:pPr>
        <w:pStyle w:val="40"/>
        <w:widowControl w:val="0"/>
        <w:spacing w:line="360" w:lineRule="auto"/>
        <w:ind w:left="1984" w:firstLine="0" w:firstLineChars="0"/>
        <w:jc w:val="both"/>
        <w:rPr>
          <w:rFonts w:eastAsia="楷体_GB2312"/>
          <w:lang w:eastAsia="zh-CN"/>
        </w:rPr>
      </w:pPr>
    </w:p>
    <w:p w14:paraId="21A55FDE">
      <w:pPr>
        <w:pStyle w:val="40"/>
        <w:widowControl w:val="0"/>
        <w:numPr>
          <w:ilvl w:val="3"/>
          <w:numId w:val="8"/>
        </w:numPr>
        <w:tabs>
          <w:tab w:val="clear" w:pos="2356"/>
        </w:tabs>
        <w:spacing w:line="360" w:lineRule="auto"/>
        <w:ind w:firstLineChars="0"/>
        <w:jc w:val="both"/>
        <w:rPr>
          <w:rFonts w:eastAsia="楷体_GB2312"/>
          <w:lang w:eastAsia="zh-CN"/>
        </w:rPr>
      </w:pPr>
      <w:r>
        <w:rPr>
          <w:rFonts w:eastAsia="楷体_GB2312"/>
          <w:lang w:eastAsia="zh-CN"/>
        </w:rPr>
        <w:t>在遵守本合同的前提下，“受托人”应当与“登记托管机构”、“支付代理机构”就“资产支持证券”的登记、托管的具体事宜签署“债券发行、登记及代理兑付服务协议”。</w:t>
      </w:r>
    </w:p>
    <w:p w14:paraId="605B96C5">
      <w:pPr>
        <w:pStyle w:val="40"/>
        <w:widowControl w:val="0"/>
        <w:spacing w:line="360" w:lineRule="auto"/>
        <w:ind w:left="1984" w:firstLine="0" w:firstLineChars="0"/>
        <w:jc w:val="both"/>
        <w:rPr>
          <w:rFonts w:eastAsia="楷体_GB2312"/>
          <w:lang w:eastAsia="zh-CN"/>
        </w:rPr>
      </w:pPr>
    </w:p>
    <w:p w14:paraId="34B3FC94">
      <w:pPr>
        <w:widowControl w:val="0"/>
        <w:numPr>
          <w:ilvl w:val="2"/>
          <w:numId w:val="8"/>
        </w:numPr>
        <w:tabs>
          <w:tab w:val="left" w:pos="1620"/>
        </w:tabs>
        <w:spacing w:line="360" w:lineRule="auto"/>
        <w:ind w:left="1620" w:hanging="769"/>
        <w:jc w:val="both"/>
        <w:rPr>
          <w:rFonts w:eastAsia="楷体_GB2312"/>
        </w:rPr>
      </w:pPr>
      <w:r>
        <w:rPr>
          <w:rFonts w:eastAsia="楷体_GB2312"/>
          <w:b/>
          <w:lang w:eastAsia="zh-CN"/>
        </w:rPr>
        <w:t>资产支持证券的交易</w:t>
      </w:r>
    </w:p>
    <w:p w14:paraId="77ED7AA7">
      <w:pPr>
        <w:spacing w:line="360" w:lineRule="auto"/>
        <w:ind w:left="2160"/>
        <w:jc w:val="both"/>
        <w:rPr>
          <w:rFonts w:eastAsia="楷体_GB2312"/>
        </w:rPr>
      </w:pPr>
    </w:p>
    <w:p w14:paraId="6C873E0B">
      <w:pPr>
        <w:pStyle w:val="40"/>
        <w:widowControl w:val="0"/>
        <w:numPr>
          <w:ilvl w:val="3"/>
          <w:numId w:val="8"/>
        </w:numPr>
        <w:tabs>
          <w:tab w:val="clear" w:pos="2356"/>
        </w:tabs>
        <w:spacing w:line="360" w:lineRule="auto"/>
        <w:ind w:hanging="850" w:firstLineChars="0"/>
        <w:jc w:val="both"/>
        <w:rPr>
          <w:rFonts w:eastAsia="楷体_GB2312"/>
          <w:lang w:eastAsia="zh-CN"/>
        </w:rPr>
      </w:pPr>
      <w:r>
        <w:rPr>
          <w:rFonts w:eastAsia="楷体_GB2312"/>
          <w:lang w:eastAsia="zh-CN"/>
        </w:rPr>
        <w:t>“资产支持证券”发行结束且在“登记托管机构”完成登记之后，“资产支持证券持有人”可以根据相关适用于“资产支持证券”的“中国”“法律”的规定，在全国银行间债券市场或“监管部门”允许的其他交易场所交易“资产支持证券”。</w:t>
      </w:r>
    </w:p>
    <w:p w14:paraId="1B64230F">
      <w:pPr>
        <w:spacing w:line="360" w:lineRule="auto"/>
        <w:ind w:left="2160"/>
        <w:jc w:val="both"/>
        <w:rPr>
          <w:rFonts w:eastAsia="楷体_GB2312"/>
          <w:lang w:eastAsia="zh-CN"/>
        </w:rPr>
      </w:pPr>
    </w:p>
    <w:p w14:paraId="6BA1C20D">
      <w:pPr>
        <w:pStyle w:val="40"/>
        <w:widowControl w:val="0"/>
        <w:numPr>
          <w:ilvl w:val="3"/>
          <w:numId w:val="8"/>
        </w:numPr>
        <w:tabs>
          <w:tab w:val="clear" w:pos="2356"/>
        </w:tabs>
        <w:spacing w:line="360" w:lineRule="auto"/>
        <w:ind w:hanging="850" w:firstLineChars="0"/>
        <w:jc w:val="both"/>
        <w:rPr>
          <w:rFonts w:eastAsia="楷体_GB2312"/>
          <w:lang w:eastAsia="zh-CN"/>
        </w:rPr>
      </w:pPr>
      <w:r>
        <w:rPr>
          <w:rFonts w:eastAsia="楷体_GB2312"/>
          <w:lang w:eastAsia="zh-CN"/>
        </w:rPr>
        <w:t>“委托人”持有“次级资产支持证券”的期限不低于“次级资产支持证券”的存续期间。且除非相关“中国”“法律”另有规定，“委托人”自持的“次级资产支持证券”不得转让。</w:t>
      </w:r>
    </w:p>
    <w:p w14:paraId="379E5121">
      <w:pPr>
        <w:spacing w:line="360" w:lineRule="auto"/>
        <w:ind w:left="2160"/>
        <w:jc w:val="both"/>
        <w:rPr>
          <w:rFonts w:eastAsia="楷体_GB2312"/>
          <w:lang w:eastAsia="zh-CN"/>
        </w:rPr>
      </w:pPr>
    </w:p>
    <w:p w14:paraId="4F9B21C0">
      <w:pPr>
        <w:pStyle w:val="40"/>
        <w:widowControl w:val="0"/>
        <w:numPr>
          <w:ilvl w:val="3"/>
          <w:numId w:val="8"/>
        </w:numPr>
        <w:tabs>
          <w:tab w:val="clear" w:pos="2356"/>
        </w:tabs>
        <w:spacing w:line="360" w:lineRule="auto"/>
        <w:ind w:hanging="850" w:firstLineChars="0"/>
        <w:jc w:val="both"/>
        <w:rPr>
          <w:rFonts w:eastAsia="楷体_GB2312"/>
          <w:lang w:eastAsia="zh-CN"/>
        </w:rPr>
      </w:pPr>
      <w:r>
        <w:rPr>
          <w:rFonts w:eastAsia="楷体_GB2312"/>
          <w:lang w:eastAsia="zh-CN"/>
        </w:rPr>
        <w:t>“资产支持证券持有人”享有与其持有“资产支持证券”类别和数额相对应的“信托受益权”份额。“资产支持证券”是其持有人享有本“信托”的相应“信托受益权”及承担相应义务的证明。</w:t>
      </w:r>
    </w:p>
    <w:p w14:paraId="0D6A9686">
      <w:pPr>
        <w:spacing w:line="360" w:lineRule="auto"/>
        <w:ind w:left="2160"/>
        <w:jc w:val="both"/>
        <w:rPr>
          <w:rFonts w:eastAsia="楷体_GB2312"/>
          <w:lang w:eastAsia="zh-CN"/>
        </w:rPr>
      </w:pPr>
    </w:p>
    <w:p w14:paraId="4D1D4901">
      <w:pPr>
        <w:widowControl w:val="0"/>
        <w:numPr>
          <w:ilvl w:val="2"/>
          <w:numId w:val="8"/>
        </w:numPr>
        <w:tabs>
          <w:tab w:val="left" w:pos="1620"/>
        </w:tabs>
        <w:spacing w:line="360" w:lineRule="auto"/>
        <w:ind w:left="1620" w:hanging="769"/>
        <w:jc w:val="both"/>
        <w:rPr>
          <w:rFonts w:eastAsia="楷体_GB2312"/>
          <w:b/>
        </w:rPr>
      </w:pPr>
      <w:bookmarkStart w:id="303" w:name="_Toc111281793"/>
      <w:r>
        <w:rPr>
          <w:rFonts w:eastAsia="楷体_GB2312"/>
          <w:b/>
          <w:bCs/>
          <w:lang w:eastAsia="zh-CN"/>
        </w:rPr>
        <w:t>资产</w:t>
      </w:r>
      <w:r>
        <w:rPr>
          <w:rFonts w:eastAsia="楷体_GB2312"/>
          <w:b/>
          <w:lang w:eastAsia="zh-CN"/>
        </w:rPr>
        <w:t>支持证券的结算</w:t>
      </w:r>
      <w:bookmarkEnd w:id="303"/>
    </w:p>
    <w:p w14:paraId="77867949">
      <w:pPr>
        <w:spacing w:line="360" w:lineRule="auto"/>
        <w:ind w:left="2160"/>
        <w:jc w:val="both"/>
        <w:rPr>
          <w:rFonts w:eastAsia="楷体_GB2312"/>
        </w:rPr>
      </w:pPr>
    </w:p>
    <w:p w14:paraId="7CE7E21F">
      <w:pPr>
        <w:pStyle w:val="40"/>
        <w:widowControl w:val="0"/>
        <w:numPr>
          <w:ilvl w:val="3"/>
          <w:numId w:val="8"/>
        </w:numPr>
        <w:tabs>
          <w:tab w:val="clear" w:pos="2356"/>
        </w:tabs>
        <w:spacing w:line="360" w:lineRule="auto"/>
        <w:ind w:hanging="850" w:firstLineChars="0"/>
        <w:jc w:val="both"/>
        <w:rPr>
          <w:rFonts w:eastAsia="楷体_GB2312"/>
          <w:lang w:eastAsia="zh-CN"/>
        </w:rPr>
      </w:pPr>
      <w:r>
        <w:rPr>
          <w:rFonts w:eastAsia="楷体_GB2312"/>
          <w:lang w:eastAsia="zh-CN"/>
        </w:rPr>
        <w:t>“资产支持证券”结算按照《资产支持证券发行登记与托管结算业务操作规则》等“登记托管机构”的相关规定执行。</w:t>
      </w:r>
    </w:p>
    <w:p w14:paraId="66DAC229">
      <w:pPr>
        <w:spacing w:line="360" w:lineRule="auto"/>
        <w:ind w:left="2160"/>
        <w:jc w:val="both"/>
        <w:rPr>
          <w:rFonts w:eastAsia="楷体_GB2312"/>
          <w:lang w:eastAsia="zh-CN"/>
        </w:rPr>
      </w:pPr>
    </w:p>
    <w:p w14:paraId="71578552">
      <w:pPr>
        <w:pStyle w:val="40"/>
        <w:widowControl w:val="0"/>
        <w:numPr>
          <w:ilvl w:val="3"/>
          <w:numId w:val="8"/>
        </w:numPr>
        <w:tabs>
          <w:tab w:val="clear" w:pos="2356"/>
        </w:tabs>
        <w:spacing w:line="360" w:lineRule="auto"/>
        <w:ind w:hanging="850" w:firstLineChars="0"/>
        <w:jc w:val="both"/>
        <w:rPr>
          <w:rFonts w:eastAsia="楷体_GB2312"/>
          <w:lang w:eastAsia="zh-CN"/>
        </w:rPr>
      </w:pPr>
      <w:bookmarkStart w:id="304" w:name="_Hlk221748638"/>
      <w:r>
        <w:rPr>
          <w:rFonts w:eastAsia="楷体_GB2312"/>
          <w:lang w:eastAsia="zh-CN"/>
        </w:rPr>
        <w:t>除“发起机构”自持的“资产支持证券”外，</w:t>
      </w:r>
      <w:bookmarkEnd w:id="304"/>
      <w:r>
        <w:rPr>
          <w:rFonts w:eastAsia="楷体_GB2312"/>
          <w:lang w:eastAsia="zh-CN"/>
        </w:rPr>
        <w:t>“资产支持证券持有人”可以将“资产支持证券”依法转让、用于清偿债务或以其他合法方式进行移转，并按照相关规定办理相应的变更登记手续。</w:t>
      </w:r>
    </w:p>
    <w:p w14:paraId="45A2803E">
      <w:pPr>
        <w:spacing w:line="360" w:lineRule="auto"/>
        <w:ind w:left="2160"/>
        <w:jc w:val="both"/>
        <w:rPr>
          <w:rFonts w:eastAsia="楷体_GB2312"/>
          <w:b/>
          <w:lang w:eastAsia="zh-CN"/>
        </w:rPr>
      </w:pPr>
    </w:p>
    <w:p w14:paraId="061EA245">
      <w:pPr>
        <w:widowControl w:val="0"/>
        <w:numPr>
          <w:ilvl w:val="1"/>
          <w:numId w:val="8"/>
        </w:numPr>
        <w:tabs>
          <w:tab w:val="left" w:pos="900"/>
        </w:tabs>
        <w:spacing w:line="360" w:lineRule="auto"/>
        <w:jc w:val="both"/>
        <w:rPr>
          <w:rFonts w:eastAsia="楷体_GB2312"/>
          <w:b/>
          <w:lang w:eastAsia="zh-CN"/>
        </w:rPr>
      </w:pPr>
      <w:bookmarkStart w:id="305" w:name="_Toc111281794"/>
      <w:r>
        <w:rPr>
          <w:rFonts w:eastAsia="楷体_GB2312"/>
          <w:b/>
          <w:lang w:eastAsia="zh-CN"/>
        </w:rPr>
        <w:t>资产支持证券发行不成功</w:t>
      </w:r>
      <w:bookmarkEnd w:id="305"/>
    </w:p>
    <w:p w14:paraId="6043D914">
      <w:pPr>
        <w:spacing w:line="360" w:lineRule="auto"/>
        <w:ind w:left="2160"/>
        <w:jc w:val="both"/>
        <w:rPr>
          <w:rFonts w:eastAsia="楷体_GB2312"/>
          <w:lang w:eastAsia="zh-CN"/>
        </w:rPr>
      </w:pPr>
    </w:p>
    <w:p w14:paraId="25EBADF5">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如果</w:t>
      </w:r>
      <w:r>
        <w:rPr>
          <w:rFonts w:hint="eastAsia" w:eastAsia="楷体_GB2312"/>
          <w:lang w:eastAsia="zh-CN"/>
        </w:rPr>
        <w:t>截至</w:t>
      </w:r>
      <w:r>
        <w:rPr>
          <w:rFonts w:eastAsia="楷体_GB2312"/>
          <w:lang w:eastAsia="zh-CN"/>
        </w:rPr>
        <w:t>“簿记建档日”“优先级资产支持证券”未能全部得到足额认购，或者截至“缴款截止日”“优先级资产支持证券”募集款项未能全部足额缴纳，且“主承销商”未按“《承销协议》”约定履行余额包销责任，则视为“资产支持证券”发行不成功。在发行不成功的情形下，除本合同或其他“交易文件”另有约定外，“委托人”和“受托人”自行承担因发行“资产支持证券”而支出的各自的费用。</w:t>
      </w:r>
    </w:p>
    <w:p w14:paraId="5D7D53BD">
      <w:pPr>
        <w:widowControl w:val="0"/>
        <w:tabs>
          <w:tab w:val="left" w:pos="1571"/>
        </w:tabs>
        <w:spacing w:line="360" w:lineRule="auto"/>
        <w:ind w:left="1620"/>
        <w:jc w:val="both"/>
        <w:rPr>
          <w:rFonts w:eastAsia="楷体_GB2312"/>
          <w:lang w:eastAsia="zh-CN"/>
        </w:rPr>
      </w:pPr>
    </w:p>
    <w:p w14:paraId="2C025B4B">
      <w:pPr>
        <w:widowControl w:val="0"/>
        <w:numPr>
          <w:ilvl w:val="2"/>
          <w:numId w:val="8"/>
        </w:numPr>
        <w:tabs>
          <w:tab w:val="left" w:pos="1620"/>
        </w:tabs>
        <w:spacing w:line="360" w:lineRule="auto"/>
        <w:ind w:left="1620" w:hanging="769"/>
        <w:jc w:val="both"/>
        <w:rPr>
          <w:rFonts w:eastAsia="楷体_GB2312"/>
          <w:lang w:eastAsia="zh-CN"/>
        </w:rPr>
      </w:pPr>
      <w:bookmarkStart w:id="306" w:name="_Ref112061754"/>
      <w:r>
        <w:rPr>
          <w:rFonts w:eastAsia="楷体_GB2312"/>
          <w:lang w:eastAsia="zh-CN"/>
        </w:rPr>
        <w:t>“资产支持证券”发行不成功的，“受托人”应不迟于发行结束后的次一个“工作日”向“登记托管机构”提供《发行结果公告》，以便“登记托管机构”据此办理“资产支持证券”注销手续</w:t>
      </w:r>
      <w:bookmarkEnd w:id="306"/>
      <w:r>
        <w:rPr>
          <w:rFonts w:eastAsia="楷体_GB2312"/>
          <w:lang w:eastAsia="zh-CN"/>
        </w:rPr>
        <w:t>。</w:t>
      </w:r>
    </w:p>
    <w:bookmarkEnd w:id="299"/>
    <w:bookmarkEnd w:id="300"/>
    <w:p w14:paraId="717519B8">
      <w:pPr>
        <w:spacing w:line="360" w:lineRule="auto"/>
        <w:jc w:val="both"/>
        <w:rPr>
          <w:rFonts w:eastAsia="楷体_GB2312"/>
          <w:b/>
          <w:lang w:eastAsia="zh-CN"/>
        </w:rPr>
      </w:pPr>
    </w:p>
    <w:p w14:paraId="3468A101">
      <w:pPr>
        <w:widowControl w:val="0"/>
        <w:numPr>
          <w:ilvl w:val="0"/>
          <w:numId w:val="8"/>
        </w:numPr>
        <w:spacing w:line="360" w:lineRule="auto"/>
        <w:jc w:val="both"/>
        <w:outlineLvl w:val="0"/>
        <w:rPr>
          <w:rFonts w:eastAsia="楷体_GB2312"/>
          <w:b/>
        </w:rPr>
      </w:pPr>
      <w:bookmarkStart w:id="307" w:name="_Toc166105868"/>
      <w:bookmarkStart w:id="308" w:name="_Toc69138585"/>
      <w:bookmarkStart w:id="309" w:name="_Toc201569413"/>
      <w:bookmarkStart w:id="310" w:name="_Toc227955282"/>
      <w:bookmarkStart w:id="311" w:name="_Toc454484855"/>
      <w:bookmarkStart w:id="312" w:name="_Toc75510467"/>
      <w:bookmarkStart w:id="313" w:name="_Toc207007305"/>
      <w:r>
        <w:rPr>
          <w:rFonts w:eastAsia="楷体_GB2312"/>
          <w:b/>
        </w:rPr>
        <w:t>信托</w:t>
      </w:r>
      <w:r>
        <w:rPr>
          <w:rFonts w:eastAsia="楷体_GB2312"/>
          <w:b/>
          <w:lang w:eastAsia="zh-CN"/>
        </w:rPr>
        <w:t>账户</w:t>
      </w:r>
      <w:bookmarkEnd w:id="307"/>
      <w:bookmarkEnd w:id="308"/>
      <w:bookmarkEnd w:id="309"/>
      <w:bookmarkEnd w:id="310"/>
      <w:bookmarkEnd w:id="311"/>
      <w:bookmarkEnd w:id="312"/>
      <w:bookmarkEnd w:id="313"/>
    </w:p>
    <w:p w14:paraId="2CF57244">
      <w:pPr>
        <w:spacing w:line="360" w:lineRule="auto"/>
        <w:jc w:val="both"/>
        <w:rPr>
          <w:rFonts w:eastAsia="楷体_GB2312"/>
          <w:b/>
        </w:rPr>
      </w:pPr>
    </w:p>
    <w:p w14:paraId="5F2D5871">
      <w:pPr>
        <w:widowControl w:val="0"/>
        <w:numPr>
          <w:ilvl w:val="1"/>
          <w:numId w:val="8"/>
        </w:numPr>
        <w:tabs>
          <w:tab w:val="left" w:pos="900"/>
        </w:tabs>
        <w:spacing w:line="360" w:lineRule="auto"/>
        <w:jc w:val="both"/>
        <w:outlineLvl w:val="1"/>
        <w:rPr>
          <w:rFonts w:eastAsia="楷体_GB2312"/>
          <w:b/>
        </w:rPr>
      </w:pPr>
      <w:bookmarkStart w:id="314" w:name="_Toc201569414"/>
      <w:r>
        <w:rPr>
          <w:rFonts w:eastAsia="楷体_GB2312"/>
          <w:b/>
        </w:rPr>
        <w:t>信托账</w:t>
      </w:r>
      <w:r>
        <w:rPr>
          <w:rFonts w:eastAsia="楷体_GB2312"/>
          <w:b/>
          <w:lang w:eastAsia="zh-CN"/>
        </w:rPr>
        <w:t>户</w:t>
      </w:r>
      <w:r>
        <w:rPr>
          <w:rFonts w:eastAsia="楷体_GB2312"/>
          <w:b/>
        </w:rPr>
        <w:t>的设立</w:t>
      </w:r>
      <w:bookmarkEnd w:id="314"/>
    </w:p>
    <w:p w14:paraId="69A6DAAA">
      <w:pPr>
        <w:spacing w:line="360" w:lineRule="auto"/>
        <w:jc w:val="both"/>
        <w:rPr>
          <w:rFonts w:eastAsia="楷体_GB2312"/>
          <w:b/>
        </w:rPr>
      </w:pPr>
    </w:p>
    <w:p w14:paraId="411F9003">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在“信托生效日”当日或之前，“受托人”应根据“《资金保管合同》”的约定以“受托人”的名称在“资金保管机构”开立一个独立的“人民币”“信托账户”，用以记录货币类“信托财产”的收支情况，该“信托账户”</w:t>
      </w:r>
      <w:r>
        <w:rPr>
          <w:rFonts w:eastAsia="楷体_GB2312"/>
          <w:lang w:val="en-GB" w:eastAsia="zh-CN"/>
        </w:rPr>
        <w:t>包括“信托收款账户”（包括“收入分账户”和“本金分账户”）、</w:t>
      </w:r>
      <w:r>
        <w:rPr>
          <w:rFonts w:eastAsia="楷体_GB2312"/>
          <w:lang w:eastAsia="zh-CN"/>
        </w:rPr>
        <w:t>“</w:t>
      </w:r>
      <w:r>
        <w:rPr>
          <w:rFonts w:eastAsia="楷体_GB2312"/>
          <w:lang w:val="en-GB" w:eastAsia="zh-CN"/>
        </w:rPr>
        <w:t>信托付款账户”（包括“信托分配（证券）账户”以及“信托分配（费用和开支）账户”）、“信托（流动性）储备账户”、“信托（服务转移和通知）储备账户”、“信托（混同）储备账户”和“信托（税收）储备账户”</w:t>
      </w:r>
      <w:r>
        <w:rPr>
          <w:rFonts w:eastAsia="楷体_GB2312"/>
          <w:lang w:eastAsia="zh-CN"/>
        </w:rPr>
        <w:t>。</w:t>
      </w:r>
    </w:p>
    <w:p w14:paraId="72E49E46">
      <w:pPr>
        <w:ind w:firstLine="1687" w:firstLineChars="700"/>
        <w:jc w:val="both"/>
        <w:rPr>
          <w:lang w:eastAsia="zh-CN"/>
        </w:rPr>
      </w:pPr>
      <w:r>
        <w:rPr>
          <w:rFonts w:eastAsia="楷体_GB2312"/>
          <w:b/>
          <w:bCs/>
          <w:i/>
          <w:iCs/>
          <w:color w:val="FF0000"/>
          <w:kern w:val="2"/>
          <w:lang w:eastAsia="zh-CN"/>
        </w:rPr>
        <w:t>【注：账户设置可视项目实际情况调整。】</w:t>
      </w:r>
    </w:p>
    <w:p w14:paraId="4798E5CE">
      <w:pPr>
        <w:spacing w:line="360" w:lineRule="auto"/>
        <w:ind w:left="851"/>
        <w:jc w:val="both"/>
        <w:rPr>
          <w:rFonts w:eastAsia="楷体_GB2312"/>
          <w:lang w:eastAsia="zh-CN"/>
        </w:rPr>
      </w:pPr>
    </w:p>
    <w:p w14:paraId="4FB4EBC6">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根据“《资金保管合同》”解任“资金保管机构”后，“资产支持证券持有人大会”应任命“替代资金保管机构”。“替代资金保管机构”应是符合以下条件的商业银行：(1)任一“评级机构”对该商业银行的主体长期信用等级均高于或等于【】级；(2)满足由“受托机构”认可的其他评级机构对“资金保管机构”的信用等级要求；(3)愿意按照“《资金保管合同》”的条款担任“资金保管机构”且具备资金保管机构业务资格。“受托人”应于实际可行时尽快但至迟于任命“替代资金保管机构”后的【】个“工作日”内在“替代资金保管机构”为“信托”开立新的信托专用账户并将“信托账户”内的资金及其存款转入该信托专用账户。</w:t>
      </w:r>
    </w:p>
    <w:p w14:paraId="6AC5DFE5">
      <w:pPr>
        <w:pStyle w:val="40"/>
        <w:ind w:firstLine="480"/>
        <w:jc w:val="both"/>
        <w:rPr>
          <w:rFonts w:eastAsia="楷体_GB2312"/>
          <w:lang w:eastAsia="zh-CN"/>
        </w:rPr>
      </w:pPr>
    </w:p>
    <w:p w14:paraId="442B53A5">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受托人”有权控制“信托账户”以及不时存入该账户的全部资金和其产生的收益。“受托人”同意其无权以其他方对其自身有负债为由抵销和以其他方式扣除“信托账户”中的任何资金。在遵守所有适用“中国”“法律”的前提下，“受托人”应按照本合同的约定不时借记和贷记“信托账户”。</w:t>
      </w:r>
    </w:p>
    <w:p w14:paraId="4D34B9BB">
      <w:pPr>
        <w:pStyle w:val="71"/>
        <w:numPr>
          <w:ilvl w:val="0"/>
          <w:numId w:val="0"/>
        </w:numPr>
        <w:spacing w:line="360" w:lineRule="auto"/>
        <w:rPr>
          <w:rFonts w:cs="Times New Roman"/>
          <w:szCs w:val="24"/>
          <w:lang w:val="en-US" w:eastAsia="zh-CN"/>
        </w:rPr>
      </w:pPr>
    </w:p>
    <w:p w14:paraId="7AC61E23">
      <w:pPr>
        <w:widowControl w:val="0"/>
        <w:numPr>
          <w:ilvl w:val="1"/>
          <w:numId w:val="8"/>
        </w:numPr>
        <w:tabs>
          <w:tab w:val="left" w:pos="900"/>
        </w:tabs>
        <w:spacing w:line="360" w:lineRule="auto"/>
        <w:jc w:val="both"/>
        <w:outlineLvl w:val="1"/>
        <w:rPr>
          <w:rFonts w:eastAsia="楷体_GB2312"/>
          <w:b/>
          <w:lang w:eastAsia="zh-CN"/>
        </w:rPr>
      </w:pPr>
      <w:bookmarkStart w:id="315" w:name="_Toc201569415"/>
      <w:r>
        <w:rPr>
          <w:rFonts w:eastAsia="楷体_GB2312"/>
          <w:b/>
          <w:lang w:eastAsia="zh-CN"/>
        </w:rPr>
        <w:t>信托收款账户</w:t>
      </w:r>
    </w:p>
    <w:p w14:paraId="1D7F1170">
      <w:pPr>
        <w:tabs>
          <w:tab w:val="left" w:pos="2160"/>
        </w:tabs>
        <w:spacing w:line="360" w:lineRule="auto"/>
        <w:ind w:left="900"/>
        <w:jc w:val="both"/>
        <w:rPr>
          <w:rFonts w:eastAsia="楷体_GB2312"/>
          <w:color w:val="FF0000"/>
          <w:lang w:eastAsia="zh-CN"/>
        </w:rPr>
      </w:pPr>
      <w:r>
        <w:rPr>
          <w:rFonts w:eastAsia="楷体_GB2312"/>
          <w:b/>
          <w:bCs/>
          <w:i/>
          <w:iCs/>
          <w:color w:val="FF0000"/>
          <w:lang w:eastAsia="zh-CN"/>
        </w:rPr>
        <w:t>【注：账户设置可视项目实际情况调整。】</w:t>
      </w:r>
    </w:p>
    <w:p w14:paraId="2ECCBEBE">
      <w:pPr>
        <w:tabs>
          <w:tab w:val="left" w:pos="2160"/>
        </w:tabs>
        <w:spacing w:line="360" w:lineRule="auto"/>
        <w:ind w:left="900"/>
        <w:jc w:val="both"/>
        <w:rPr>
          <w:rFonts w:eastAsia="楷体_GB2312"/>
          <w:lang w:eastAsia="zh-CN"/>
        </w:rPr>
      </w:pPr>
    </w:p>
    <w:p w14:paraId="7FBE5CAE">
      <w:pPr>
        <w:tabs>
          <w:tab w:val="left" w:pos="2160"/>
        </w:tabs>
        <w:spacing w:line="360" w:lineRule="auto"/>
        <w:ind w:left="900"/>
        <w:jc w:val="both"/>
        <w:rPr>
          <w:rStyle w:val="70"/>
          <w:rFonts w:eastAsia="楷体_GB2312"/>
          <w:color w:val="auto"/>
          <w:w w:val="0"/>
          <w:u w:val="none"/>
          <w:lang w:eastAsia="zh-CN"/>
        </w:rPr>
      </w:pPr>
      <w:r>
        <w:rPr>
          <w:rFonts w:eastAsia="楷体_GB2312"/>
          <w:lang w:eastAsia="zh-CN"/>
        </w:rPr>
        <w:t>“</w:t>
      </w:r>
      <w:r>
        <w:rPr>
          <w:rStyle w:val="70"/>
          <w:rFonts w:eastAsia="楷体_GB2312"/>
          <w:color w:val="auto"/>
          <w:w w:val="0"/>
          <w:u w:val="none"/>
          <w:lang w:eastAsia="zh-CN"/>
        </w:rPr>
        <w:t>受托机构</w:t>
      </w:r>
      <w:r>
        <w:rPr>
          <w:rFonts w:eastAsia="楷体_GB2312"/>
          <w:lang w:eastAsia="zh-CN"/>
        </w:rPr>
        <w:t>”</w:t>
      </w:r>
      <w:r>
        <w:rPr>
          <w:rStyle w:val="70"/>
          <w:rFonts w:eastAsia="楷体_GB2312"/>
          <w:color w:val="auto"/>
          <w:w w:val="0"/>
          <w:u w:val="none"/>
          <w:lang w:eastAsia="zh-CN"/>
        </w:rPr>
        <w:t>应开立</w:t>
      </w:r>
      <w:r>
        <w:rPr>
          <w:rFonts w:eastAsia="楷体_GB2312"/>
          <w:lang w:eastAsia="zh-CN"/>
        </w:rPr>
        <w:t>“</w:t>
      </w:r>
      <w:r>
        <w:rPr>
          <w:rStyle w:val="70"/>
          <w:rFonts w:eastAsia="楷体_GB2312"/>
          <w:color w:val="auto"/>
          <w:w w:val="0"/>
          <w:u w:val="none"/>
          <w:lang w:eastAsia="zh-CN"/>
        </w:rPr>
        <w:t>信托收款账户</w:t>
      </w:r>
      <w:r>
        <w:rPr>
          <w:rFonts w:eastAsia="楷体_GB2312"/>
          <w:lang w:eastAsia="zh-CN"/>
        </w:rPr>
        <w:t>”</w:t>
      </w:r>
      <w:r>
        <w:rPr>
          <w:rStyle w:val="70"/>
          <w:rFonts w:eastAsia="楷体_GB2312"/>
          <w:color w:val="auto"/>
          <w:w w:val="0"/>
          <w:u w:val="none"/>
          <w:lang w:eastAsia="zh-CN"/>
        </w:rPr>
        <w:t>分账户以管理“回收款</w:t>
      </w:r>
      <w:r>
        <w:rPr>
          <w:rFonts w:eastAsia="楷体_GB2312"/>
          <w:lang w:eastAsia="zh-CN"/>
        </w:rPr>
        <w:t>”</w:t>
      </w:r>
      <w:r>
        <w:rPr>
          <w:rStyle w:val="70"/>
          <w:rFonts w:eastAsia="楷体_GB2312"/>
          <w:color w:val="auto"/>
          <w:w w:val="0"/>
          <w:u w:val="none"/>
          <w:lang w:eastAsia="zh-CN"/>
        </w:rPr>
        <w:t>。每个</w:t>
      </w:r>
      <w:r>
        <w:rPr>
          <w:rFonts w:eastAsia="楷体_GB2312"/>
          <w:lang w:eastAsia="zh-CN"/>
        </w:rPr>
        <w:t>“</w:t>
      </w:r>
      <w:r>
        <w:rPr>
          <w:rStyle w:val="70"/>
          <w:rFonts w:eastAsia="楷体_GB2312"/>
          <w:color w:val="auto"/>
          <w:w w:val="0"/>
          <w:u w:val="none"/>
          <w:lang w:eastAsia="zh-CN"/>
        </w:rPr>
        <w:t>回收款转付日</w:t>
      </w:r>
      <w:r>
        <w:rPr>
          <w:rFonts w:eastAsia="楷体_GB2312"/>
          <w:lang w:eastAsia="zh-CN"/>
        </w:rPr>
        <w:t>”</w:t>
      </w:r>
      <w:r>
        <w:rPr>
          <w:rStyle w:val="70"/>
          <w:rFonts w:eastAsia="楷体_GB2312"/>
          <w:color w:val="auto"/>
          <w:w w:val="0"/>
          <w:u w:val="none"/>
          <w:lang w:eastAsia="zh-CN"/>
        </w:rPr>
        <w:t>，</w:t>
      </w:r>
      <w:r>
        <w:rPr>
          <w:rFonts w:eastAsia="楷体_GB2312"/>
          <w:lang w:eastAsia="zh-CN"/>
        </w:rPr>
        <w:t>“</w:t>
      </w:r>
      <w:r>
        <w:rPr>
          <w:rStyle w:val="70"/>
          <w:rFonts w:eastAsia="楷体_GB2312"/>
          <w:color w:val="auto"/>
          <w:w w:val="0"/>
          <w:u w:val="none"/>
          <w:lang w:eastAsia="zh-CN"/>
        </w:rPr>
        <w:t>资金保管机构</w:t>
      </w:r>
      <w:r>
        <w:rPr>
          <w:rFonts w:eastAsia="楷体_GB2312"/>
          <w:lang w:eastAsia="zh-CN"/>
        </w:rPr>
        <w:t>”</w:t>
      </w:r>
      <w:r>
        <w:rPr>
          <w:rStyle w:val="70"/>
          <w:rFonts w:eastAsia="楷体_GB2312"/>
          <w:color w:val="auto"/>
          <w:w w:val="0"/>
          <w:u w:val="none"/>
          <w:lang w:eastAsia="zh-CN"/>
        </w:rPr>
        <w:t>应根据</w:t>
      </w:r>
      <w:r>
        <w:rPr>
          <w:rFonts w:eastAsia="楷体_GB2312"/>
          <w:lang w:eastAsia="zh-CN"/>
        </w:rPr>
        <w:t>“</w:t>
      </w:r>
      <w:r>
        <w:rPr>
          <w:rStyle w:val="70"/>
          <w:rFonts w:eastAsia="楷体_GB2312"/>
          <w:color w:val="auto"/>
          <w:w w:val="0"/>
          <w:u w:val="none"/>
          <w:lang w:eastAsia="zh-CN"/>
        </w:rPr>
        <w:t>《服务合同》</w:t>
      </w:r>
      <w:r>
        <w:rPr>
          <w:rFonts w:eastAsia="楷体_GB2312"/>
          <w:lang w:eastAsia="zh-CN"/>
        </w:rPr>
        <w:t>”</w:t>
      </w:r>
      <w:r>
        <w:rPr>
          <w:rStyle w:val="70"/>
          <w:rFonts w:eastAsia="楷体_GB2312"/>
          <w:color w:val="auto"/>
          <w:w w:val="0"/>
          <w:u w:val="none"/>
          <w:lang w:eastAsia="zh-CN"/>
        </w:rPr>
        <w:t>第【】款</w:t>
      </w:r>
      <w:r>
        <w:rPr>
          <w:rFonts w:eastAsia="楷体_GB2312"/>
          <w:bCs/>
          <w:lang w:eastAsia="zh-CN"/>
        </w:rPr>
        <w:t>约</w:t>
      </w:r>
      <w:r>
        <w:rPr>
          <w:rStyle w:val="70"/>
          <w:rFonts w:eastAsia="楷体_GB2312"/>
          <w:color w:val="auto"/>
          <w:w w:val="0"/>
          <w:u w:val="none"/>
          <w:lang w:eastAsia="zh-CN"/>
        </w:rPr>
        <w:t>定的</w:t>
      </w:r>
      <w:r>
        <w:rPr>
          <w:rFonts w:eastAsia="楷体_GB2312"/>
          <w:lang w:eastAsia="zh-CN"/>
        </w:rPr>
        <w:t>“</w:t>
      </w:r>
      <w:r>
        <w:rPr>
          <w:rStyle w:val="70"/>
          <w:rFonts w:eastAsia="楷体_GB2312"/>
          <w:color w:val="auto"/>
          <w:w w:val="0"/>
          <w:u w:val="none"/>
          <w:lang w:eastAsia="zh-CN"/>
        </w:rPr>
        <w:t>贷款服务机构</w:t>
      </w:r>
      <w:r>
        <w:rPr>
          <w:rFonts w:eastAsia="楷体_GB2312"/>
          <w:lang w:eastAsia="zh-CN"/>
        </w:rPr>
        <w:t>”</w:t>
      </w:r>
      <w:r>
        <w:rPr>
          <w:rStyle w:val="70"/>
          <w:rFonts w:eastAsia="楷体_GB2312"/>
          <w:color w:val="auto"/>
          <w:w w:val="0"/>
          <w:u w:val="none"/>
          <w:lang w:eastAsia="zh-CN"/>
        </w:rPr>
        <w:t>资金汇划说明将转入</w:t>
      </w:r>
      <w:r>
        <w:rPr>
          <w:rFonts w:eastAsia="楷体_GB2312"/>
          <w:lang w:eastAsia="zh-CN"/>
        </w:rPr>
        <w:t>“</w:t>
      </w:r>
      <w:r>
        <w:rPr>
          <w:rStyle w:val="70"/>
          <w:rFonts w:eastAsia="楷体_GB2312"/>
          <w:color w:val="auto"/>
          <w:w w:val="0"/>
          <w:u w:val="none"/>
          <w:lang w:eastAsia="zh-CN"/>
        </w:rPr>
        <w:t>信托收款账户</w:t>
      </w:r>
      <w:r>
        <w:rPr>
          <w:rFonts w:eastAsia="楷体_GB2312"/>
          <w:lang w:eastAsia="zh-CN"/>
        </w:rPr>
        <w:t>”</w:t>
      </w:r>
      <w:r>
        <w:rPr>
          <w:rStyle w:val="70"/>
          <w:rFonts w:eastAsia="楷体_GB2312"/>
          <w:color w:val="auto"/>
          <w:w w:val="0"/>
          <w:u w:val="none"/>
          <w:lang w:eastAsia="zh-CN"/>
        </w:rPr>
        <w:t>中的全部</w:t>
      </w:r>
      <w:r>
        <w:rPr>
          <w:rFonts w:eastAsia="楷体_GB2312"/>
          <w:lang w:eastAsia="zh-CN"/>
        </w:rPr>
        <w:t>“</w:t>
      </w:r>
      <w:r>
        <w:rPr>
          <w:rStyle w:val="70"/>
          <w:rFonts w:eastAsia="楷体_GB2312"/>
          <w:color w:val="auto"/>
          <w:w w:val="0"/>
          <w:u w:val="none"/>
          <w:lang w:eastAsia="zh-CN"/>
        </w:rPr>
        <w:t>回收款</w:t>
      </w:r>
      <w:r>
        <w:rPr>
          <w:rFonts w:eastAsia="楷体_GB2312"/>
          <w:lang w:eastAsia="zh-CN"/>
        </w:rPr>
        <w:t>”</w:t>
      </w:r>
      <w:r>
        <w:rPr>
          <w:rStyle w:val="70"/>
          <w:rFonts w:eastAsia="楷体_GB2312"/>
          <w:color w:val="auto"/>
          <w:w w:val="0"/>
          <w:u w:val="none"/>
          <w:lang w:eastAsia="zh-CN"/>
        </w:rPr>
        <w:t>存入以下子账户：</w:t>
      </w:r>
    </w:p>
    <w:p w14:paraId="44F6815D">
      <w:pPr>
        <w:tabs>
          <w:tab w:val="left" w:pos="2160"/>
        </w:tabs>
        <w:spacing w:line="360" w:lineRule="auto"/>
        <w:ind w:left="900"/>
        <w:jc w:val="both"/>
        <w:rPr>
          <w:rStyle w:val="70"/>
          <w:rFonts w:eastAsia="楷体_GB2312"/>
          <w:color w:val="auto"/>
          <w:w w:val="0"/>
          <w:u w:val="none"/>
          <w:lang w:eastAsia="zh-CN"/>
        </w:rPr>
      </w:pPr>
    </w:p>
    <w:p w14:paraId="3FCD93E4">
      <w:pPr>
        <w:jc w:val="both"/>
        <w:rPr>
          <w:rFonts w:eastAsia="楷体_GB2312"/>
          <w:b/>
          <w:lang w:val="en-GB" w:eastAsia="zh-CN"/>
        </w:rPr>
      </w:pPr>
    </w:p>
    <w:p w14:paraId="4CAF7A21">
      <w:pPr>
        <w:widowControl w:val="0"/>
        <w:numPr>
          <w:ilvl w:val="2"/>
          <w:numId w:val="8"/>
        </w:numPr>
        <w:tabs>
          <w:tab w:val="left" w:pos="1620"/>
        </w:tabs>
        <w:spacing w:line="360" w:lineRule="auto"/>
        <w:ind w:left="1620" w:hanging="769"/>
        <w:jc w:val="both"/>
        <w:rPr>
          <w:rFonts w:eastAsia="楷体_GB2312"/>
          <w:b/>
          <w:lang w:eastAsia="zh-CN"/>
        </w:rPr>
      </w:pPr>
      <w:r>
        <w:rPr>
          <w:rFonts w:eastAsia="楷体_GB2312"/>
          <w:b/>
          <w:lang w:eastAsia="zh-CN"/>
        </w:rPr>
        <w:t>收入分账户</w:t>
      </w:r>
    </w:p>
    <w:p w14:paraId="02ED17D6">
      <w:pPr>
        <w:jc w:val="both"/>
        <w:rPr>
          <w:rFonts w:eastAsia="楷体_GB2312"/>
          <w:b/>
          <w:lang w:eastAsia="zh-CN"/>
        </w:rPr>
      </w:pPr>
    </w:p>
    <w:p w14:paraId="5CB82A08">
      <w:pPr>
        <w:tabs>
          <w:tab w:val="left" w:pos="2160"/>
        </w:tabs>
        <w:spacing w:line="360" w:lineRule="auto"/>
        <w:ind w:left="1560"/>
        <w:jc w:val="both"/>
        <w:rPr>
          <w:rStyle w:val="70"/>
          <w:rFonts w:eastAsia="楷体_GB2312"/>
          <w:color w:val="auto"/>
          <w:w w:val="0"/>
          <w:u w:val="none"/>
          <w:lang w:eastAsia="zh-CN"/>
        </w:rPr>
      </w:pPr>
      <w:r>
        <w:rPr>
          <w:rFonts w:eastAsia="楷体_GB2312"/>
          <w:lang w:eastAsia="zh-CN"/>
        </w:rPr>
        <w:t>“</w:t>
      </w:r>
      <w:r>
        <w:rPr>
          <w:rStyle w:val="70"/>
          <w:rFonts w:eastAsia="楷体_GB2312"/>
          <w:color w:val="auto"/>
          <w:w w:val="0"/>
          <w:u w:val="none"/>
          <w:lang w:eastAsia="zh-CN"/>
        </w:rPr>
        <w:t>受托人</w:t>
      </w:r>
      <w:r>
        <w:rPr>
          <w:rFonts w:eastAsia="楷体_GB2312"/>
          <w:lang w:eastAsia="zh-CN"/>
        </w:rPr>
        <w:t>”</w:t>
      </w:r>
      <w:r>
        <w:rPr>
          <w:rStyle w:val="70"/>
          <w:rFonts w:eastAsia="楷体_GB2312"/>
          <w:color w:val="auto"/>
          <w:w w:val="0"/>
          <w:u w:val="none"/>
          <w:lang w:eastAsia="zh-CN"/>
        </w:rPr>
        <w:t>应开立</w:t>
      </w:r>
      <w:r>
        <w:rPr>
          <w:rFonts w:eastAsia="楷体_GB2312"/>
          <w:lang w:eastAsia="zh-CN"/>
        </w:rPr>
        <w:t>“</w:t>
      </w:r>
      <w:r>
        <w:rPr>
          <w:rStyle w:val="70"/>
          <w:rFonts w:eastAsia="楷体_GB2312"/>
          <w:color w:val="auto"/>
          <w:w w:val="0"/>
          <w:u w:val="none"/>
          <w:lang w:eastAsia="zh-CN"/>
        </w:rPr>
        <w:t>收入分账户</w:t>
      </w:r>
      <w:r>
        <w:rPr>
          <w:rFonts w:eastAsia="楷体_GB2312"/>
          <w:lang w:eastAsia="zh-CN"/>
        </w:rPr>
        <w:t>”</w:t>
      </w:r>
      <w:r>
        <w:rPr>
          <w:rStyle w:val="70"/>
          <w:rFonts w:eastAsia="楷体_GB2312"/>
          <w:color w:val="auto"/>
          <w:w w:val="0"/>
          <w:u w:val="none"/>
          <w:lang w:eastAsia="zh-CN"/>
        </w:rPr>
        <w:t>以管理</w:t>
      </w:r>
      <w:r>
        <w:rPr>
          <w:rFonts w:eastAsia="楷体_GB2312"/>
          <w:lang w:eastAsia="zh-CN"/>
        </w:rPr>
        <w:t>“</w:t>
      </w:r>
      <w:r>
        <w:rPr>
          <w:rStyle w:val="70"/>
          <w:rFonts w:eastAsia="楷体_GB2312"/>
          <w:color w:val="auto"/>
          <w:w w:val="0"/>
          <w:u w:val="none"/>
          <w:lang w:eastAsia="zh-CN"/>
        </w:rPr>
        <w:t>收入回收款</w:t>
      </w:r>
      <w:r>
        <w:rPr>
          <w:rFonts w:eastAsia="楷体_GB2312"/>
          <w:lang w:eastAsia="zh-CN"/>
        </w:rPr>
        <w:t>”</w:t>
      </w:r>
      <w:r>
        <w:rPr>
          <w:rStyle w:val="70"/>
          <w:rFonts w:eastAsia="楷体_GB2312"/>
          <w:color w:val="auto"/>
          <w:w w:val="0"/>
          <w:u w:val="none"/>
          <w:lang w:eastAsia="zh-CN"/>
        </w:rPr>
        <w:t>。每个</w:t>
      </w:r>
      <w:r>
        <w:rPr>
          <w:rFonts w:eastAsia="楷体_GB2312"/>
          <w:lang w:eastAsia="zh-CN"/>
        </w:rPr>
        <w:t>“</w:t>
      </w:r>
      <w:r>
        <w:rPr>
          <w:rStyle w:val="70"/>
          <w:rFonts w:eastAsia="楷体_GB2312"/>
          <w:color w:val="auto"/>
          <w:w w:val="0"/>
          <w:u w:val="none"/>
          <w:lang w:eastAsia="zh-CN"/>
        </w:rPr>
        <w:t>回收款转付日</w:t>
      </w:r>
      <w:r>
        <w:rPr>
          <w:rFonts w:eastAsia="楷体_GB2312"/>
          <w:lang w:eastAsia="zh-CN"/>
        </w:rPr>
        <w:t>”</w:t>
      </w:r>
      <w:r>
        <w:rPr>
          <w:rStyle w:val="70"/>
          <w:rFonts w:eastAsia="楷体_GB2312"/>
          <w:color w:val="auto"/>
          <w:w w:val="0"/>
          <w:u w:val="none"/>
          <w:lang w:eastAsia="zh-CN"/>
        </w:rPr>
        <w:t>，</w:t>
      </w:r>
      <w:r>
        <w:rPr>
          <w:rFonts w:eastAsia="楷体_GB2312"/>
          <w:lang w:eastAsia="zh-CN"/>
        </w:rPr>
        <w:t>“</w:t>
      </w:r>
      <w:r>
        <w:rPr>
          <w:rStyle w:val="70"/>
          <w:rFonts w:eastAsia="楷体_GB2312"/>
          <w:color w:val="auto"/>
          <w:w w:val="0"/>
          <w:u w:val="none"/>
          <w:lang w:eastAsia="zh-CN"/>
        </w:rPr>
        <w:t>资金保管机构”应根据</w:t>
      </w:r>
      <w:r>
        <w:rPr>
          <w:rFonts w:eastAsia="楷体_GB2312"/>
          <w:lang w:eastAsia="zh-CN"/>
        </w:rPr>
        <w:t>“</w:t>
      </w:r>
      <w:r>
        <w:rPr>
          <w:rStyle w:val="70"/>
          <w:rFonts w:eastAsia="楷体_GB2312"/>
          <w:color w:val="auto"/>
          <w:w w:val="0"/>
          <w:u w:val="none"/>
          <w:lang w:eastAsia="zh-CN"/>
        </w:rPr>
        <w:t>《服务合同》</w:t>
      </w:r>
      <w:r>
        <w:rPr>
          <w:rFonts w:eastAsia="楷体_GB2312"/>
          <w:lang w:eastAsia="zh-CN"/>
        </w:rPr>
        <w:t>”</w:t>
      </w:r>
      <w:r>
        <w:rPr>
          <w:rStyle w:val="70"/>
          <w:rFonts w:eastAsia="楷体_GB2312"/>
          <w:color w:val="auto"/>
          <w:w w:val="0"/>
          <w:u w:val="none"/>
          <w:lang w:eastAsia="zh-CN"/>
        </w:rPr>
        <w:t>第【】款</w:t>
      </w:r>
      <w:r>
        <w:rPr>
          <w:rFonts w:eastAsia="楷体_GB2312"/>
          <w:bCs/>
          <w:lang w:eastAsia="zh-CN"/>
        </w:rPr>
        <w:t>约</w:t>
      </w:r>
      <w:r>
        <w:rPr>
          <w:rStyle w:val="70"/>
          <w:rFonts w:eastAsia="楷体_GB2312"/>
          <w:color w:val="auto"/>
          <w:w w:val="0"/>
          <w:u w:val="none"/>
          <w:lang w:eastAsia="zh-CN"/>
        </w:rPr>
        <w:t>定的“贷款服务机构</w:t>
      </w:r>
      <w:r>
        <w:rPr>
          <w:rFonts w:eastAsia="楷体_GB2312"/>
          <w:lang w:eastAsia="zh-CN"/>
        </w:rPr>
        <w:t>”</w:t>
      </w:r>
      <w:r>
        <w:rPr>
          <w:rStyle w:val="70"/>
          <w:rFonts w:eastAsia="楷体_GB2312"/>
          <w:color w:val="auto"/>
          <w:w w:val="0"/>
          <w:u w:val="none"/>
          <w:lang w:eastAsia="zh-CN"/>
        </w:rPr>
        <w:t>资金汇划说明将转入</w:t>
      </w:r>
      <w:r>
        <w:rPr>
          <w:rFonts w:eastAsia="楷体_GB2312"/>
          <w:lang w:eastAsia="zh-CN"/>
        </w:rPr>
        <w:t>“</w:t>
      </w:r>
      <w:r>
        <w:rPr>
          <w:rStyle w:val="70"/>
          <w:rFonts w:eastAsia="楷体_GB2312"/>
          <w:color w:val="auto"/>
          <w:w w:val="0"/>
          <w:u w:val="none"/>
          <w:lang w:eastAsia="zh-CN"/>
        </w:rPr>
        <w:t>信托账户</w:t>
      </w:r>
      <w:r>
        <w:rPr>
          <w:rFonts w:eastAsia="楷体_GB2312"/>
          <w:lang w:eastAsia="zh-CN"/>
        </w:rPr>
        <w:t>”</w:t>
      </w:r>
      <w:r>
        <w:rPr>
          <w:rStyle w:val="70"/>
          <w:rFonts w:eastAsia="楷体_GB2312"/>
          <w:color w:val="auto"/>
          <w:w w:val="0"/>
          <w:u w:val="none"/>
          <w:lang w:eastAsia="zh-CN"/>
        </w:rPr>
        <w:t>中的全部</w:t>
      </w:r>
      <w:r>
        <w:rPr>
          <w:rFonts w:eastAsia="楷体_GB2312"/>
          <w:lang w:eastAsia="zh-CN"/>
        </w:rPr>
        <w:t>“</w:t>
      </w:r>
      <w:r>
        <w:rPr>
          <w:rStyle w:val="70"/>
          <w:rFonts w:eastAsia="楷体_GB2312"/>
          <w:color w:val="auto"/>
          <w:w w:val="0"/>
          <w:u w:val="none"/>
          <w:lang w:eastAsia="zh-CN"/>
        </w:rPr>
        <w:t>收入回收款</w:t>
      </w:r>
      <w:r>
        <w:rPr>
          <w:rFonts w:eastAsia="楷体_GB2312"/>
          <w:lang w:eastAsia="zh-CN"/>
        </w:rPr>
        <w:t>”</w:t>
      </w:r>
      <w:r>
        <w:rPr>
          <w:rStyle w:val="70"/>
          <w:rFonts w:eastAsia="楷体_GB2312"/>
          <w:color w:val="auto"/>
          <w:w w:val="0"/>
          <w:u w:val="none"/>
          <w:lang w:eastAsia="zh-CN"/>
        </w:rPr>
        <w:t>以及按照本合同约定转入</w:t>
      </w:r>
      <w:r>
        <w:rPr>
          <w:rFonts w:eastAsia="楷体_GB2312"/>
          <w:lang w:eastAsia="zh-CN"/>
        </w:rPr>
        <w:t>“</w:t>
      </w:r>
      <w:r>
        <w:rPr>
          <w:rStyle w:val="70"/>
          <w:rFonts w:eastAsia="楷体_GB2312"/>
          <w:color w:val="auto"/>
          <w:w w:val="0"/>
          <w:u w:val="none"/>
          <w:lang w:eastAsia="zh-CN"/>
        </w:rPr>
        <w:t>收入分账户</w:t>
      </w:r>
      <w:r>
        <w:rPr>
          <w:rFonts w:eastAsia="楷体_GB2312"/>
          <w:lang w:eastAsia="zh-CN"/>
        </w:rPr>
        <w:t>”</w:t>
      </w:r>
      <w:r>
        <w:rPr>
          <w:rStyle w:val="70"/>
          <w:rFonts w:eastAsia="楷体_GB2312"/>
          <w:color w:val="auto"/>
          <w:w w:val="0"/>
          <w:u w:val="none"/>
          <w:lang w:eastAsia="zh-CN"/>
        </w:rPr>
        <w:t>的资金记入</w:t>
      </w:r>
      <w:r>
        <w:rPr>
          <w:rFonts w:eastAsia="楷体_GB2312"/>
          <w:lang w:eastAsia="zh-CN"/>
        </w:rPr>
        <w:t>“</w:t>
      </w:r>
      <w:r>
        <w:rPr>
          <w:rStyle w:val="70"/>
          <w:rFonts w:eastAsia="楷体_GB2312"/>
          <w:color w:val="auto"/>
          <w:w w:val="0"/>
          <w:u w:val="none"/>
          <w:lang w:eastAsia="zh-CN"/>
        </w:rPr>
        <w:t>收入分账户</w:t>
      </w:r>
      <w:r>
        <w:rPr>
          <w:rFonts w:eastAsia="楷体_GB2312"/>
          <w:lang w:eastAsia="zh-CN"/>
        </w:rPr>
        <w:t>”</w:t>
      </w:r>
      <w:r>
        <w:rPr>
          <w:rStyle w:val="70"/>
          <w:rFonts w:eastAsia="楷体_GB2312"/>
          <w:color w:val="auto"/>
          <w:w w:val="0"/>
          <w:u w:val="none"/>
          <w:lang w:eastAsia="zh-CN"/>
        </w:rPr>
        <w:t>，并按照本合同第</w:t>
      </w:r>
      <w:r>
        <w:rPr>
          <w:rFonts w:eastAsia="楷体_GB2312"/>
        </w:rPr>
        <w:fldChar w:fldCharType="begin"/>
      </w:r>
      <w:r>
        <w:rPr>
          <w:rFonts w:eastAsia="楷体_GB2312"/>
          <w:lang w:eastAsia="zh-CN"/>
        </w:rPr>
        <w:instrText xml:space="preserve"> REF _Ref201563930 \r \h  \* MERGEFORMAT </w:instrText>
      </w:r>
      <w:r>
        <w:rPr>
          <w:rFonts w:eastAsia="楷体_GB2312"/>
        </w:rPr>
        <w:fldChar w:fldCharType="separate"/>
      </w:r>
      <w:r>
        <w:rPr>
          <w:rFonts w:eastAsia="楷体_GB2312"/>
          <w:lang w:eastAsia="zh-CN"/>
        </w:rPr>
        <w:t>9</w:t>
      </w:r>
      <w:r>
        <w:rPr>
          <w:rFonts w:eastAsia="楷体_GB2312"/>
        </w:rPr>
        <w:fldChar w:fldCharType="end"/>
      </w:r>
      <w:r>
        <w:rPr>
          <w:rStyle w:val="70"/>
          <w:rFonts w:eastAsia="楷体_GB2312"/>
          <w:color w:val="auto"/>
          <w:w w:val="0"/>
          <w:u w:val="none"/>
          <w:lang w:eastAsia="zh-CN"/>
        </w:rPr>
        <w:t>条的约定运用</w:t>
      </w:r>
      <w:r>
        <w:rPr>
          <w:rFonts w:eastAsia="楷体_GB2312"/>
          <w:lang w:eastAsia="zh-CN"/>
        </w:rPr>
        <w:t>“</w:t>
      </w:r>
      <w:r>
        <w:rPr>
          <w:rStyle w:val="70"/>
          <w:rFonts w:eastAsia="楷体_GB2312"/>
          <w:color w:val="auto"/>
          <w:w w:val="0"/>
          <w:u w:val="none"/>
          <w:lang w:eastAsia="zh-CN"/>
        </w:rPr>
        <w:t>收入分账户</w:t>
      </w:r>
      <w:r>
        <w:rPr>
          <w:rFonts w:eastAsia="楷体_GB2312"/>
          <w:lang w:eastAsia="zh-CN"/>
        </w:rPr>
        <w:t>”</w:t>
      </w:r>
      <w:r>
        <w:rPr>
          <w:rStyle w:val="70"/>
          <w:rFonts w:eastAsia="楷体_GB2312"/>
          <w:color w:val="auto"/>
          <w:w w:val="0"/>
          <w:u w:val="none"/>
          <w:lang w:eastAsia="zh-CN"/>
        </w:rPr>
        <w:t>项下的资金。</w:t>
      </w:r>
    </w:p>
    <w:p w14:paraId="20316514">
      <w:pPr>
        <w:jc w:val="both"/>
        <w:rPr>
          <w:rFonts w:eastAsia="楷体_GB2312"/>
          <w:lang w:eastAsia="zh-CN"/>
        </w:rPr>
      </w:pPr>
    </w:p>
    <w:p w14:paraId="21FF7786">
      <w:pPr>
        <w:widowControl w:val="0"/>
        <w:numPr>
          <w:ilvl w:val="2"/>
          <w:numId w:val="8"/>
        </w:numPr>
        <w:tabs>
          <w:tab w:val="left" w:pos="1620"/>
        </w:tabs>
        <w:spacing w:line="360" w:lineRule="auto"/>
        <w:ind w:left="1620" w:hanging="769"/>
        <w:jc w:val="both"/>
        <w:rPr>
          <w:rFonts w:eastAsia="楷体_GB2312"/>
          <w:b/>
          <w:lang w:eastAsia="zh-CN"/>
        </w:rPr>
      </w:pPr>
      <w:r>
        <w:rPr>
          <w:rFonts w:eastAsia="楷体_GB2312"/>
          <w:b/>
          <w:lang w:eastAsia="zh-CN"/>
        </w:rPr>
        <w:t>本金分账户</w:t>
      </w:r>
    </w:p>
    <w:p w14:paraId="60991F8D">
      <w:pPr>
        <w:jc w:val="both"/>
        <w:rPr>
          <w:rFonts w:eastAsia="楷体_GB2312"/>
          <w:lang w:eastAsia="zh-CN"/>
        </w:rPr>
      </w:pPr>
    </w:p>
    <w:p w14:paraId="6D5C5630">
      <w:pPr>
        <w:tabs>
          <w:tab w:val="left" w:pos="2160"/>
        </w:tabs>
        <w:spacing w:line="360" w:lineRule="auto"/>
        <w:ind w:left="1560"/>
        <w:jc w:val="both"/>
        <w:rPr>
          <w:rStyle w:val="70"/>
          <w:rFonts w:eastAsia="楷体_GB2312"/>
          <w:color w:val="auto"/>
          <w:w w:val="0"/>
          <w:u w:val="none"/>
          <w:lang w:eastAsia="zh-CN"/>
        </w:rPr>
      </w:pPr>
      <w:r>
        <w:rPr>
          <w:rFonts w:eastAsia="楷体_GB2312"/>
          <w:lang w:eastAsia="zh-CN"/>
        </w:rPr>
        <w:t>“</w:t>
      </w:r>
      <w:r>
        <w:rPr>
          <w:rStyle w:val="70"/>
          <w:rFonts w:eastAsia="楷体_GB2312"/>
          <w:color w:val="auto"/>
          <w:w w:val="0"/>
          <w:u w:val="none"/>
          <w:lang w:eastAsia="zh-CN"/>
        </w:rPr>
        <w:t>受托人</w:t>
      </w:r>
      <w:r>
        <w:rPr>
          <w:rFonts w:eastAsia="楷体_GB2312"/>
          <w:lang w:eastAsia="zh-CN"/>
        </w:rPr>
        <w:t>”</w:t>
      </w:r>
      <w:r>
        <w:rPr>
          <w:rStyle w:val="70"/>
          <w:rFonts w:eastAsia="楷体_GB2312"/>
          <w:color w:val="auto"/>
          <w:w w:val="0"/>
          <w:u w:val="none"/>
          <w:lang w:eastAsia="zh-CN"/>
        </w:rPr>
        <w:t>应开立</w:t>
      </w:r>
      <w:r>
        <w:rPr>
          <w:rFonts w:eastAsia="楷体_GB2312"/>
          <w:lang w:eastAsia="zh-CN"/>
        </w:rPr>
        <w:t>“</w:t>
      </w:r>
      <w:r>
        <w:rPr>
          <w:rStyle w:val="70"/>
          <w:rFonts w:eastAsia="楷体_GB2312"/>
          <w:color w:val="auto"/>
          <w:w w:val="0"/>
          <w:u w:val="none"/>
          <w:lang w:eastAsia="zh-CN"/>
        </w:rPr>
        <w:t>本金分账户</w:t>
      </w:r>
      <w:r>
        <w:rPr>
          <w:rFonts w:eastAsia="楷体_GB2312"/>
          <w:lang w:eastAsia="zh-CN"/>
        </w:rPr>
        <w:t>”</w:t>
      </w:r>
      <w:r>
        <w:rPr>
          <w:rStyle w:val="70"/>
          <w:rFonts w:eastAsia="楷体_GB2312"/>
          <w:color w:val="auto"/>
          <w:w w:val="0"/>
          <w:u w:val="none"/>
          <w:lang w:eastAsia="zh-CN"/>
        </w:rPr>
        <w:t>以管理</w:t>
      </w:r>
      <w:r>
        <w:rPr>
          <w:rFonts w:eastAsia="楷体_GB2312"/>
          <w:lang w:eastAsia="zh-CN"/>
        </w:rPr>
        <w:t>“</w:t>
      </w:r>
      <w:r>
        <w:rPr>
          <w:rStyle w:val="70"/>
          <w:rFonts w:eastAsia="楷体_GB2312"/>
          <w:color w:val="auto"/>
          <w:w w:val="0"/>
          <w:u w:val="none"/>
          <w:lang w:eastAsia="zh-CN"/>
        </w:rPr>
        <w:t>本金回收款</w:t>
      </w:r>
      <w:r>
        <w:rPr>
          <w:rFonts w:eastAsia="楷体_GB2312"/>
          <w:lang w:eastAsia="zh-CN"/>
        </w:rPr>
        <w:t>”</w:t>
      </w:r>
      <w:r>
        <w:rPr>
          <w:rStyle w:val="70"/>
          <w:rFonts w:eastAsia="楷体_GB2312"/>
          <w:color w:val="auto"/>
          <w:w w:val="0"/>
          <w:u w:val="none"/>
          <w:lang w:eastAsia="zh-CN"/>
        </w:rPr>
        <w:t>。每个</w:t>
      </w:r>
      <w:r>
        <w:rPr>
          <w:rFonts w:eastAsia="楷体_GB2312"/>
          <w:lang w:eastAsia="zh-CN"/>
        </w:rPr>
        <w:t>“</w:t>
      </w:r>
      <w:r>
        <w:rPr>
          <w:rStyle w:val="70"/>
          <w:rFonts w:eastAsia="楷体_GB2312"/>
          <w:color w:val="auto"/>
          <w:w w:val="0"/>
          <w:u w:val="none"/>
          <w:lang w:eastAsia="zh-CN"/>
        </w:rPr>
        <w:t>回收款转付日</w:t>
      </w:r>
      <w:r>
        <w:rPr>
          <w:rFonts w:eastAsia="楷体_GB2312"/>
          <w:lang w:eastAsia="zh-CN"/>
        </w:rPr>
        <w:t>”</w:t>
      </w:r>
      <w:r>
        <w:rPr>
          <w:rStyle w:val="70"/>
          <w:rFonts w:eastAsia="楷体_GB2312"/>
          <w:color w:val="auto"/>
          <w:w w:val="0"/>
          <w:u w:val="none"/>
          <w:lang w:eastAsia="zh-CN"/>
        </w:rPr>
        <w:t>，</w:t>
      </w:r>
      <w:r>
        <w:rPr>
          <w:rFonts w:eastAsia="楷体_GB2312"/>
          <w:lang w:eastAsia="zh-CN"/>
        </w:rPr>
        <w:t>“</w:t>
      </w:r>
      <w:r>
        <w:rPr>
          <w:rStyle w:val="70"/>
          <w:rFonts w:eastAsia="楷体_GB2312"/>
          <w:color w:val="auto"/>
          <w:w w:val="0"/>
          <w:u w:val="none"/>
          <w:lang w:eastAsia="zh-CN"/>
        </w:rPr>
        <w:t>资金保管机构</w:t>
      </w:r>
      <w:r>
        <w:rPr>
          <w:rFonts w:eastAsia="楷体_GB2312"/>
          <w:lang w:eastAsia="zh-CN"/>
        </w:rPr>
        <w:t>”</w:t>
      </w:r>
      <w:r>
        <w:rPr>
          <w:rStyle w:val="70"/>
          <w:rFonts w:eastAsia="楷体_GB2312"/>
          <w:color w:val="auto"/>
          <w:w w:val="0"/>
          <w:u w:val="none"/>
          <w:lang w:eastAsia="zh-CN"/>
        </w:rPr>
        <w:t>应根据</w:t>
      </w:r>
      <w:r>
        <w:rPr>
          <w:rFonts w:eastAsia="楷体_GB2312"/>
          <w:lang w:eastAsia="zh-CN"/>
        </w:rPr>
        <w:t>“</w:t>
      </w:r>
      <w:r>
        <w:rPr>
          <w:rStyle w:val="70"/>
          <w:rFonts w:eastAsia="楷体_GB2312"/>
          <w:color w:val="auto"/>
          <w:w w:val="0"/>
          <w:u w:val="none"/>
          <w:lang w:eastAsia="zh-CN"/>
        </w:rPr>
        <w:t>《服务合同》</w:t>
      </w:r>
      <w:r>
        <w:rPr>
          <w:rFonts w:eastAsia="楷体_GB2312"/>
          <w:lang w:eastAsia="zh-CN"/>
        </w:rPr>
        <w:t>”</w:t>
      </w:r>
      <w:r>
        <w:rPr>
          <w:rStyle w:val="70"/>
          <w:rFonts w:eastAsia="楷体_GB2312"/>
          <w:color w:val="auto"/>
          <w:w w:val="0"/>
          <w:u w:val="none"/>
          <w:lang w:eastAsia="zh-CN"/>
        </w:rPr>
        <w:t>第【】款</w:t>
      </w:r>
      <w:r>
        <w:rPr>
          <w:rFonts w:eastAsia="楷体_GB2312"/>
          <w:bCs/>
          <w:lang w:eastAsia="zh-CN"/>
        </w:rPr>
        <w:t>约</w:t>
      </w:r>
      <w:r>
        <w:rPr>
          <w:rStyle w:val="70"/>
          <w:rFonts w:eastAsia="楷体_GB2312"/>
          <w:color w:val="auto"/>
          <w:w w:val="0"/>
          <w:u w:val="none"/>
          <w:lang w:eastAsia="zh-CN"/>
        </w:rPr>
        <w:t>定的</w:t>
      </w:r>
      <w:r>
        <w:rPr>
          <w:rFonts w:eastAsia="楷体_GB2312"/>
          <w:lang w:eastAsia="zh-CN"/>
        </w:rPr>
        <w:t>“</w:t>
      </w:r>
      <w:r>
        <w:rPr>
          <w:rStyle w:val="70"/>
          <w:rFonts w:eastAsia="楷体_GB2312"/>
          <w:color w:val="auto"/>
          <w:w w:val="0"/>
          <w:u w:val="none"/>
          <w:lang w:eastAsia="zh-CN"/>
        </w:rPr>
        <w:t>贷款服务机构</w:t>
      </w:r>
      <w:r>
        <w:rPr>
          <w:rFonts w:eastAsia="楷体_GB2312"/>
          <w:lang w:eastAsia="zh-CN"/>
        </w:rPr>
        <w:t>”</w:t>
      </w:r>
      <w:r>
        <w:rPr>
          <w:rStyle w:val="70"/>
          <w:rFonts w:eastAsia="楷体_GB2312"/>
          <w:color w:val="auto"/>
          <w:w w:val="0"/>
          <w:u w:val="none"/>
          <w:lang w:eastAsia="zh-CN"/>
        </w:rPr>
        <w:t>资金汇划说明将转入</w:t>
      </w:r>
      <w:r>
        <w:rPr>
          <w:rFonts w:eastAsia="楷体_GB2312"/>
          <w:lang w:eastAsia="zh-CN"/>
        </w:rPr>
        <w:t>“</w:t>
      </w:r>
      <w:r>
        <w:rPr>
          <w:rStyle w:val="70"/>
          <w:rFonts w:eastAsia="楷体_GB2312"/>
          <w:color w:val="auto"/>
          <w:w w:val="0"/>
          <w:u w:val="none"/>
          <w:lang w:eastAsia="zh-CN"/>
        </w:rPr>
        <w:t>信托账户</w:t>
      </w:r>
      <w:r>
        <w:rPr>
          <w:rFonts w:eastAsia="楷体_GB2312"/>
          <w:lang w:eastAsia="zh-CN"/>
        </w:rPr>
        <w:t>”</w:t>
      </w:r>
      <w:r>
        <w:rPr>
          <w:rStyle w:val="70"/>
          <w:rFonts w:eastAsia="楷体_GB2312"/>
          <w:color w:val="auto"/>
          <w:w w:val="0"/>
          <w:u w:val="none"/>
          <w:lang w:eastAsia="zh-CN"/>
        </w:rPr>
        <w:t>中的全部</w:t>
      </w:r>
      <w:r>
        <w:rPr>
          <w:rFonts w:eastAsia="楷体_GB2312"/>
          <w:lang w:eastAsia="zh-CN"/>
        </w:rPr>
        <w:t>“</w:t>
      </w:r>
      <w:r>
        <w:rPr>
          <w:rStyle w:val="70"/>
          <w:rFonts w:eastAsia="楷体_GB2312"/>
          <w:color w:val="auto"/>
          <w:w w:val="0"/>
          <w:u w:val="none"/>
          <w:lang w:eastAsia="zh-CN"/>
        </w:rPr>
        <w:t>本金回收款</w:t>
      </w:r>
      <w:r>
        <w:rPr>
          <w:rFonts w:eastAsia="楷体_GB2312"/>
          <w:lang w:eastAsia="zh-CN"/>
        </w:rPr>
        <w:t>”</w:t>
      </w:r>
      <w:r>
        <w:rPr>
          <w:rStyle w:val="70"/>
          <w:rFonts w:eastAsia="楷体_GB2312"/>
          <w:color w:val="auto"/>
          <w:w w:val="0"/>
          <w:u w:val="none"/>
          <w:lang w:eastAsia="zh-CN"/>
        </w:rPr>
        <w:t>以及按照本合同约定转入</w:t>
      </w:r>
      <w:r>
        <w:rPr>
          <w:rFonts w:eastAsia="楷体_GB2312"/>
          <w:lang w:eastAsia="zh-CN"/>
        </w:rPr>
        <w:t>“</w:t>
      </w:r>
      <w:r>
        <w:rPr>
          <w:rStyle w:val="70"/>
          <w:rFonts w:eastAsia="楷体_GB2312"/>
          <w:color w:val="auto"/>
          <w:w w:val="0"/>
          <w:u w:val="none"/>
          <w:lang w:eastAsia="zh-CN"/>
        </w:rPr>
        <w:t>本金分账户</w:t>
      </w:r>
      <w:r>
        <w:rPr>
          <w:rFonts w:eastAsia="楷体_GB2312"/>
          <w:lang w:eastAsia="zh-CN"/>
        </w:rPr>
        <w:t>”</w:t>
      </w:r>
      <w:r>
        <w:rPr>
          <w:rStyle w:val="70"/>
          <w:rFonts w:eastAsia="楷体_GB2312"/>
          <w:color w:val="auto"/>
          <w:w w:val="0"/>
          <w:u w:val="none"/>
          <w:lang w:eastAsia="zh-CN"/>
        </w:rPr>
        <w:t>的资金记入</w:t>
      </w:r>
      <w:r>
        <w:rPr>
          <w:rFonts w:eastAsia="楷体_GB2312"/>
          <w:lang w:eastAsia="zh-CN"/>
        </w:rPr>
        <w:t>“</w:t>
      </w:r>
      <w:r>
        <w:rPr>
          <w:rStyle w:val="70"/>
          <w:rFonts w:eastAsia="楷体_GB2312"/>
          <w:color w:val="auto"/>
          <w:w w:val="0"/>
          <w:u w:val="none"/>
          <w:lang w:eastAsia="zh-CN"/>
        </w:rPr>
        <w:t>本金分账户</w:t>
      </w:r>
      <w:r>
        <w:rPr>
          <w:rFonts w:eastAsia="楷体_GB2312"/>
          <w:lang w:eastAsia="zh-CN"/>
        </w:rPr>
        <w:t>”</w:t>
      </w:r>
      <w:r>
        <w:rPr>
          <w:rStyle w:val="70"/>
          <w:rFonts w:eastAsia="楷体_GB2312"/>
          <w:color w:val="auto"/>
          <w:w w:val="0"/>
          <w:u w:val="none"/>
          <w:lang w:eastAsia="zh-CN"/>
        </w:rPr>
        <w:t>，并按照本合同第</w:t>
      </w:r>
      <w:r>
        <w:rPr>
          <w:rFonts w:eastAsia="楷体_GB2312"/>
        </w:rPr>
        <w:fldChar w:fldCharType="begin"/>
      </w:r>
      <w:r>
        <w:rPr>
          <w:rFonts w:eastAsia="楷体_GB2312"/>
          <w:lang w:eastAsia="zh-CN"/>
        </w:rPr>
        <w:instrText xml:space="preserve"> REF _Ref201563930 \r \h  \* MERGEFORMAT </w:instrText>
      </w:r>
      <w:r>
        <w:rPr>
          <w:rFonts w:eastAsia="楷体_GB2312"/>
        </w:rPr>
        <w:fldChar w:fldCharType="separate"/>
      </w:r>
      <w:r>
        <w:rPr>
          <w:rFonts w:eastAsia="楷体_GB2312"/>
          <w:lang w:eastAsia="zh-CN"/>
        </w:rPr>
        <w:t>9</w:t>
      </w:r>
      <w:r>
        <w:rPr>
          <w:rFonts w:eastAsia="楷体_GB2312"/>
        </w:rPr>
        <w:fldChar w:fldCharType="end"/>
      </w:r>
      <w:r>
        <w:rPr>
          <w:rStyle w:val="70"/>
          <w:rFonts w:eastAsia="楷体_GB2312"/>
          <w:color w:val="auto"/>
          <w:w w:val="0"/>
          <w:u w:val="none"/>
          <w:lang w:eastAsia="zh-CN"/>
        </w:rPr>
        <w:t>条的约定运用</w:t>
      </w:r>
      <w:r>
        <w:rPr>
          <w:rFonts w:eastAsia="楷体_GB2312"/>
          <w:lang w:eastAsia="zh-CN"/>
        </w:rPr>
        <w:t>“</w:t>
      </w:r>
      <w:r>
        <w:rPr>
          <w:rStyle w:val="70"/>
          <w:rFonts w:eastAsia="楷体_GB2312"/>
          <w:color w:val="auto"/>
          <w:w w:val="0"/>
          <w:u w:val="none"/>
          <w:lang w:eastAsia="zh-CN"/>
        </w:rPr>
        <w:t>本金分账户</w:t>
      </w:r>
      <w:r>
        <w:rPr>
          <w:rFonts w:eastAsia="楷体_GB2312"/>
          <w:lang w:eastAsia="zh-CN"/>
        </w:rPr>
        <w:t>”</w:t>
      </w:r>
      <w:r>
        <w:rPr>
          <w:rStyle w:val="70"/>
          <w:rFonts w:eastAsia="楷体_GB2312"/>
          <w:color w:val="auto"/>
          <w:w w:val="0"/>
          <w:u w:val="none"/>
          <w:lang w:eastAsia="zh-CN"/>
        </w:rPr>
        <w:t>项下的资金。</w:t>
      </w:r>
    </w:p>
    <w:p w14:paraId="0A6353D8">
      <w:pPr>
        <w:jc w:val="both"/>
        <w:rPr>
          <w:rFonts w:eastAsia="楷体_GB2312"/>
          <w:lang w:eastAsia="zh-CN"/>
        </w:rPr>
      </w:pPr>
    </w:p>
    <w:p w14:paraId="1F94483B">
      <w:pPr>
        <w:widowControl w:val="0"/>
        <w:numPr>
          <w:ilvl w:val="1"/>
          <w:numId w:val="8"/>
        </w:numPr>
        <w:tabs>
          <w:tab w:val="left" w:pos="900"/>
        </w:tabs>
        <w:spacing w:line="360" w:lineRule="auto"/>
        <w:jc w:val="both"/>
        <w:outlineLvl w:val="1"/>
        <w:rPr>
          <w:rFonts w:eastAsia="楷体_GB2312"/>
          <w:b/>
          <w:lang w:eastAsia="zh-CN"/>
        </w:rPr>
      </w:pPr>
      <w:r>
        <w:rPr>
          <w:rFonts w:eastAsia="楷体_GB2312"/>
          <w:b/>
          <w:lang w:eastAsia="zh-CN"/>
        </w:rPr>
        <w:t>“信托付款账户”、“信托（流动性）储备账户”、“信托（服务转移和通知）储备账户”、“信托（混同）储备账户”和“信托（税收）储备账户”</w:t>
      </w:r>
    </w:p>
    <w:p w14:paraId="16A3D335">
      <w:pPr>
        <w:pStyle w:val="40"/>
        <w:tabs>
          <w:tab w:val="left" w:pos="2160"/>
        </w:tabs>
        <w:spacing w:line="360" w:lineRule="auto"/>
        <w:ind w:left="425" w:firstLine="482"/>
        <w:jc w:val="both"/>
        <w:rPr>
          <w:rFonts w:eastAsia="楷体_GB2312"/>
          <w:color w:val="FF0000"/>
          <w:lang w:eastAsia="zh-CN"/>
        </w:rPr>
      </w:pPr>
      <w:r>
        <w:rPr>
          <w:rFonts w:eastAsia="楷体_GB2312"/>
          <w:b/>
          <w:bCs/>
          <w:i/>
          <w:iCs/>
          <w:color w:val="FF0000"/>
          <w:lang w:eastAsia="zh-CN"/>
        </w:rPr>
        <w:t>【注：账户设置可视项目实际情况调整。】</w:t>
      </w:r>
    </w:p>
    <w:p w14:paraId="25EA4E94">
      <w:pPr>
        <w:jc w:val="both"/>
        <w:rPr>
          <w:rFonts w:eastAsia="楷体_GB2312"/>
          <w:lang w:eastAsia="zh-CN"/>
        </w:rPr>
      </w:pPr>
    </w:p>
    <w:p w14:paraId="28D551B1">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受托人”应当将按照本合同约定转入“信托付款账户”、“信托（流动性）储备账户”、“信托（服务转移和通知）储备账户”、“信托（混同）储备账户”和“信托（税收）储备账户”的资金分别记入“信托付款账户”、“信托（流动性）储备账户”、“信托（服务转移和通知）储备账户”、“信托（混同）储备账户”和“信托（税收）储备账户”，并按照本合同第</w:t>
      </w:r>
      <w:r>
        <w:rPr>
          <w:rFonts w:eastAsia="楷体_GB2312"/>
        </w:rPr>
        <w:fldChar w:fldCharType="begin"/>
      </w:r>
      <w:r>
        <w:rPr>
          <w:rFonts w:eastAsia="楷体_GB2312"/>
          <w:lang w:eastAsia="zh-CN"/>
        </w:rPr>
        <w:instrText xml:space="preserve"> REF _Ref201563930 \r \h  \* MERGEFORMAT </w:instrText>
      </w:r>
      <w:r>
        <w:rPr>
          <w:rFonts w:eastAsia="楷体_GB2312"/>
        </w:rPr>
        <w:fldChar w:fldCharType="separate"/>
      </w:r>
      <w:r>
        <w:rPr>
          <w:rFonts w:eastAsia="楷体_GB2312"/>
          <w:lang w:eastAsia="zh-CN"/>
        </w:rPr>
        <w:t>9</w:t>
      </w:r>
      <w:r>
        <w:rPr>
          <w:rFonts w:eastAsia="楷体_GB2312"/>
        </w:rPr>
        <w:fldChar w:fldCharType="end"/>
      </w:r>
      <w:r>
        <w:rPr>
          <w:rFonts w:eastAsia="楷体_GB2312"/>
          <w:lang w:eastAsia="zh-CN"/>
        </w:rPr>
        <w:t>条的约定分别运用“信托付款账户”、“信托（流动性）储备账户”、“信托（服务转移和通知）储备账户”、“信托（混同）储备账户”和“信托（税收）储备账户”项下的资金。</w:t>
      </w:r>
    </w:p>
    <w:p w14:paraId="1AABC98C">
      <w:pPr>
        <w:jc w:val="both"/>
        <w:rPr>
          <w:rFonts w:eastAsia="楷体_GB2312"/>
          <w:lang w:eastAsia="zh-CN"/>
        </w:rPr>
      </w:pPr>
    </w:p>
    <w:p w14:paraId="4B5FB5F5">
      <w:pPr>
        <w:widowControl w:val="0"/>
        <w:numPr>
          <w:ilvl w:val="2"/>
          <w:numId w:val="8"/>
        </w:numPr>
        <w:tabs>
          <w:tab w:val="left" w:pos="1620"/>
        </w:tabs>
        <w:spacing w:line="360" w:lineRule="auto"/>
        <w:ind w:left="1620" w:hanging="769"/>
        <w:jc w:val="both"/>
        <w:rPr>
          <w:rFonts w:eastAsia="楷体_GB2312"/>
          <w:b/>
          <w:lang w:eastAsia="zh-CN"/>
        </w:rPr>
      </w:pPr>
      <w:r>
        <w:rPr>
          <w:rFonts w:eastAsia="楷体_GB2312"/>
          <w:b/>
          <w:lang w:eastAsia="zh-CN"/>
        </w:rPr>
        <w:t>“信托付款账户”、“信托（流动性）储备账户”、“信托（服务</w:t>
      </w:r>
      <w:r>
        <w:rPr>
          <w:rFonts w:eastAsia="楷体_GB2312"/>
          <w:lang w:eastAsia="zh-CN"/>
        </w:rPr>
        <w:t>转移</w:t>
      </w:r>
      <w:r>
        <w:rPr>
          <w:rFonts w:eastAsia="楷体_GB2312"/>
          <w:b/>
          <w:lang w:eastAsia="zh-CN"/>
        </w:rPr>
        <w:t>和通知）储备账户”和“信托（税收）储备账户”的资金来源</w:t>
      </w:r>
    </w:p>
    <w:p w14:paraId="31D45764">
      <w:pPr>
        <w:pStyle w:val="40"/>
        <w:ind w:firstLine="480"/>
        <w:jc w:val="both"/>
        <w:rPr>
          <w:rFonts w:eastAsia="楷体_GB2312"/>
          <w:lang w:eastAsia="zh-CN"/>
        </w:rPr>
      </w:pPr>
    </w:p>
    <w:p w14:paraId="3A295392">
      <w:pPr>
        <w:tabs>
          <w:tab w:val="left" w:pos="2160"/>
        </w:tabs>
        <w:spacing w:line="360" w:lineRule="auto"/>
        <w:ind w:left="1560"/>
        <w:jc w:val="both"/>
        <w:rPr>
          <w:rFonts w:eastAsia="楷体_GB2312"/>
          <w:lang w:eastAsia="zh-CN"/>
        </w:rPr>
      </w:pPr>
      <w:r>
        <w:rPr>
          <w:rFonts w:eastAsia="楷体_GB2312"/>
          <w:lang w:eastAsia="zh-CN"/>
        </w:rPr>
        <w:t>“信托付款账户”、“信托（流动性）储备账户”、“信托（服务转移和通知）储备账户”和“信托（税收）储备账户”应根据本合同从“信托收款账户”中取得资金。</w:t>
      </w:r>
    </w:p>
    <w:p w14:paraId="5E77E360">
      <w:pPr>
        <w:pStyle w:val="40"/>
        <w:ind w:firstLine="480"/>
        <w:jc w:val="both"/>
        <w:rPr>
          <w:rFonts w:eastAsia="楷体_GB2312"/>
          <w:lang w:eastAsia="zh-CN"/>
        </w:rPr>
      </w:pPr>
    </w:p>
    <w:p w14:paraId="385AC3D3">
      <w:pPr>
        <w:widowControl w:val="0"/>
        <w:numPr>
          <w:ilvl w:val="2"/>
          <w:numId w:val="8"/>
        </w:numPr>
        <w:tabs>
          <w:tab w:val="left" w:pos="1620"/>
        </w:tabs>
        <w:spacing w:line="360" w:lineRule="auto"/>
        <w:ind w:left="1620" w:hanging="769"/>
        <w:jc w:val="both"/>
        <w:rPr>
          <w:rFonts w:eastAsia="楷体_GB2312"/>
          <w:b/>
          <w:lang w:eastAsia="zh-CN"/>
        </w:rPr>
      </w:pPr>
      <w:r>
        <w:rPr>
          <w:rFonts w:eastAsia="楷体_GB2312"/>
          <w:b/>
          <w:bCs/>
          <w:lang w:eastAsia="zh-CN"/>
        </w:rPr>
        <w:t>信托</w:t>
      </w:r>
      <w:r>
        <w:rPr>
          <w:rFonts w:eastAsia="楷体_GB2312"/>
          <w:b/>
          <w:lang w:eastAsia="zh-CN"/>
        </w:rPr>
        <w:t>（混同）储备账户的资金来源</w:t>
      </w:r>
    </w:p>
    <w:p w14:paraId="0D17495A">
      <w:pPr>
        <w:pStyle w:val="40"/>
        <w:ind w:firstLine="482"/>
        <w:jc w:val="both"/>
        <w:rPr>
          <w:rFonts w:eastAsia="楷体_GB2312"/>
          <w:b/>
          <w:lang w:eastAsia="zh-CN"/>
        </w:rPr>
      </w:pPr>
    </w:p>
    <w:p w14:paraId="5165B10D">
      <w:pPr>
        <w:tabs>
          <w:tab w:val="left" w:pos="2160"/>
        </w:tabs>
        <w:spacing w:line="360" w:lineRule="auto"/>
        <w:ind w:left="1560"/>
        <w:jc w:val="both"/>
        <w:rPr>
          <w:rFonts w:eastAsia="楷体_GB2312"/>
          <w:lang w:eastAsia="zh-CN"/>
        </w:rPr>
      </w:pPr>
      <w:r>
        <w:rPr>
          <w:rFonts w:eastAsia="楷体_GB2312"/>
          <w:lang w:eastAsia="zh-CN"/>
        </w:rPr>
        <w:t>当“贷款服务机构”不具备任一“评级机构”给予的“必备评级等级”时，“贷款服务机构”应当于【】个“工作日”内向“信托（混同）储备账户”提供相当于“混同储备金额”的资金。</w:t>
      </w:r>
    </w:p>
    <w:bookmarkEnd w:id="315"/>
    <w:p w14:paraId="454611C5">
      <w:pPr>
        <w:spacing w:line="360" w:lineRule="auto"/>
        <w:jc w:val="both"/>
        <w:rPr>
          <w:rFonts w:eastAsia="楷体_GB2312"/>
          <w:b/>
          <w:lang w:eastAsia="zh-CN"/>
        </w:rPr>
      </w:pPr>
    </w:p>
    <w:p w14:paraId="2C248870">
      <w:pPr>
        <w:widowControl w:val="0"/>
        <w:numPr>
          <w:ilvl w:val="0"/>
          <w:numId w:val="8"/>
        </w:numPr>
        <w:spacing w:line="360" w:lineRule="auto"/>
        <w:jc w:val="both"/>
        <w:outlineLvl w:val="0"/>
        <w:rPr>
          <w:rFonts w:eastAsia="楷体_GB2312"/>
          <w:b/>
          <w:lang w:eastAsia="zh-CN"/>
        </w:rPr>
      </w:pPr>
      <w:bookmarkStart w:id="316" w:name="_Toc69138586"/>
      <w:bookmarkStart w:id="317" w:name="_Toc75510468"/>
      <w:bookmarkStart w:id="318" w:name="_Toc166105869"/>
      <w:bookmarkStart w:id="319" w:name="_Toc201569420"/>
      <w:bookmarkStart w:id="320" w:name="_Toc454484856"/>
      <w:bookmarkStart w:id="321" w:name="_Toc227955283"/>
      <w:bookmarkStart w:id="322" w:name="_Ref201563930"/>
      <w:bookmarkStart w:id="323" w:name="_Toc207007306"/>
      <w:r>
        <w:rPr>
          <w:rFonts w:eastAsia="楷体_GB2312"/>
          <w:b/>
          <w:lang w:eastAsia="zh-CN"/>
        </w:rPr>
        <w:t>回收款的转付、核算与分配</w:t>
      </w:r>
      <w:bookmarkEnd w:id="316"/>
      <w:bookmarkEnd w:id="317"/>
      <w:bookmarkEnd w:id="318"/>
      <w:bookmarkEnd w:id="319"/>
      <w:bookmarkEnd w:id="320"/>
      <w:bookmarkEnd w:id="321"/>
      <w:bookmarkEnd w:id="322"/>
      <w:bookmarkEnd w:id="323"/>
    </w:p>
    <w:p w14:paraId="1092EA50">
      <w:pPr>
        <w:tabs>
          <w:tab w:val="left" w:pos="6237"/>
        </w:tabs>
        <w:spacing w:line="360" w:lineRule="auto"/>
        <w:jc w:val="both"/>
        <w:rPr>
          <w:rFonts w:eastAsia="楷体_GB2312"/>
          <w:b/>
          <w:lang w:eastAsia="zh-CN"/>
        </w:rPr>
      </w:pPr>
    </w:p>
    <w:p w14:paraId="6F33A653">
      <w:pPr>
        <w:widowControl w:val="0"/>
        <w:numPr>
          <w:ilvl w:val="1"/>
          <w:numId w:val="8"/>
        </w:numPr>
        <w:spacing w:line="360" w:lineRule="auto"/>
        <w:jc w:val="both"/>
        <w:outlineLvl w:val="1"/>
        <w:rPr>
          <w:rFonts w:eastAsia="楷体_GB2312"/>
          <w:b/>
          <w:lang w:eastAsia="zh-CN"/>
        </w:rPr>
      </w:pPr>
      <w:r>
        <w:rPr>
          <w:rFonts w:eastAsia="楷体_GB2312"/>
          <w:b/>
          <w:lang w:eastAsia="zh-CN"/>
        </w:rPr>
        <w:t>回收款的转付</w:t>
      </w:r>
    </w:p>
    <w:p w14:paraId="2B809EE3">
      <w:pPr>
        <w:pStyle w:val="40"/>
        <w:tabs>
          <w:tab w:val="left" w:pos="2160"/>
        </w:tabs>
        <w:spacing w:line="360" w:lineRule="auto"/>
        <w:ind w:left="905" w:leftChars="377" w:firstLine="0" w:firstLineChars="0"/>
        <w:jc w:val="both"/>
        <w:rPr>
          <w:rFonts w:eastAsia="楷体_GB2312"/>
          <w:color w:val="FF0000"/>
          <w:lang w:eastAsia="zh-CN"/>
        </w:rPr>
      </w:pPr>
      <w:r>
        <w:rPr>
          <w:rFonts w:eastAsia="楷体_GB2312"/>
          <w:b/>
          <w:bCs/>
          <w:i/>
          <w:iCs/>
          <w:color w:val="FF0000"/>
          <w:lang w:eastAsia="zh-CN"/>
        </w:rPr>
        <w:t>【注：账户设置可视项目实际情况调整。】</w:t>
      </w:r>
    </w:p>
    <w:p w14:paraId="005C3120">
      <w:pPr>
        <w:spacing w:line="360" w:lineRule="auto"/>
        <w:ind w:left="425"/>
        <w:jc w:val="both"/>
        <w:rPr>
          <w:rFonts w:eastAsia="楷体_GB2312"/>
          <w:b/>
        </w:rPr>
      </w:pPr>
    </w:p>
    <w:p w14:paraId="6BD5571D">
      <w:pPr>
        <w:widowControl w:val="0"/>
        <w:numPr>
          <w:ilvl w:val="2"/>
          <w:numId w:val="8"/>
        </w:numPr>
        <w:tabs>
          <w:tab w:val="left" w:pos="1620"/>
        </w:tabs>
        <w:spacing w:line="360" w:lineRule="auto"/>
        <w:ind w:left="1620" w:hanging="769"/>
        <w:jc w:val="both"/>
        <w:rPr>
          <w:rFonts w:eastAsia="楷体_GB2312"/>
          <w:b/>
          <w:lang w:eastAsia="zh-CN"/>
        </w:rPr>
      </w:pPr>
      <w:r>
        <w:rPr>
          <w:rFonts w:eastAsia="楷体_GB2312"/>
          <w:lang w:eastAsia="zh-CN"/>
        </w:rPr>
        <w:t>“受托人”应授权并要求“贷款服务机构”按照“《服务合同》”的相关约定，于每个“回收款转付日”</w:t>
      </w:r>
      <w:r>
        <w:rPr>
          <w:rFonts w:hint="eastAsia" w:eastAsia="楷体_GB2312"/>
          <w:lang w:eastAsia="zh-CN"/>
        </w:rPr>
        <w:t>【</w:t>
      </w:r>
      <w:r>
        <w:rPr>
          <w:rFonts w:hint="eastAsia" w:eastAsia="楷体_GB2312"/>
          <w:i/>
          <w:iCs/>
          <w:lang w:eastAsia="zh-CN"/>
        </w:rPr>
        <w:t>具体时点</w:t>
      </w:r>
      <w:r>
        <w:rPr>
          <w:rFonts w:hint="eastAsia" w:eastAsia="楷体_GB2312"/>
          <w:lang w:eastAsia="zh-CN"/>
        </w:rPr>
        <w:t>】</w:t>
      </w:r>
      <w:r>
        <w:rPr>
          <w:rFonts w:eastAsia="楷体_GB2312"/>
          <w:lang w:eastAsia="zh-CN"/>
        </w:rPr>
        <w:t>前将当期已收到并扣除“执行费用”、“贷款服务机构”在回收“个人汽车贷款”时因委托银行扣款而产生的手续费以及“贷款服务机构”就“基础资产”收到的“回收款”而实际缴纳的增值税及附加（如有）后的全部“回收款”转入“信托账户”。在每个“回收款转付日”“贷款服务机构”转付“回收款”以前，“回收款”在“贷款服务机构”的账户产生的任何利息作为“贷款服务机构”的“服务报酬”的一部分，应在“《服务合同》”中明确约定。</w:t>
      </w:r>
    </w:p>
    <w:p w14:paraId="727BE01B">
      <w:pPr>
        <w:spacing w:line="360" w:lineRule="auto"/>
        <w:jc w:val="both"/>
        <w:rPr>
          <w:rFonts w:eastAsia="楷体_GB2312"/>
          <w:b/>
          <w:lang w:eastAsia="zh-CN"/>
        </w:rPr>
      </w:pPr>
    </w:p>
    <w:p w14:paraId="15515BAE">
      <w:pPr>
        <w:widowControl w:val="0"/>
        <w:numPr>
          <w:ilvl w:val="2"/>
          <w:numId w:val="8"/>
        </w:numPr>
        <w:tabs>
          <w:tab w:val="left" w:pos="1620"/>
        </w:tabs>
        <w:spacing w:line="360" w:lineRule="auto"/>
        <w:ind w:left="1620" w:hanging="769"/>
        <w:jc w:val="both"/>
        <w:rPr>
          <w:rFonts w:eastAsia="楷体_GB2312"/>
          <w:b/>
          <w:lang w:eastAsia="zh-CN"/>
        </w:rPr>
      </w:pPr>
      <w:r>
        <w:rPr>
          <w:rFonts w:eastAsia="楷体_GB2312"/>
          <w:lang w:eastAsia="zh-CN"/>
        </w:rPr>
        <w:t>“受托人”应授权并要求</w:t>
      </w:r>
      <w:r>
        <w:rPr>
          <w:rFonts w:eastAsia="楷体_GB2312"/>
          <w:bCs/>
          <w:lang w:eastAsia="zh-CN"/>
        </w:rPr>
        <w:t>“资金保管机构”按照</w:t>
      </w:r>
      <w:r>
        <w:rPr>
          <w:rFonts w:eastAsia="楷体_GB2312"/>
          <w:lang w:eastAsia="zh-CN"/>
        </w:rPr>
        <w:t>“《资金保管合同》”的相关约定</w:t>
      </w:r>
      <w:r>
        <w:rPr>
          <w:rFonts w:eastAsia="楷体_GB2312"/>
          <w:bCs/>
          <w:lang w:eastAsia="zh-CN"/>
        </w:rPr>
        <w:t>于</w:t>
      </w:r>
      <w:r>
        <w:rPr>
          <w:rFonts w:eastAsia="楷体_GB2312"/>
          <w:w w:val="0"/>
          <w:lang w:val="en-GB" w:eastAsia="zh-CN"/>
        </w:rPr>
        <w:t>每个</w:t>
      </w:r>
      <w:r>
        <w:rPr>
          <w:rFonts w:eastAsia="楷体_GB2312"/>
          <w:lang w:eastAsia="zh-CN"/>
        </w:rPr>
        <w:t>“服务机构报告日”当日或之前根据“贷款服务机构”</w:t>
      </w:r>
      <w:r>
        <w:rPr>
          <w:rFonts w:eastAsia="楷体_GB2312"/>
          <w:bCs/>
          <w:lang w:eastAsia="zh-CN"/>
        </w:rPr>
        <w:t>的</w:t>
      </w:r>
      <w:r>
        <w:rPr>
          <w:rFonts w:eastAsia="楷体_GB2312"/>
          <w:lang w:eastAsia="zh-CN"/>
        </w:rPr>
        <w:t>“</w:t>
      </w:r>
      <w:r>
        <w:rPr>
          <w:rFonts w:eastAsia="楷体_GB2312"/>
          <w:bCs/>
          <w:lang w:eastAsia="zh-CN"/>
        </w:rPr>
        <w:t>月度服务机构报告</w:t>
      </w:r>
      <w:r>
        <w:rPr>
          <w:rFonts w:eastAsia="楷体_GB2312"/>
          <w:lang w:eastAsia="zh-CN"/>
        </w:rPr>
        <w:t>”</w:t>
      </w:r>
      <w:r>
        <w:rPr>
          <w:rFonts w:eastAsia="楷体_GB2312"/>
          <w:bCs/>
          <w:lang w:eastAsia="zh-CN"/>
        </w:rPr>
        <w:t>或双方认可的其他形式说明，将“信托账户”收到的“回收款”分别记入“信托收款账户”项下的“</w:t>
      </w:r>
      <w:r>
        <w:rPr>
          <w:rFonts w:eastAsia="楷体_GB2312"/>
          <w:lang w:eastAsia="zh-CN"/>
        </w:rPr>
        <w:t>收入分账户”和“本金分账户”。</w:t>
      </w:r>
    </w:p>
    <w:p w14:paraId="6D36DD07">
      <w:pPr>
        <w:spacing w:line="360" w:lineRule="auto"/>
        <w:ind w:left="425"/>
        <w:jc w:val="both"/>
        <w:rPr>
          <w:rFonts w:eastAsia="楷体_GB2312"/>
          <w:b/>
          <w:lang w:eastAsia="zh-CN"/>
        </w:rPr>
      </w:pPr>
    </w:p>
    <w:p w14:paraId="6CCA45EF">
      <w:pPr>
        <w:widowControl w:val="0"/>
        <w:numPr>
          <w:ilvl w:val="1"/>
          <w:numId w:val="8"/>
        </w:numPr>
        <w:spacing w:line="360" w:lineRule="auto"/>
        <w:jc w:val="both"/>
        <w:outlineLvl w:val="1"/>
        <w:rPr>
          <w:rFonts w:eastAsia="楷体_GB2312"/>
          <w:b/>
          <w:lang w:eastAsia="zh-CN"/>
        </w:rPr>
      </w:pPr>
      <w:r>
        <w:rPr>
          <w:rFonts w:eastAsia="楷体_GB2312"/>
          <w:b/>
          <w:lang w:eastAsia="zh-CN"/>
        </w:rPr>
        <w:t>信托账户内资金的结息</w:t>
      </w:r>
    </w:p>
    <w:p w14:paraId="26E9CD59">
      <w:pPr>
        <w:pStyle w:val="40"/>
        <w:tabs>
          <w:tab w:val="left" w:pos="2160"/>
        </w:tabs>
        <w:spacing w:line="360" w:lineRule="auto"/>
        <w:ind w:left="991" w:leftChars="413" w:firstLine="0" w:firstLineChars="0"/>
        <w:jc w:val="both"/>
        <w:rPr>
          <w:rFonts w:eastAsia="楷体_GB2312"/>
          <w:color w:val="FF0000"/>
          <w:lang w:eastAsia="zh-CN"/>
        </w:rPr>
      </w:pPr>
      <w:r>
        <w:rPr>
          <w:rFonts w:eastAsia="楷体_GB2312"/>
          <w:b/>
          <w:bCs/>
          <w:i/>
          <w:iCs/>
          <w:color w:val="FF0000"/>
          <w:lang w:eastAsia="zh-CN"/>
        </w:rPr>
        <w:t>【注：账户设置可视项目实际情况调整。】</w:t>
      </w:r>
    </w:p>
    <w:p w14:paraId="72779BFB">
      <w:pPr>
        <w:spacing w:line="360" w:lineRule="auto"/>
        <w:ind w:left="425"/>
        <w:jc w:val="both"/>
        <w:rPr>
          <w:rFonts w:eastAsia="楷体_GB2312"/>
        </w:rPr>
      </w:pPr>
    </w:p>
    <w:p w14:paraId="71A7E56A">
      <w:pPr>
        <w:spacing w:line="360" w:lineRule="auto"/>
        <w:ind w:left="851"/>
        <w:jc w:val="both"/>
        <w:rPr>
          <w:rFonts w:eastAsia="楷体_GB2312"/>
          <w:lang w:eastAsia="zh-CN"/>
        </w:rPr>
      </w:pPr>
      <w:r>
        <w:rPr>
          <w:rFonts w:eastAsia="楷体_GB2312"/>
          <w:lang w:eastAsia="zh-CN"/>
        </w:rPr>
        <w:t>“信托账户”内的资金所产生的利息由“资金保管机构”根据“《资金保管合同》”的</w:t>
      </w:r>
      <w:r>
        <w:rPr>
          <w:rFonts w:eastAsia="楷体_GB2312"/>
          <w:bCs/>
          <w:lang w:eastAsia="zh-CN"/>
        </w:rPr>
        <w:t>约</w:t>
      </w:r>
      <w:r>
        <w:rPr>
          <w:rFonts w:eastAsia="楷体_GB2312"/>
          <w:lang w:eastAsia="zh-CN"/>
        </w:rPr>
        <w:t>定于“结息日”结息，并直接记入“信托账户”项下的“收入分账户”。</w:t>
      </w:r>
    </w:p>
    <w:p w14:paraId="51190FD0">
      <w:pPr>
        <w:spacing w:line="360" w:lineRule="auto"/>
        <w:ind w:left="425"/>
        <w:jc w:val="both"/>
        <w:rPr>
          <w:rFonts w:eastAsia="楷体_GB2312"/>
          <w:lang w:eastAsia="zh-CN"/>
        </w:rPr>
      </w:pPr>
    </w:p>
    <w:p w14:paraId="49808597">
      <w:pPr>
        <w:widowControl w:val="0"/>
        <w:numPr>
          <w:ilvl w:val="1"/>
          <w:numId w:val="8"/>
        </w:numPr>
        <w:spacing w:line="360" w:lineRule="auto"/>
        <w:jc w:val="both"/>
        <w:outlineLvl w:val="1"/>
        <w:rPr>
          <w:rFonts w:eastAsia="楷体_GB2312"/>
          <w:b/>
          <w:lang w:eastAsia="zh-CN"/>
        </w:rPr>
      </w:pPr>
      <w:bookmarkStart w:id="324" w:name="_Ref182056346"/>
      <w:r>
        <w:rPr>
          <w:rFonts w:eastAsia="楷体_GB2312"/>
          <w:b/>
          <w:lang w:eastAsia="zh-CN"/>
        </w:rPr>
        <w:t>合格投资</w:t>
      </w:r>
      <w:bookmarkEnd w:id="324"/>
    </w:p>
    <w:p w14:paraId="6291C254">
      <w:pPr>
        <w:spacing w:line="360" w:lineRule="auto"/>
        <w:ind w:left="425"/>
        <w:jc w:val="both"/>
        <w:rPr>
          <w:rFonts w:eastAsia="楷体_GB2312"/>
          <w:b/>
        </w:rPr>
      </w:pPr>
    </w:p>
    <w:p w14:paraId="0CD8ED81">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受托人”有权指示“资金保管机构”将“信托账户”中待分配的资金投资于“合格投资”。“收入分账户”、“本金分账户”、“信托（流动性）储备账户”、“信托（服务转移和通知）储备账户”、“信托（混同）储备账户”</w:t>
      </w:r>
      <w:r>
        <w:rPr>
          <w:rFonts w:eastAsia="楷体_GB2312"/>
          <w:bCs/>
          <w:lang w:eastAsia="zh-CN"/>
        </w:rPr>
        <w:t>和“信托（税收）储备账户”</w:t>
      </w:r>
      <w:r>
        <w:rPr>
          <w:rFonts w:eastAsia="楷体_GB2312"/>
          <w:lang w:eastAsia="zh-CN"/>
        </w:rPr>
        <w:t>项下的资金进行“合格投资”所回收的投资本金只能相应转入到支出投资本金的前述相应“信托账户”分账户项下。“受托人”应保存所有按照本合同第</w:t>
      </w:r>
      <w:r>
        <w:rPr>
          <w:rFonts w:eastAsia="楷体_GB2312"/>
        </w:rPr>
        <w:fldChar w:fldCharType="begin"/>
      </w:r>
      <w:r>
        <w:rPr>
          <w:rFonts w:eastAsia="楷体_GB2312"/>
          <w:lang w:eastAsia="zh-CN"/>
        </w:rPr>
        <w:instrText xml:space="preserve"> REF _Ref182056346 \r \h  \* MERGEFORMAT </w:instrText>
      </w:r>
      <w:r>
        <w:rPr>
          <w:rFonts w:eastAsia="楷体_GB2312"/>
        </w:rPr>
        <w:fldChar w:fldCharType="separate"/>
      </w:r>
      <w:r>
        <w:rPr>
          <w:rFonts w:eastAsia="楷体_GB2312"/>
          <w:lang w:eastAsia="zh-CN"/>
        </w:rPr>
        <w:t>9.3</w:t>
      </w:r>
      <w:r>
        <w:rPr>
          <w:rFonts w:eastAsia="楷体_GB2312"/>
        </w:rPr>
        <w:fldChar w:fldCharType="end"/>
      </w:r>
      <w:r>
        <w:rPr>
          <w:rFonts w:eastAsia="楷体_GB2312"/>
          <w:lang w:eastAsia="zh-CN"/>
        </w:rPr>
        <w:t>款</w:t>
      </w:r>
      <w:r>
        <w:rPr>
          <w:rFonts w:eastAsia="楷体_GB2312"/>
          <w:bCs/>
          <w:lang w:eastAsia="zh-CN"/>
        </w:rPr>
        <w:t>约</w:t>
      </w:r>
      <w:r>
        <w:rPr>
          <w:rFonts w:eastAsia="楷体_GB2312"/>
          <w:lang w:eastAsia="zh-CN"/>
        </w:rPr>
        <w:t>定进行“合格投资”的记录。</w:t>
      </w:r>
    </w:p>
    <w:p w14:paraId="791C314C">
      <w:pPr>
        <w:spacing w:line="360" w:lineRule="auto"/>
        <w:ind w:left="840"/>
        <w:jc w:val="both"/>
        <w:rPr>
          <w:rFonts w:eastAsia="楷体_GB2312"/>
          <w:b/>
          <w:lang w:eastAsia="zh-CN"/>
        </w:rPr>
      </w:pPr>
    </w:p>
    <w:p w14:paraId="499C1CBB">
      <w:pPr>
        <w:widowControl w:val="0"/>
        <w:numPr>
          <w:ilvl w:val="2"/>
          <w:numId w:val="8"/>
        </w:numPr>
        <w:tabs>
          <w:tab w:val="left" w:pos="1620"/>
        </w:tabs>
        <w:spacing w:line="360" w:lineRule="auto"/>
        <w:ind w:left="1620" w:hanging="769"/>
        <w:jc w:val="both"/>
        <w:rPr>
          <w:rFonts w:eastAsia="楷体_GB2312"/>
          <w:lang w:eastAsia="zh-CN"/>
        </w:rPr>
      </w:pPr>
      <w:bookmarkStart w:id="325" w:name="OLE_LINK1"/>
      <w:bookmarkStart w:id="326" w:name="_Ref185827624"/>
      <w:r>
        <w:rPr>
          <w:rFonts w:eastAsia="楷体_GB2312"/>
          <w:lang w:eastAsia="zh-CN"/>
        </w:rPr>
        <w:t>“收入分账户”、“本金分账户”、“信托（流动性）储备账户”、“信托（服务转移和通知）储备账户”</w:t>
      </w:r>
      <w:r>
        <w:rPr>
          <w:rFonts w:eastAsia="楷体_GB2312"/>
          <w:bCs/>
          <w:lang w:eastAsia="zh-CN"/>
        </w:rPr>
        <w:t>和“信托（税收）储备账户”</w:t>
      </w:r>
      <w:r>
        <w:rPr>
          <w:rFonts w:eastAsia="楷体_GB2312"/>
          <w:lang w:eastAsia="zh-CN"/>
        </w:rPr>
        <w:t>项下资金</w:t>
      </w:r>
      <w:bookmarkEnd w:id="325"/>
      <w:r>
        <w:rPr>
          <w:rFonts w:eastAsia="楷体_GB2312"/>
          <w:lang w:eastAsia="zh-CN"/>
        </w:rPr>
        <w:t>的“合格投资”的全部投资收益构成“收入回收款”的一部分，应直接转入“收入分账户”，如果“受托人”收到该投资收益的退税款项，应将该款项作为“收入回收款”存入“收入分账户”。</w:t>
      </w:r>
      <w:bookmarkEnd w:id="326"/>
      <w:r>
        <w:rPr>
          <w:rFonts w:eastAsia="楷体_GB2312"/>
          <w:lang w:eastAsia="zh-CN"/>
        </w:rPr>
        <w:t>“信托（混同）储备账户”项下资金的“合格投资”的全部投资收益应留存于“信托（混同）储备账户”，如果“受托人”收到该投资收益的退税款项，应将该款项计入支出相应投资本金的“信托（混同）储备账户”。</w:t>
      </w:r>
    </w:p>
    <w:p w14:paraId="05070FF9">
      <w:pPr>
        <w:pStyle w:val="40"/>
        <w:tabs>
          <w:tab w:val="left" w:pos="2160"/>
        </w:tabs>
        <w:spacing w:line="360" w:lineRule="auto"/>
        <w:ind w:left="185" w:leftChars="77" w:firstLine="1446" w:firstLineChars="600"/>
        <w:jc w:val="both"/>
        <w:rPr>
          <w:rFonts w:eastAsia="楷体_GB2312"/>
          <w:color w:val="FF0000"/>
          <w:lang w:eastAsia="zh-CN"/>
        </w:rPr>
      </w:pPr>
      <w:r>
        <w:rPr>
          <w:rFonts w:eastAsia="楷体_GB2312"/>
          <w:b/>
          <w:bCs/>
          <w:i/>
          <w:iCs/>
          <w:color w:val="FF0000"/>
          <w:lang w:eastAsia="zh-CN"/>
        </w:rPr>
        <w:t>【注：合格投资的账户设置可视项目实际情况调整。】</w:t>
      </w:r>
    </w:p>
    <w:p w14:paraId="7AFC755B">
      <w:pPr>
        <w:spacing w:line="360" w:lineRule="auto"/>
        <w:ind w:left="851"/>
        <w:jc w:val="both"/>
        <w:rPr>
          <w:rFonts w:eastAsia="楷体_GB2312"/>
          <w:b/>
          <w:lang w:val="en-GB" w:eastAsia="zh-CN"/>
        </w:rPr>
      </w:pPr>
    </w:p>
    <w:p w14:paraId="422F2336">
      <w:pPr>
        <w:widowControl w:val="0"/>
        <w:numPr>
          <w:ilvl w:val="2"/>
          <w:numId w:val="8"/>
        </w:numPr>
        <w:tabs>
          <w:tab w:val="left" w:pos="1620"/>
        </w:tabs>
        <w:spacing w:line="360" w:lineRule="auto"/>
        <w:ind w:left="1620" w:hanging="769"/>
        <w:jc w:val="both"/>
        <w:rPr>
          <w:rFonts w:eastAsia="楷体_GB2312"/>
          <w:lang w:eastAsia="zh-CN"/>
        </w:rPr>
      </w:pPr>
      <w:bookmarkStart w:id="327" w:name="_Ref185827627"/>
      <w:r>
        <w:rPr>
          <w:rFonts w:eastAsia="楷体_GB2312"/>
          <w:lang w:eastAsia="zh-CN"/>
        </w:rPr>
        <w:t>“信托账户”内的资金进行投资所得的投资收益应于每个“信托分配日”按照“《信托合同》”第</w:t>
      </w:r>
      <w:r>
        <w:rPr>
          <w:rFonts w:eastAsia="楷体_GB2312"/>
        </w:rPr>
        <w:fldChar w:fldCharType="begin"/>
      </w:r>
      <w:r>
        <w:rPr>
          <w:rFonts w:eastAsia="楷体_GB2312"/>
          <w:lang w:eastAsia="zh-CN"/>
        </w:rPr>
        <w:instrText xml:space="preserve"> REF _Ref201563930 \r \h  \* MERGEFORMAT </w:instrText>
      </w:r>
      <w:r>
        <w:rPr>
          <w:rFonts w:eastAsia="楷体_GB2312"/>
        </w:rPr>
        <w:fldChar w:fldCharType="separate"/>
      </w:r>
      <w:r>
        <w:rPr>
          <w:rFonts w:eastAsia="楷体_GB2312"/>
          <w:lang w:eastAsia="zh-CN"/>
        </w:rPr>
        <w:t>9</w:t>
      </w:r>
      <w:r>
        <w:rPr>
          <w:rFonts w:eastAsia="楷体_GB2312"/>
        </w:rPr>
        <w:fldChar w:fldCharType="end"/>
      </w:r>
      <w:r>
        <w:rPr>
          <w:rFonts w:eastAsia="楷体_GB2312"/>
          <w:lang w:eastAsia="zh-CN"/>
        </w:rPr>
        <w:t>条的</w:t>
      </w:r>
      <w:r>
        <w:rPr>
          <w:rFonts w:eastAsia="楷体_GB2312"/>
          <w:bCs/>
          <w:lang w:eastAsia="zh-CN"/>
        </w:rPr>
        <w:t>约</w:t>
      </w:r>
      <w:r>
        <w:rPr>
          <w:rFonts w:eastAsia="楷体_GB2312"/>
          <w:lang w:eastAsia="zh-CN"/>
        </w:rPr>
        <w:t>定运用。</w:t>
      </w:r>
      <w:bookmarkEnd w:id="327"/>
    </w:p>
    <w:p w14:paraId="2566B1E6">
      <w:pPr>
        <w:spacing w:line="360" w:lineRule="auto"/>
        <w:ind w:left="840"/>
        <w:jc w:val="both"/>
        <w:rPr>
          <w:rFonts w:eastAsia="楷体_GB2312"/>
          <w:b/>
          <w:lang w:eastAsia="zh-CN"/>
        </w:rPr>
      </w:pPr>
    </w:p>
    <w:p w14:paraId="6FC391E1">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如果一项投资不再是“合格投资”，“受托人”应及时通知“评级机构”，于实际可行时尽快清算该等投资，并将所得款项再投资于“合格投资”。</w:t>
      </w:r>
    </w:p>
    <w:p w14:paraId="3CC04FF6">
      <w:pPr>
        <w:spacing w:line="360" w:lineRule="auto"/>
        <w:jc w:val="both"/>
        <w:rPr>
          <w:rFonts w:eastAsia="楷体_GB2312"/>
          <w:w w:val="0"/>
          <w:lang w:eastAsia="zh-CN"/>
        </w:rPr>
      </w:pPr>
    </w:p>
    <w:p w14:paraId="38C86782">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只要“受托人”指示“资金保管机构”将“信托账户”中的资金投资于“合格投资”，“资金保管机构”按照“《资金保管合同》”的约定将“信托账户”中的资金用于“合格投资”，则“资金保管机构”和“受托人”对于因价值贬损或该等“合格投资”造成的任何损失不承担责任，对于该等投资的回报少于采用其他形式投资或向其他机构投资所得的回报也不承担责任。</w:t>
      </w:r>
    </w:p>
    <w:p w14:paraId="7B37C994">
      <w:pPr>
        <w:widowControl w:val="0"/>
        <w:spacing w:line="360" w:lineRule="auto"/>
        <w:ind w:left="1418"/>
        <w:jc w:val="both"/>
        <w:rPr>
          <w:rFonts w:eastAsia="楷体_GB2312"/>
          <w:lang w:eastAsia="zh-CN"/>
        </w:rPr>
      </w:pPr>
    </w:p>
    <w:p w14:paraId="263D2D6D">
      <w:pPr>
        <w:widowControl w:val="0"/>
        <w:numPr>
          <w:ilvl w:val="1"/>
          <w:numId w:val="8"/>
        </w:numPr>
        <w:spacing w:line="360" w:lineRule="auto"/>
        <w:jc w:val="both"/>
        <w:outlineLvl w:val="1"/>
        <w:rPr>
          <w:rFonts w:eastAsia="楷体_GB2312"/>
          <w:b/>
          <w:lang w:eastAsia="zh-CN"/>
        </w:rPr>
      </w:pPr>
      <w:r>
        <w:rPr>
          <w:rFonts w:eastAsia="楷体_GB2312"/>
          <w:b/>
          <w:lang w:eastAsia="zh-CN"/>
        </w:rPr>
        <w:t>信托账户内资金的核算与分配</w:t>
      </w:r>
    </w:p>
    <w:p w14:paraId="14046F6A">
      <w:pPr>
        <w:spacing w:line="360" w:lineRule="auto"/>
        <w:ind w:left="425"/>
        <w:jc w:val="both"/>
        <w:rPr>
          <w:rFonts w:eastAsia="楷体_GB2312"/>
          <w:b/>
          <w:lang w:eastAsia="zh-CN"/>
        </w:rPr>
      </w:pPr>
    </w:p>
    <w:p w14:paraId="0932ED8F">
      <w:pPr>
        <w:widowControl w:val="0"/>
        <w:numPr>
          <w:ilvl w:val="2"/>
          <w:numId w:val="8"/>
        </w:numPr>
        <w:tabs>
          <w:tab w:val="left" w:pos="1620"/>
        </w:tabs>
        <w:spacing w:line="360" w:lineRule="auto"/>
        <w:ind w:left="1620" w:hanging="769"/>
        <w:jc w:val="both"/>
        <w:rPr>
          <w:rFonts w:eastAsia="楷体_GB2312"/>
          <w:b/>
          <w:lang w:eastAsia="zh-CN"/>
        </w:rPr>
      </w:pPr>
      <w:r>
        <w:rPr>
          <w:rFonts w:eastAsia="楷体_GB2312"/>
          <w:lang w:eastAsia="zh-CN"/>
        </w:rPr>
        <w:t>“资产支持证券持有人”均有权按照本合同第</w:t>
      </w:r>
      <w:r>
        <w:rPr>
          <w:rFonts w:eastAsia="楷体_GB2312"/>
        </w:rPr>
        <w:fldChar w:fldCharType="begin"/>
      </w:r>
      <w:r>
        <w:rPr>
          <w:rFonts w:eastAsia="楷体_GB2312"/>
          <w:lang w:eastAsia="zh-CN"/>
        </w:rPr>
        <w:instrText xml:space="preserve"> REF _Ref201563930 \r \h  \* MERGEFORMAT </w:instrText>
      </w:r>
      <w:r>
        <w:rPr>
          <w:rFonts w:eastAsia="楷体_GB2312"/>
        </w:rPr>
        <w:fldChar w:fldCharType="separate"/>
      </w:r>
      <w:r>
        <w:rPr>
          <w:rFonts w:eastAsia="楷体_GB2312"/>
          <w:lang w:eastAsia="zh-CN"/>
        </w:rPr>
        <w:t>9</w:t>
      </w:r>
      <w:r>
        <w:rPr>
          <w:rFonts w:eastAsia="楷体_GB2312"/>
        </w:rPr>
        <w:fldChar w:fldCharType="end"/>
      </w:r>
      <w:r>
        <w:rPr>
          <w:rFonts w:eastAsia="楷体_GB2312"/>
          <w:lang w:eastAsia="zh-CN"/>
        </w:rPr>
        <w:t>条的</w:t>
      </w:r>
      <w:r>
        <w:rPr>
          <w:rFonts w:eastAsia="楷体_GB2312"/>
          <w:bCs/>
          <w:lang w:eastAsia="zh-CN"/>
        </w:rPr>
        <w:t>约</w:t>
      </w:r>
      <w:r>
        <w:rPr>
          <w:rFonts w:eastAsia="楷体_GB2312"/>
          <w:lang w:eastAsia="zh-CN"/>
        </w:rPr>
        <w:t>定就其享有的“信托受益权”取得“信托利益”。</w:t>
      </w:r>
    </w:p>
    <w:p w14:paraId="01D03555">
      <w:pPr>
        <w:spacing w:line="360" w:lineRule="auto"/>
        <w:ind w:left="851"/>
        <w:jc w:val="both"/>
        <w:rPr>
          <w:rFonts w:eastAsia="楷体_GB2312"/>
          <w:b/>
          <w:lang w:eastAsia="zh-CN"/>
        </w:rPr>
      </w:pPr>
    </w:p>
    <w:p w14:paraId="2B9AC211">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受托人”负责本“信托”项下各项“税收”、“费用支出”、“服务报酬”等的核算工作，并应妥善保管上述“税收”、费用和报酬的相关单据、凭证。“受托人”应于每个“信托分配日”核算“信托账户”项下各账户资金余额及该“信托分配日”后第一个“支付日”（或“中国”“法律”规定、“交易文件”约定的其他日期）应支付的“资产支持证券”当期应付本息和“信托费用”等有关的每笔资金数额，并按照本合同第</w:t>
      </w:r>
      <w:r>
        <w:rPr>
          <w:rFonts w:eastAsia="楷体_GB2312"/>
        </w:rPr>
        <w:fldChar w:fldCharType="begin"/>
      </w:r>
      <w:r>
        <w:rPr>
          <w:rFonts w:eastAsia="楷体_GB2312"/>
          <w:lang w:eastAsia="zh-CN"/>
        </w:rPr>
        <w:instrText xml:space="preserve"> REF _Ref201563930 \r \h  \* MERGEFORMAT </w:instrText>
      </w:r>
      <w:r>
        <w:rPr>
          <w:rFonts w:eastAsia="楷体_GB2312"/>
        </w:rPr>
        <w:fldChar w:fldCharType="separate"/>
      </w:r>
      <w:r>
        <w:rPr>
          <w:rFonts w:eastAsia="楷体_GB2312"/>
          <w:lang w:eastAsia="zh-CN"/>
        </w:rPr>
        <w:t>9</w:t>
      </w:r>
      <w:r>
        <w:rPr>
          <w:rFonts w:eastAsia="楷体_GB2312"/>
        </w:rPr>
        <w:fldChar w:fldCharType="end"/>
      </w:r>
      <w:r>
        <w:rPr>
          <w:rFonts w:eastAsia="楷体_GB2312"/>
          <w:lang w:eastAsia="zh-CN"/>
        </w:rPr>
        <w:t>条的约定进行相应的分配或运用。</w:t>
      </w:r>
    </w:p>
    <w:p w14:paraId="6B13C4E4">
      <w:pPr>
        <w:spacing w:line="360" w:lineRule="auto"/>
        <w:ind w:left="425"/>
        <w:jc w:val="both"/>
        <w:rPr>
          <w:rFonts w:eastAsia="楷体_GB2312"/>
          <w:b/>
          <w:lang w:eastAsia="zh-CN"/>
        </w:rPr>
      </w:pPr>
    </w:p>
    <w:p w14:paraId="707550F1">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在“信托终止日”之前，所有“回收款”应按照本合同第</w:t>
      </w:r>
      <w:r>
        <w:rPr>
          <w:rFonts w:eastAsia="楷体_GB2312"/>
        </w:rPr>
        <w:fldChar w:fldCharType="begin"/>
      </w:r>
      <w:r>
        <w:rPr>
          <w:rFonts w:eastAsia="楷体_GB2312"/>
          <w:lang w:eastAsia="zh-CN"/>
        </w:rPr>
        <w:instrText xml:space="preserve"> REF _Ref169088858 \r \h  \* MERGEFORMAT </w:instrText>
      </w:r>
      <w:r>
        <w:rPr>
          <w:rFonts w:eastAsia="楷体_GB2312"/>
        </w:rPr>
        <w:fldChar w:fldCharType="separate"/>
      </w:r>
      <w:r>
        <w:rPr>
          <w:rFonts w:eastAsia="楷体_GB2312"/>
          <w:lang w:eastAsia="zh-CN"/>
        </w:rPr>
        <w:t>9.5</w:t>
      </w:r>
      <w:r>
        <w:rPr>
          <w:rFonts w:eastAsia="楷体_GB2312"/>
        </w:rPr>
        <w:fldChar w:fldCharType="end"/>
      </w:r>
      <w:r>
        <w:rPr>
          <w:rFonts w:eastAsia="楷体_GB2312"/>
          <w:lang w:eastAsia="zh-CN"/>
        </w:rPr>
        <w:t>款或第</w:t>
      </w:r>
      <w:r>
        <w:rPr>
          <w:rFonts w:eastAsia="楷体_GB2312"/>
        </w:rPr>
        <w:fldChar w:fldCharType="begin"/>
      </w:r>
      <w:r>
        <w:rPr>
          <w:rFonts w:eastAsia="楷体_GB2312"/>
          <w:lang w:eastAsia="zh-CN"/>
        </w:rPr>
        <w:instrText xml:space="preserve"> REF _Ref173768326 \r \h  \* MERGEFORMAT </w:instrText>
      </w:r>
      <w:r>
        <w:rPr>
          <w:rFonts w:eastAsia="楷体_GB2312"/>
        </w:rPr>
        <w:fldChar w:fldCharType="separate"/>
      </w:r>
      <w:r>
        <w:rPr>
          <w:rFonts w:eastAsia="楷体_GB2312"/>
          <w:lang w:eastAsia="zh-CN"/>
        </w:rPr>
        <w:t>9.6</w:t>
      </w:r>
      <w:r>
        <w:rPr>
          <w:rFonts w:eastAsia="楷体_GB2312"/>
        </w:rPr>
        <w:fldChar w:fldCharType="end"/>
      </w:r>
      <w:r>
        <w:rPr>
          <w:rFonts w:eastAsia="楷体_GB2312"/>
          <w:lang w:eastAsia="zh-CN"/>
        </w:rPr>
        <w:t>款</w:t>
      </w:r>
      <w:r>
        <w:rPr>
          <w:rFonts w:eastAsia="楷体_GB2312"/>
          <w:bCs/>
          <w:lang w:eastAsia="zh-CN"/>
        </w:rPr>
        <w:t>约</w:t>
      </w:r>
      <w:r>
        <w:rPr>
          <w:rFonts w:eastAsia="楷体_GB2312"/>
          <w:lang w:eastAsia="zh-CN"/>
        </w:rPr>
        <w:t>定的相应顺序进行支付；在“信托终止日”后，所有“回收款”应按照本合同第</w:t>
      </w:r>
      <w:r>
        <w:rPr>
          <w:rFonts w:eastAsia="楷体_GB2312"/>
        </w:rPr>
        <w:fldChar w:fldCharType="begin"/>
      </w:r>
      <w:r>
        <w:rPr>
          <w:rFonts w:eastAsia="楷体_GB2312"/>
          <w:lang w:eastAsia="zh-CN"/>
        </w:rPr>
        <w:instrText xml:space="preserve"> REF _Ref201654968 \r \h  \* MERGEFORMAT </w:instrText>
      </w:r>
      <w:r>
        <w:rPr>
          <w:rFonts w:eastAsia="楷体_GB2312"/>
        </w:rPr>
        <w:fldChar w:fldCharType="separate"/>
      </w:r>
      <w:r>
        <w:rPr>
          <w:rFonts w:eastAsia="楷体_GB2312"/>
          <w:lang w:eastAsia="zh-CN"/>
        </w:rPr>
        <w:t>9.7</w:t>
      </w:r>
      <w:r>
        <w:rPr>
          <w:rFonts w:eastAsia="楷体_GB2312"/>
        </w:rPr>
        <w:fldChar w:fldCharType="end"/>
      </w:r>
      <w:r>
        <w:rPr>
          <w:rFonts w:eastAsia="楷体_GB2312"/>
          <w:lang w:eastAsia="zh-CN"/>
        </w:rPr>
        <w:t>款</w:t>
      </w:r>
      <w:r>
        <w:rPr>
          <w:rFonts w:eastAsia="楷体_GB2312"/>
          <w:bCs/>
          <w:lang w:eastAsia="zh-CN"/>
        </w:rPr>
        <w:t>约</w:t>
      </w:r>
      <w:r>
        <w:rPr>
          <w:rFonts w:eastAsia="楷体_GB2312"/>
          <w:lang w:eastAsia="zh-CN"/>
        </w:rPr>
        <w:t>定的顺序进行支付。</w:t>
      </w:r>
    </w:p>
    <w:p w14:paraId="5FAF1FF7">
      <w:pPr>
        <w:pStyle w:val="40"/>
        <w:spacing w:line="360" w:lineRule="auto"/>
        <w:ind w:firstLine="480"/>
        <w:jc w:val="both"/>
        <w:rPr>
          <w:rFonts w:eastAsia="楷体_GB2312"/>
          <w:lang w:eastAsia="zh-CN"/>
        </w:rPr>
      </w:pPr>
    </w:p>
    <w:p w14:paraId="5C6A2EA8">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“受托人”应不晚于“受托机构报告日”</w:t>
      </w:r>
      <w:r>
        <w:rPr>
          <w:rFonts w:eastAsia="楷体_GB2312"/>
        </w:rPr>
        <w:t>公布“受托机构报告”，并不晚于“支付日”前【】个“工作日”前通过“支付代理机构”的债券综合业务平台等线上电子化业务办理平台发送“资产支持证券”付息兑付或收益分配电子化指令；如发生技术故障等应急情形，“受托人”应当按“支付代理机构”的要求办理</w:t>
      </w:r>
      <w:r>
        <w:rPr>
          <w:rFonts w:eastAsia="楷体_GB2312"/>
          <w:lang w:eastAsia="zh-CN"/>
        </w:rPr>
        <w:t>。</w:t>
      </w:r>
    </w:p>
    <w:bookmarkEnd w:id="301"/>
    <w:bookmarkEnd w:id="302"/>
    <w:p w14:paraId="708CBA65">
      <w:pPr>
        <w:spacing w:line="360" w:lineRule="auto"/>
        <w:ind w:left="851"/>
        <w:jc w:val="both"/>
        <w:rPr>
          <w:rFonts w:eastAsia="楷体_GB2312"/>
          <w:lang w:eastAsia="zh-CN"/>
        </w:rPr>
      </w:pPr>
      <w:bookmarkStart w:id="328" w:name="_Toc150895712"/>
      <w:bookmarkEnd w:id="328"/>
    </w:p>
    <w:p w14:paraId="61D7ACF3">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“受托人”应不晚于每个“支付日”前的第【】个“工作日”</w:t>
      </w:r>
      <w:r>
        <w:rPr>
          <w:rFonts w:eastAsia="楷体_GB2312"/>
          <w:color w:val="000000"/>
        </w:rPr>
        <w:t>【</w:t>
      </w:r>
      <w:r>
        <w:rPr>
          <w:rFonts w:eastAsia="楷体_GB2312"/>
          <w:i/>
          <w:iCs/>
        </w:rPr>
        <w:t>具体时点</w:t>
      </w:r>
      <w:r>
        <w:rPr>
          <w:rFonts w:eastAsia="楷体_GB2312"/>
          <w:color w:val="000000"/>
        </w:rPr>
        <w:t>】</w:t>
      </w:r>
      <w:r>
        <w:rPr>
          <w:rFonts w:eastAsia="楷体_GB2312"/>
          <w:lang w:eastAsia="zh-CN"/>
        </w:rPr>
        <w:t>前，向“资金保管机构”发送“划款指令”：</w:t>
      </w:r>
    </w:p>
    <w:p w14:paraId="2A12D4A6">
      <w:pPr>
        <w:spacing w:line="360" w:lineRule="auto"/>
        <w:ind w:left="851"/>
        <w:jc w:val="both"/>
        <w:rPr>
          <w:rFonts w:eastAsia="楷体_GB2312"/>
          <w:lang w:eastAsia="zh-CN"/>
        </w:rPr>
      </w:pPr>
    </w:p>
    <w:p w14:paraId="2F74AD23">
      <w:pPr>
        <w:widowControl w:val="0"/>
        <w:numPr>
          <w:ilvl w:val="0"/>
          <w:numId w:val="15"/>
        </w:numPr>
        <w:tabs>
          <w:tab w:val="left" w:pos="1843"/>
          <w:tab w:val="clear" w:pos="1635"/>
        </w:tabs>
        <w:spacing w:line="360" w:lineRule="auto"/>
        <w:ind w:left="2127" w:leftChars="709" w:hanging="425"/>
        <w:jc w:val="both"/>
        <w:rPr>
          <w:rFonts w:eastAsia="楷体_GB2312"/>
          <w:lang w:eastAsia="zh-CN"/>
        </w:rPr>
      </w:pPr>
      <w:r>
        <w:rPr>
          <w:rFonts w:eastAsia="楷体_GB2312"/>
          <w:lang w:eastAsia="zh-CN"/>
        </w:rPr>
        <w:t>指令“资金保管机构”不晚于每个“支付日”前【】个“工作日”</w:t>
      </w:r>
      <w:r>
        <w:rPr>
          <w:rFonts w:eastAsia="楷体_GB2312"/>
          <w:color w:val="000000"/>
        </w:rPr>
        <w:t>【</w:t>
      </w:r>
      <w:r>
        <w:rPr>
          <w:rFonts w:eastAsia="楷体_GB2312"/>
          <w:i/>
          <w:iCs/>
        </w:rPr>
        <w:t>具体时点</w:t>
      </w:r>
      <w:r>
        <w:rPr>
          <w:rFonts w:eastAsia="楷体_GB2312"/>
          <w:color w:val="000000"/>
        </w:rPr>
        <w:t>】</w:t>
      </w:r>
      <w:r>
        <w:rPr>
          <w:rFonts w:eastAsia="楷体_GB2312"/>
          <w:lang w:eastAsia="zh-CN"/>
        </w:rPr>
        <w:t>前将“信托账户”中与向“支付代理机构”发送的“资产支持证券”付息兑付或收益分配指令所载明的金额相符的资金划转至“支付代理机构”指定的资金账户，用于兑付“资产支持证券”的当期应付本息及收益；</w:t>
      </w:r>
    </w:p>
    <w:p w14:paraId="2A22E079">
      <w:pPr>
        <w:widowControl w:val="0"/>
        <w:numPr>
          <w:ilvl w:val="0"/>
          <w:numId w:val="15"/>
        </w:numPr>
        <w:tabs>
          <w:tab w:val="left" w:pos="1843"/>
          <w:tab w:val="clear" w:pos="1635"/>
        </w:tabs>
        <w:spacing w:line="360" w:lineRule="auto"/>
        <w:ind w:left="2127" w:leftChars="709" w:hanging="425"/>
        <w:jc w:val="both"/>
        <w:rPr>
          <w:rFonts w:eastAsia="楷体_GB2312"/>
          <w:lang w:eastAsia="zh-CN"/>
        </w:rPr>
      </w:pPr>
      <w:r>
        <w:rPr>
          <w:rFonts w:eastAsia="楷体_GB2312"/>
          <w:bCs/>
          <w:lang w:eastAsia="zh-CN"/>
        </w:rPr>
        <w:t>“受托人”应</w:t>
      </w:r>
      <w:r>
        <w:rPr>
          <w:rFonts w:eastAsia="楷体_GB2312"/>
          <w:lang w:eastAsia="zh-CN"/>
        </w:rPr>
        <w:t>指令“资金保管机构”于每个“支付日”（或“中国”“法律”规定、“交易文件”约定的其他日期）将“信托账户”中相应数额的资金划转至指定账户，用于支付“信托财产”应付的“税收”、“费用支出”和“服务报酬”。“受托人”以其固有财产垫付上述各项“税收”、费用或报酬的，对“信托财产”享有按照本合同第</w:t>
      </w:r>
      <w:r>
        <w:rPr>
          <w:rFonts w:eastAsia="楷体_GB2312"/>
        </w:rPr>
        <w:fldChar w:fldCharType="begin"/>
      </w:r>
      <w:r>
        <w:rPr>
          <w:rFonts w:eastAsia="楷体_GB2312"/>
          <w:lang w:eastAsia="zh-CN"/>
        </w:rPr>
        <w:instrText xml:space="preserve"> REF _Ref201563930 \r \h  \* MERGEFORMAT </w:instrText>
      </w:r>
      <w:r>
        <w:rPr>
          <w:rFonts w:eastAsia="楷体_GB2312"/>
        </w:rPr>
        <w:fldChar w:fldCharType="separate"/>
      </w:r>
      <w:r>
        <w:rPr>
          <w:rFonts w:eastAsia="楷体_GB2312"/>
          <w:lang w:eastAsia="zh-CN"/>
        </w:rPr>
        <w:t>9</w:t>
      </w:r>
      <w:r>
        <w:rPr>
          <w:rFonts w:eastAsia="楷体_GB2312"/>
        </w:rPr>
        <w:fldChar w:fldCharType="end"/>
      </w:r>
      <w:r>
        <w:rPr>
          <w:rFonts w:eastAsia="楷体_GB2312"/>
          <w:lang w:eastAsia="zh-CN"/>
        </w:rPr>
        <w:t>条</w:t>
      </w:r>
      <w:r>
        <w:rPr>
          <w:rFonts w:eastAsia="楷体_GB2312"/>
          <w:bCs/>
          <w:lang w:eastAsia="zh-CN"/>
        </w:rPr>
        <w:t>约</w:t>
      </w:r>
      <w:r>
        <w:rPr>
          <w:rFonts w:eastAsia="楷体_GB2312"/>
          <w:lang w:eastAsia="zh-CN"/>
        </w:rPr>
        <w:t>定的支付顺序优先受偿的权利。</w:t>
      </w:r>
    </w:p>
    <w:p w14:paraId="170A43BF">
      <w:pPr>
        <w:pStyle w:val="40"/>
        <w:spacing w:line="360" w:lineRule="auto"/>
        <w:ind w:firstLine="480"/>
        <w:jc w:val="both"/>
        <w:rPr>
          <w:rFonts w:eastAsia="楷体_GB2312"/>
          <w:lang w:eastAsia="zh-CN"/>
        </w:rPr>
      </w:pPr>
    </w:p>
    <w:p w14:paraId="7FD5BC4B">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在“支付日”后【】个“工作日”内，“受托人”向“支付代理机构”支付代理兑付、付息“服务报酬”。</w:t>
      </w:r>
    </w:p>
    <w:p w14:paraId="45A57525">
      <w:pPr>
        <w:spacing w:line="360" w:lineRule="auto"/>
        <w:jc w:val="both"/>
        <w:rPr>
          <w:rFonts w:eastAsia="楷体_GB2312"/>
          <w:b/>
          <w:lang w:eastAsia="zh-CN"/>
        </w:rPr>
      </w:pPr>
    </w:p>
    <w:p w14:paraId="778BD57E">
      <w:pPr>
        <w:widowControl w:val="0"/>
        <w:numPr>
          <w:ilvl w:val="1"/>
          <w:numId w:val="8"/>
        </w:numPr>
        <w:spacing w:line="360" w:lineRule="auto"/>
        <w:jc w:val="both"/>
        <w:outlineLvl w:val="1"/>
        <w:rPr>
          <w:rFonts w:eastAsia="楷体_GB2312"/>
          <w:b/>
          <w:lang w:eastAsia="zh-CN"/>
        </w:rPr>
      </w:pPr>
      <w:bookmarkStart w:id="329" w:name="_Ref169088858"/>
      <w:bookmarkStart w:id="330" w:name="_Toc201569421"/>
      <w:bookmarkStart w:id="331" w:name="_Ref180850300"/>
      <w:r>
        <w:rPr>
          <w:rFonts w:eastAsia="楷体_GB2312"/>
          <w:b/>
          <w:lang w:eastAsia="zh-CN"/>
        </w:rPr>
        <w:t>违约事件发生前</w:t>
      </w:r>
      <w:bookmarkStart w:id="332" w:name="_Toc120280687"/>
      <w:bookmarkStart w:id="333" w:name="_Ref112317234"/>
      <w:r>
        <w:rPr>
          <w:rFonts w:eastAsia="楷体_GB2312"/>
          <w:b/>
          <w:lang w:eastAsia="zh-CN"/>
        </w:rPr>
        <w:t>的</w:t>
      </w:r>
      <w:bookmarkEnd w:id="329"/>
      <w:bookmarkEnd w:id="332"/>
      <w:bookmarkEnd w:id="333"/>
      <w:r>
        <w:rPr>
          <w:rFonts w:eastAsia="楷体_GB2312"/>
          <w:b/>
          <w:lang w:eastAsia="zh-CN"/>
        </w:rPr>
        <w:t>回收款分配</w:t>
      </w:r>
      <w:bookmarkEnd w:id="330"/>
      <w:bookmarkEnd w:id="331"/>
    </w:p>
    <w:p w14:paraId="4A8A46CC">
      <w:pPr>
        <w:spacing w:line="360" w:lineRule="auto"/>
        <w:ind w:left="991" w:leftChars="413"/>
        <w:jc w:val="both"/>
        <w:rPr>
          <w:rFonts w:eastAsia="楷体_GB2312"/>
          <w:color w:val="FF0000"/>
          <w:lang w:eastAsia="zh-CN"/>
        </w:rPr>
      </w:pPr>
      <w:r>
        <w:rPr>
          <w:rFonts w:eastAsia="楷体_GB2312"/>
          <w:b/>
          <w:bCs/>
          <w:i/>
          <w:iCs/>
          <w:color w:val="FF0000"/>
          <w:lang w:eastAsia="zh-CN"/>
        </w:rPr>
        <w:t>【注：具体项目的现金流分配顺序、证券分层、账户设置可根据实际情况调整。】</w:t>
      </w:r>
    </w:p>
    <w:p w14:paraId="35CADC0C">
      <w:pPr>
        <w:widowControl w:val="0"/>
        <w:numPr>
          <w:ilvl w:val="2"/>
          <w:numId w:val="8"/>
        </w:numPr>
        <w:tabs>
          <w:tab w:val="left" w:pos="1620"/>
        </w:tabs>
        <w:spacing w:line="360" w:lineRule="auto"/>
        <w:ind w:left="1620" w:hanging="769"/>
        <w:jc w:val="both"/>
        <w:rPr>
          <w:rFonts w:eastAsia="楷体_GB2312"/>
          <w:b/>
          <w:lang w:eastAsia="zh-CN"/>
        </w:rPr>
      </w:pPr>
      <w:bookmarkStart w:id="334" w:name="_Ref111347209"/>
      <w:bookmarkStart w:id="335" w:name="_Ref201564636"/>
      <w:r>
        <w:rPr>
          <w:rFonts w:eastAsia="楷体_GB2312"/>
          <w:b/>
          <w:lang w:eastAsia="zh-CN"/>
        </w:rPr>
        <w:t>违约事件发生前，收入分账户项下资金的</w:t>
      </w:r>
      <w:bookmarkEnd w:id="334"/>
      <w:r>
        <w:rPr>
          <w:rFonts w:eastAsia="楷体_GB2312"/>
          <w:b/>
          <w:lang w:eastAsia="zh-CN"/>
        </w:rPr>
        <w:t>分配</w:t>
      </w:r>
      <w:bookmarkEnd w:id="335"/>
    </w:p>
    <w:p w14:paraId="42688D54">
      <w:pPr>
        <w:spacing w:line="360" w:lineRule="auto"/>
        <w:jc w:val="both"/>
        <w:rPr>
          <w:rFonts w:eastAsia="楷体_GB2312"/>
          <w:lang w:eastAsia="zh-CN"/>
        </w:rPr>
      </w:pPr>
    </w:p>
    <w:p w14:paraId="4002A89B">
      <w:pPr>
        <w:widowControl w:val="0"/>
        <w:spacing w:line="360" w:lineRule="auto"/>
        <w:ind w:left="1620"/>
        <w:jc w:val="both"/>
        <w:rPr>
          <w:rFonts w:eastAsia="楷体_GB2312"/>
          <w:lang w:eastAsia="zh-CN"/>
        </w:rPr>
      </w:pPr>
      <w:r>
        <w:rPr>
          <w:rFonts w:eastAsia="楷体_GB2312"/>
          <w:lang w:eastAsia="zh-CN"/>
        </w:rPr>
        <w:t>在“违约事件”发生前的每个“信托分配日”，“受托人”应将前一个“收款期间”内收到的“收入回收款”以及于该“信托分配日”分别按照本合同第</w:t>
      </w:r>
      <w:r>
        <w:rPr>
          <w:rFonts w:eastAsia="楷体_GB2312"/>
        </w:rPr>
        <w:fldChar w:fldCharType="begin"/>
      </w:r>
      <w:r>
        <w:rPr>
          <w:rFonts w:eastAsia="楷体_GB2312"/>
          <w:lang w:eastAsia="zh-CN"/>
        </w:rPr>
        <w:instrText xml:space="preserve"> REF _Ref201565108 \r \h  \* MERGEFORMAT </w:instrText>
      </w:r>
      <w:r>
        <w:rPr>
          <w:rFonts w:eastAsia="楷体_GB2312"/>
        </w:rPr>
        <w:fldChar w:fldCharType="separate"/>
      </w:r>
      <w:r>
        <w:rPr>
          <w:rFonts w:eastAsia="楷体_GB2312"/>
          <w:lang w:eastAsia="zh-CN"/>
        </w:rPr>
        <w:t>9.5.2</w:t>
      </w:r>
      <w:r>
        <w:rPr>
          <w:rFonts w:eastAsia="楷体_GB2312"/>
        </w:rPr>
        <w:fldChar w:fldCharType="end"/>
      </w:r>
      <w:r>
        <w:rPr>
          <w:rFonts w:eastAsia="楷体_GB2312"/>
          <w:lang w:eastAsia="zh-CN"/>
        </w:rPr>
        <w:t>款第</w:t>
      </w:r>
      <w:r>
        <w:rPr>
          <w:rFonts w:eastAsia="楷体_GB2312"/>
        </w:rPr>
        <w:fldChar w:fldCharType="begin"/>
      </w:r>
      <w:r>
        <w:rPr>
          <w:rFonts w:eastAsia="楷体_GB2312"/>
          <w:lang w:eastAsia="zh-CN"/>
        </w:rPr>
        <w:instrText xml:space="preserve"> REF _Ref150542634 \r \h  \* MERGEFORMAT </w:instrText>
      </w:r>
      <w:r>
        <w:rPr>
          <w:rFonts w:eastAsia="楷体_GB2312"/>
        </w:rPr>
        <w:fldChar w:fldCharType="separate"/>
      </w:r>
      <w:r>
        <w:rPr>
          <w:rFonts w:eastAsia="楷体_GB2312"/>
          <w:lang w:eastAsia="zh-CN"/>
        </w:rPr>
        <w:t>(1)</w:t>
      </w:r>
      <w:r>
        <w:rPr>
          <w:rFonts w:eastAsia="楷体_GB2312"/>
        </w:rPr>
        <w:fldChar w:fldCharType="end"/>
      </w:r>
      <w:r>
        <w:rPr>
          <w:rFonts w:eastAsia="楷体_GB2312"/>
          <w:lang w:eastAsia="zh-CN"/>
        </w:rPr>
        <w:t>项、第</w:t>
      </w:r>
      <w:r>
        <w:rPr>
          <w:rFonts w:eastAsia="楷体_GB2312"/>
          <w:lang w:eastAsia="zh-CN"/>
        </w:rPr>
        <w:fldChar w:fldCharType="begin"/>
      </w:r>
      <w:r>
        <w:rPr>
          <w:rFonts w:eastAsia="楷体_GB2312"/>
          <w:lang w:eastAsia="zh-CN"/>
        </w:rPr>
        <w:instrText xml:space="preserve"> REF _Ref332290272 \r \h  \* MERGEFORMAT </w:instrText>
      </w:r>
      <w:r>
        <w:rPr>
          <w:rFonts w:eastAsia="楷体_GB2312"/>
          <w:lang w:eastAsia="zh-CN"/>
        </w:rPr>
        <w:fldChar w:fldCharType="separate"/>
      </w:r>
      <w:r>
        <w:rPr>
          <w:rFonts w:eastAsia="楷体_GB2312"/>
          <w:lang w:eastAsia="zh-CN"/>
        </w:rPr>
        <w:t>9.8</w:t>
      </w:r>
      <w:r>
        <w:rPr>
          <w:rFonts w:eastAsia="楷体_GB2312"/>
          <w:lang w:eastAsia="zh-CN"/>
        </w:rPr>
        <w:fldChar w:fldCharType="end"/>
      </w:r>
      <w:r>
        <w:rPr>
          <w:rFonts w:eastAsia="楷体_GB2312"/>
          <w:lang w:eastAsia="zh-CN"/>
        </w:rPr>
        <w:t>款、第</w:t>
      </w:r>
      <w:r>
        <w:rPr>
          <w:rFonts w:eastAsia="楷体_GB2312"/>
        </w:rPr>
        <w:fldChar w:fldCharType="begin"/>
      </w:r>
      <w:r>
        <w:rPr>
          <w:rFonts w:eastAsia="楷体_GB2312"/>
          <w:lang w:eastAsia="zh-CN"/>
        </w:rPr>
        <w:instrText xml:space="preserve"> REF _Ref333757522 \r \h  \* MERGEFORMAT </w:instrText>
      </w:r>
      <w:r>
        <w:rPr>
          <w:rFonts w:eastAsia="楷体_GB2312"/>
        </w:rPr>
        <w:fldChar w:fldCharType="separate"/>
      </w:r>
      <w:r>
        <w:rPr>
          <w:rFonts w:eastAsia="楷体_GB2312"/>
          <w:lang w:eastAsia="zh-CN"/>
        </w:rPr>
        <w:t>9.9</w:t>
      </w:r>
      <w:r>
        <w:rPr>
          <w:rFonts w:eastAsia="楷体_GB2312"/>
        </w:rPr>
        <w:fldChar w:fldCharType="end"/>
      </w:r>
      <w:r>
        <w:rPr>
          <w:rFonts w:eastAsia="楷体_GB2312"/>
          <w:lang w:eastAsia="zh-CN"/>
        </w:rPr>
        <w:t>款、第</w:t>
      </w:r>
      <w:r>
        <w:rPr>
          <w:rFonts w:eastAsia="楷体_GB2312"/>
        </w:rPr>
        <w:fldChar w:fldCharType="begin"/>
      </w:r>
      <w:r>
        <w:rPr>
          <w:rFonts w:eastAsia="楷体_GB2312"/>
          <w:lang w:eastAsia="zh-CN"/>
        </w:rPr>
        <w:instrText xml:space="preserve"> REF _Ref333757529 \r \h  \* MERGEFORMAT </w:instrText>
      </w:r>
      <w:r>
        <w:rPr>
          <w:rFonts w:eastAsia="楷体_GB2312"/>
        </w:rPr>
        <w:fldChar w:fldCharType="separate"/>
      </w:r>
      <w:r>
        <w:rPr>
          <w:rFonts w:eastAsia="楷体_GB2312"/>
          <w:lang w:eastAsia="zh-CN"/>
        </w:rPr>
        <w:t>9.10</w:t>
      </w:r>
      <w:r>
        <w:rPr>
          <w:rFonts w:eastAsia="楷体_GB2312"/>
        </w:rPr>
        <w:fldChar w:fldCharType="end"/>
      </w:r>
      <w:r>
        <w:rPr>
          <w:rFonts w:eastAsia="楷体_GB2312"/>
          <w:lang w:eastAsia="zh-CN"/>
        </w:rPr>
        <w:t>款和第</w:t>
      </w:r>
      <w:r>
        <w:rPr>
          <w:rFonts w:eastAsia="楷体_GB2312"/>
        </w:rPr>
        <w:fldChar w:fldCharType="begin"/>
      </w:r>
      <w:r>
        <w:rPr>
          <w:rFonts w:eastAsia="楷体_GB2312"/>
          <w:lang w:eastAsia="zh-CN"/>
        </w:rPr>
        <w:instrText xml:space="preserve"> REF _Ref333757533 \r \h  \* MERGEFORMAT </w:instrText>
      </w:r>
      <w:r>
        <w:rPr>
          <w:rFonts w:eastAsia="楷体_GB2312"/>
        </w:rPr>
        <w:fldChar w:fldCharType="separate"/>
      </w:r>
      <w:r>
        <w:rPr>
          <w:rFonts w:eastAsia="楷体_GB2312"/>
          <w:lang w:eastAsia="zh-CN"/>
        </w:rPr>
        <w:t>9.11</w:t>
      </w:r>
      <w:r>
        <w:rPr>
          <w:rFonts w:eastAsia="楷体_GB2312"/>
        </w:rPr>
        <w:fldChar w:fldCharType="end"/>
      </w:r>
      <w:r>
        <w:rPr>
          <w:rFonts w:eastAsia="楷体_GB2312"/>
          <w:lang w:eastAsia="zh-CN"/>
        </w:rPr>
        <w:t>款的约定从“本金分账户”、“信托（流动性）储备账户”、“信托（服务转移和通知）储备账户”、“信托（混同）储备账户”和“信托（税收）储备账户”转入“收入分账户”的资金的总金额按以下顺序进行分配（如同一顺序的多笔款项不足以同时足额支付，则按各笔款项应受偿金额的比例支付，且所差金额应按以下顺序在下一期支付）：</w:t>
      </w:r>
    </w:p>
    <w:p w14:paraId="410B1B06">
      <w:pPr>
        <w:spacing w:line="360" w:lineRule="auto"/>
        <w:jc w:val="both"/>
        <w:rPr>
          <w:rFonts w:eastAsia="楷体_GB2312"/>
          <w:lang w:eastAsia="zh-CN"/>
        </w:rPr>
      </w:pPr>
    </w:p>
    <w:p w14:paraId="6218916A">
      <w:pPr>
        <w:widowControl w:val="0"/>
        <w:numPr>
          <w:ilvl w:val="0"/>
          <w:numId w:val="16"/>
        </w:numPr>
        <w:tabs>
          <w:tab w:val="left" w:pos="1843"/>
          <w:tab w:val="clear" w:pos="1635"/>
        </w:tabs>
        <w:spacing w:line="360" w:lineRule="auto"/>
        <w:ind w:left="2127" w:leftChars="709" w:hanging="425"/>
        <w:jc w:val="both"/>
        <w:rPr>
          <w:rFonts w:eastAsia="楷体_GB2312"/>
          <w:lang w:eastAsia="zh-CN"/>
        </w:rPr>
      </w:pPr>
      <w:bookmarkStart w:id="336" w:name="_Ref112316473"/>
      <w:bookmarkStart w:id="337" w:name="_Ref111348174"/>
      <w:r>
        <w:rPr>
          <w:rFonts w:eastAsia="楷体_GB2312"/>
          <w:lang w:eastAsia="zh-CN"/>
        </w:rPr>
        <w:t>依据“中国”“法律”，由“受托人”缴纳的与“信托”相关的“税收”和规费（包括但不限于增值税及附加等）。其中，“受托人”将与其依据相关“税收”计算公式所计算的“信托”“税收”（如有）以及“受托人”估算的其他与“税收”有关的合理金额（如有）相等数额的资金记入</w:t>
      </w:r>
      <w:r>
        <w:rPr>
          <w:rFonts w:eastAsia="楷体_GB2312"/>
          <w:bCs/>
          <w:lang w:eastAsia="zh-CN"/>
        </w:rPr>
        <w:t>“信托（税收）储备账户”</w:t>
      </w:r>
      <w:r>
        <w:rPr>
          <w:rFonts w:eastAsia="楷体_GB2312"/>
          <w:lang w:eastAsia="zh-CN"/>
        </w:rPr>
        <w:t>；</w:t>
      </w:r>
      <w:bookmarkEnd w:id="336"/>
    </w:p>
    <w:p w14:paraId="638F8059">
      <w:pPr>
        <w:widowControl w:val="0"/>
        <w:spacing w:line="360" w:lineRule="auto"/>
        <w:ind w:left="1635"/>
        <w:jc w:val="both"/>
        <w:rPr>
          <w:rFonts w:eastAsia="楷体_GB2312"/>
          <w:lang w:eastAsia="zh-CN"/>
        </w:rPr>
      </w:pPr>
    </w:p>
    <w:p w14:paraId="133BC54E">
      <w:pPr>
        <w:widowControl w:val="0"/>
        <w:numPr>
          <w:ilvl w:val="0"/>
          <w:numId w:val="16"/>
        </w:numPr>
        <w:tabs>
          <w:tab w:val="left" w:pos="1843"/>
          <w:tab w:val="clear" w:pos="1635"/>
        </w:tabs>
        <w:spacing w:line="360" w:lineRule="auto"/>
        <w:ind w:left="2127" w:leftChars="709" w:hanging="425"/>
        <w:jc w:val="both"/>
        <w:rPr>
          <w:rFonts w:eastAsia="楷体_GB2312"/>
          <w:lang w:eastAsia="zh-CN"/>
        </w:rPr>
      </w:pPr>
      <w:r>
        <w:rPr>
          <w:rFonts w:eastAsia="楷体_GB2312"/>
          <w:lang w:eastAsia="zh-CN"/>
        </w:rPr>
        <w:t>同顺序、按各笔款项应受偿金额的比例将应付给“受托机构”、“资金保管机构”、“登记托管机构”、“支付代理机构”、“评级机构”（如有）、“审计师”（如有）、“后备贷款服务机构”（如有）的“服务报酬”</w:t>
      </w:r>
      <w:r>
        <w:rPr>
          <w:rFonts w:hint="eastAsia" w:eastAsia="楷体_GB2312"/>
          <w:lang w:eastAsia="zh-CN"/>
        </w:rPr>
        <w:t>及</w:t>
      </w:r>
      <w:r>
        <w:rPr>
          <w:rFonts w:eastAsia="楷体_GB2312"/>
          <w:color w:val="000000"/>
        </w:rPr>
        <w:t>“受托人”因“清仓回购”而聘请</w:t>
      </w:r>
      <w:r>
        <w:rPr>
          <w:rFonts w:hint="eastAsia" w:eastAsia="楷体_GB2312"/>
          <w:color w:val="000000"/>
        </w:rPr>
        <w:t>第三方专业机构</w:t>
      </w:r>
      <w:r>
        <w:rPr>
          <w:rFonts w:eastAsia="楷体_GB2312"/>
          <w:color w:val="000000"/>
        </w:rPr>
        <w:t>对剩余“资产池”进行评估所发生的费用</w:t>
      </w:r>
      <w:r>
        <w:rPr>
          <w:rFonts w:eastAsia="楷体_GB2312"/>
          <w:lang w:eastAsia="zh-CN"/>
        </w:rPr>
        <w:t>，以及上述相关主体和“贷款服务机构”不超过“优先支出上限”的“费用支出”转入“信托分配（费用和开支）账户”；</w:t>
      </w:r>
    </w:p>
    <w:p w14:paraId="770CF52F">
      <w:pPr>
        <w:widowControl w:val="0"/>
        <w:spacing w:line="360" w:lineRule="auto"/>
        <w:ind w:left="1635"/>
        <w:jc w:val="both"/>
        <w:rPr>
          <w:rFonts w:eastAsia="楷体_GB2312"/>
          <w:lang w:eastAsia="zh-CN"/>
        </w:rPr>
      </w:pPr>
    </w:p>
    <w:p w14:paraId="47270096">
      <w:pPr>
        <w:widowControl w:val="0"/>
        <w:numPr>
          <w:ilvl w:val="0"/>
          <w:numId w:val="16"/>
        </w:numPr>
        <w:tabs>
          <w:tab w:val="left" w:pos="1843"/>
          <w:tab w:val="clear" w:pos="1635"/>
        </w:tabs>
        <w:spacing w:line="360" w:lineRule="auto"/>
        <w:ind w:left="2127" w:leftChars="709" w:hanging="425"/>
        <w:jc w:val="both"/>
        <w:rPr>
          <w:rFonts w:eastAsia="楷体_GB2312"/>
          <w:lang w:eastAsia="zh-CN"/>
        </w:rPr>
      </w:pPr>
      <w:r>
        <w:rPr>
          <w:rFonts w:eastAsia="楷体_GB2312"/>
          <w:lang w:eastAsia="zh-CN"/>
        </w:rPr>
        <w:t>如果“发起机构”不是“贷款服务机构”，将应支付给该“贷款服务机构”的“服务报酬”总额转入“信托分配（费用和开支）账户”；</w:t>
      </w:r>
    </w:p>
    <w:p w14:paraId="3E4E65B7">
      <w:pPr>
        <w:widowControl w:val="0"/>
        <w:spacing w:line="360" w:lineRule="auto"/>
        <w:ind w:left="1635"/>
        <w:jc w:val="both"/>
        <w:rPr>
          <w:rFonts w:eastAsia="楷体_GB2312"/>
          <w:lang w:eastAsia="zh-CN"/>
        </w:rPr>
      </w:pPr>
    </w:p>
    <w:p w14:paraId="60A0F48C">
      <w:pPr>
        <w:widowControl w:val="0"/>
        <w:numPr>
          <w:ilvl w:val="0"/>
          <w:numId w:val="16"/>
        </w:numPr>
        <w:tabs>
          <w:tab w:val="left" w:pos="1843"/>
          <w:tab w:val="clear" w:pos="1635"/>
        </w:tabs>
        <w:spacing w:line="360" w:lineRule="auto"/>
        <w:ind w:left="2127" w:leftChars="709" w:hanging="425"/>
        <w:jc w:val="both"/>
        <w:rPr>
          <w:rFonts w:eastAsia="楷体_GB2312"/>
          <w:lang w:eastAsia="zh-CN"/>
        </w:rPr>
      </w:pPr>
      <w:bookmarkStart w:id="338" w:name="_Ref25501852"/>
      <w:r>
        <w:rPr>
          <w:rFonts w:eastAsia="楷体_GB2312"/>
          <w:lang w:eastAsia="zh-CN"/>
        </w:rPr>
        <w:t>将该“信托分配日”后第一个“支付日”的累计应付未付的“优先A1级资产支持证券”和“优先A2级资产支持证券”的利息款项转入“信托分配（证券）账户”；</w:t>
      </w:r>
      <w:bookmarkEnd w:id="338"/>
    </w:p>
    <w:p w14:paraId="19D27B40">
      <w:pPr>
        <w:widowControl w:val="0"/>
        <w:spacing w:line="360" w:lineRule="auto"/>
        <w:ind w:left="1635"/>
        <w:jc w:val="both"/>
        <w:rPr>
          <w:rFonts w:eastAsia="楷体_GB2312"/>
          <w:lang w:eastAsia="zh-CN"/>
        </w:rPr>
      </w:pPr>
    </w:p>
    <w:p w14:paraId="3ACEF84E">
      <w:pPr>
        <w:widowControl w:val="0"/>
        <w:numPr>
          <w:ilvl w:val="0"/>
          <w:numId w:val="16"/>
        </w:numPr>
        <w:tabs>
          <w:tab w:val="left" w:pos="1843"/>
          <w:tab w:val="clear" w:pos="1635"/>
        </w:tabs>
        <w:spacing w:line="360" w:lineRule="auto"/>
        <w:ind w:left="2127" w:leftChars="709" w:hanging="425"/>
        <w:jc w:val="both"/>
        <w:rPr>
          <w:rFonts w:eastAsia="楷体_GB2312"/>
          <w:lang w:eastAsia="zh-CN"/>
        </w:rPr>
      </w:pPr>
      <w:bookmarkStart w:id="339" w:name="_Ref25501630"/>
      <w:r>
        <w:rPr>
          <w:rFonts w:eastAsia="楷体_GB2312"/>
          <w:lang w:eastAsia="zh-CN"/>
        </w:rPr>
        <w:t>同顺序、按各笔款项应受偿金额的比例(a)将相应款项转入“信托（流动性）储备账户”，使该账户的余额不少于“必备（流动性）储备金额”，(b)</w:t>
      </w:r>
      <w:r>
        <w:rPr>
          <w:rFonts w:eastAsia="楷体_GB2312"/>
          <w:lang w:val="en-GB" w:eastAsia="zh-CN"/>
        </w:rPr>
        <w:t>将相应款项转入“信托（服务转移和通知）储备账户”，使该账户的余额不少于“必备（服务转移和通知）储备金额”</w:t>
      </w:r>
      <w:r>
        <w:rPr>
          <w:rFonts w:eastAsia="楷体_GB2312"/>
          <w:lang w:eastAsia="zh-CN"/>
        </w:rPr>
        <w:t>；</w:t>
      </w:r>
      <w:bookmarkEnd w:id="339"/>
    </w:p>
    <w:p w14:paraId="311888B3">
      <w:pPr>
        <w:widowControl w:val="0"/>
        <w:spacing w:line="360" w:lineRule="auto"/>
        <w:ind w:left="1635"/>
        <w:jc w:val="both"/>
        <w:rPr>
          <w:rFonts w:eastAsia="楷体_GB2312"/>
          <w:b/>
          <w:lang w:eastAsia="zh-CN"/>
        </w:rPr>
      </w:pPr>
    </w:p>
    <w:p w14:paraId="154115FE">
      <w:pPr>
        <w:widowControl w:val="0"/>
        <w:numPr>
          <w:ilvl w:val="0"/>
          <w:numId w:val="16"/>
        </w:numPr>
        <w:tabs>
          <w:tab w:val="left" w:pos="1843"/>
          <w:tab w:val="clear" w:pos="1635"/>
        </w:tabs>
        <w:spacing w:line="360" w:lineRule="auto"/>
        <w:ind w:left="2127" w:leftChars="709" w:hanging="425"/>
        <w:jc w:val="both"/>
        <w:rPr>
          <w:rFonts w:eastAsia="楷体_GB2312"/>
          <w:lang w:eastAsia="zh-CN"/>
        </w:rPr>
      </w:pPr>
      <w:bookmarkStart w:id="340" w:name="_Ref25522585"/>
      <w:r>
        <w:rPr>
          <w:rFonts w:eastAsia="楷体_GB2312"/>
          <w:lang w:eastAsia="zh-CN"/>
        </w:rPr>
        <w:t>转入“本金分账户”相当于以下(a)+(b)+(c)-(d)的金额：(a)在最近一个“收款期间”成为“违约贷款”的“个人汽车贷款”在成为“违约贷款”时的“未偿本金余额”，(b)在除最近一个“收款期间”外的以往的“收款期间”成为“违约贷款”的“个人汽车贷款”在成为“违约贷款”时的“未偿本金余额”，(c)在以往的所有的“信托分配日”按照本合同第</w:t>
      </w:r>
      <w:r>
        <w:rPr>
          <w:rFonts w:eastAsia="楷体_GB2312"/>
        </w:rPr>
        <w:fldChar w:fldCharType="begin"/>
      </w:r>
      <w:r>
        <w:rPr>
          <w:rFonts w:eastAsia="楷体_GB2312"/>
          <w:lang w:eastAsia="zh-CN"/>
        </w:rPr>
        <w:instrText xml:space="preserve"> REF _Ref201565108 \r \h  \* MERGEFORMAT </w:instrText>
      </w:r>
      <w:r>
        <w:rPr>
          <w:rFonts w:eastAsia="楷体_GB2312"/>
        </w:rPr>
        <w:fldChar w:fldCharType="separate"/>
      </w:r>
      <w:r>
        <w:rPr>
          <w:rFonts w:eastAsia="楷体_GB2312"/>
          <w:lang w:eastAsia="zh-CN"/>
        </w:rPr>
        <w:t>9.5.2</w:t>
      </w:r>
      <w:r>
        <w:rPr>
          <w:rFonts w:eastAsia="楷体_GB2312"/>
        </w:rPr>
        <w:fldChar w:fldCharType="end"/>
      </w:r>
      <w:r>
        <w:rPr>
          <w:rFonts w:eastAsia="楷体_GB2312"/>
          <w:lang w:eastAsia="zh-CN"/>
        </w:rPr>
        <w:t>款第</w:t>
      </w:r>
      <w:r>
        <w:rPr>
          <w:rFonts w:eastAsia="楷体_GB2312"/>
        </w:rPr>
        <w:fldChar w:fldCharType="begin"/>
      </w:r>
      <w:r>
        <w:rPr>
          <w:rFonts w:eastAsia="楷体_GB2312"/>
          <w:lang w:eastAsia="zh-CN"/>
        </w:rPr>
        <w:instrText xml:space="preserve"> REF _Ref156558991 \r \h  \* MERGEFORMAT </w:instrText>
      </w:r>
      <w:r>
        <w:rPr>
          <w:rFonts w:eastAsia="楷体_GB2312"/>
        </w:rPr>
        <w:fldChar w:fldCharType="separate"/>
      </w:r>
      <w:r>
        <w:rPr>
          <w:rFonts w:eastAsia="楷体_GB2312"/>
          <w:lang w:eastAsia="zh-CN"/>
        </w:rPr>
        <w:t>(1)</w:t>
      </w:r>
      <w:r>
        <w:rPr>
          <w:rFonts w:eastAsia="楷体_GB2312"/>
        </w:rPr>
        <w:fldChar w:fldCharType="end"/>
      </w:r>
      <w:r>
        <w:rPr>
          <w:rFonts w:eastAsia="楷体_GB2312"/>
          <w:lang w:eastAsia="zh-CN"/>
        </w:rPr>
        <w:t>项已从“本金分账户”转至“收入分账户”的金额，(d)在以往的所有“信托分配日”按照本合同第</w:t>
      </w:r>
      <w:r>
        <w:rPr>
          <w:rFonts w:eastAsia="楷体_GB2312"/>
        </w:rPr>
        <w:fldChar w:fldCharType="begin"/>
      </w:r>
      <w:r>
        <w:rPr>
          <w:rFonts w:eastAsia="楷体_GB2312"/>
          <w:lang w:eastAsia="zh-CN"/>
        </w:rPr>
        <w:instrText xml:space="preserve"> REF _Ref201564636 \r \h  \* MERGEFORMAT </w:instrText>
      </w:r>
      <w:r>
        <w:rPr>
          <w:rFonts w:eastAsia="楷体_GB2312"/>
        </w:rPr>
        <w:fldChar w:fldCharType="separate"/>
      </w:r>
      <w:r>
        <w:rPr>
          <w:rFonts w:eastAsia="楷体_GB2312"/>
          <w:lang w:eastAsia="zh-CN"/>
        </w:rPr>
        <w:t>9.5.1</w:t>
      </w:r>
      <w:r>
        <w:rPr>
          <w:rFonts w:eastAsia="楷体_GB2312"/>
        </w:rPr>
        <w:fldChar w:fldCharType="end"/>
      </w:r>
      <w:r>
        <w:rPr>
          <w:rFonts w:eastAsia="楷体_GB2312"/>
          <w:lang w:eastAsia="zh-CN"/>
        </w:rPr>
        <w:t>款第</w:t>
      </w:r>
      <w:r>
        <w:rPr>
          <w:rFonts w:eastAsia="楷体_GB2312"/>
          <w:lang w:eastAsia="zh-CN"/>
        </w:rPr>
        <w:fldChar w:fldCharType="begin"/>
      </w:r>
      <w:r>
        <w:rPr>
          <w:rFonts w:eastAsia="楷体_GB2312"/>
          <w:lang w:eastAsia="zh-CN"/>
        </w:rPr>
        <w:instrText xml:space="preserve"> REF _Ref25522585 \r \h  \* MERGEFORMAT </w:instrText>
      </w:r>
      <w:r>
        <w:rPr>
          <w:rFonts w:eastAsia="楷体_GB2312"/>
          <w:lang w:eastAsia="zh-CN"/>
        </w:rPr>
        <w:fldChar w:fldCharType="separate"/>
      </w:r>
      <w:r>
        <w:rPr>
          <w:rFonts w:eastAsia="楷体_GB2312"/>
          <w:lang w:eastAsia="zh-CN"/>
        </w:rPr>
        <w:t>(6)</w:t>
      </w:r>
      <w:r>
        <w:rPr>
          <w:rFonts w:eastAsia="楷体_GB2312"/>
          <w:lang w:eastAsia="zh-CN"/>
        </w:rPr>
        <w:fldChar w:fldCharType="end"/>
      </w:r>
      <w:r>
        <w:rPr>
          <w:rFonts w:eastAsia="楷体_GB2312"/>
          <w:lang w:eastAsia="zh-CN"/>
        </w:rPr>
        <w:t>项约定由“收入分账户”转入“本金分账户”的金额；</w:t>
      </w:r>
      <w:bookmarkEnd w:id="340"/>
    </w:p>
    <w:p w14:paraId="7CF57861">
      <w:pPr>
        <w:widowControl w:val="0"/>
        <w:spacing w:line="360" w:lineRule="auto"/>
        <w:ind w:left="1635"/>
        <w:jc w:val="both"/>
        <w:rPr>
          <w:rFonts w:eastAsia="楷体_GB2312"/>
          <w:lang w:eastAsia="zh-CN"/>
        </w:rPr>
      </w:pPr>
    </w:p>
    <w:p w14:paraId="70180989">
      <w:pPr>
        <w:widowControl w:val="0"/>
        <w:numPr>
          <w:ilvl w:val="0"/>
          <w:numId w:val="16"/>
        </w:numPr>
        <w:tabs>
          <w:tab w:val="left" w:pos="1843"/>
          <w:tab w:val="clear" w:pos="1635"/>
        </w:tabs>
        <w:spacing w:line="360" w:lineRule="auto"/>
        <w:ind w:left="2127" w:leftChars="709" w:hanging="425"/>
        <w:jc w:val="both"/>
        <w:rPr>
          <w:rFonts w:eastAsia="楷体_GB2312"/>
          <w:lang w:eastAsia="zh-CN"/>
        </w:rPr>
      </w:pPr>
      <w:r>
        <w:rPr>
          <w:rFonts w:eastAsia="楷体_GB2312"/>
          <w:lang w:eastAsia="zh-CN"/>
        </w:rPr>
        <w:t>如果“发起机构”是“贷款服务机构”，将应支付给“贷款服务机构”的“服务报酬”总额转入“信托分配（费用和开支）账户”；</w:t>
      </w:r>
    </w:p>
    <w:p w14:paraId="6532C6FA">
      <w:pPr>
        <w:widowControl w:val="0"/>
        <w:spacing w:line="360" w:lineRule="auto"/>
        <w:ind w:left="1635"/>
        <w:jc w:val="both"/>
        <w:rPr>
          <w:rFonts w:eastAsia="楷体_GB2312"/>
          <w:lang w:eastAsia="zh-CN"/>
        </w:rPr>
      </w:pPr>
    </w:p>
    <w:p w14:paraId="6808488C">
      <w:pPr>
        <w:widowControl w:val="0"/>
        <w:numPr>
          <w:ilvl w:val="0"/>
          <w:numId w:val="16"/>
        </w:numPr>
        <w:tabs>
          <w:tab w:val="left" w:pos="1843"/>
          <w:tab w:val="clear" w:pos="1635"/>
        </w:tabs>
        <w:spacing w:line="360" w:lineRule="auto"/>
        <w:ind w:left="2127" w:leftChars="709" w:hanging="425"/>
        <w:jc w:val="both"/>
        <w:rPr>
          <w:rFonts w:eastAsia="楷体_GB2312"/>
          <w:lang w:eastAsia="zh-CN"/>
        </w:rPr>
      </w:pPr>
      <w:bookmarkStart w:id="341" w:name="_Ref332790249"/>
      <w:r>
        <w:rPr>
          <w:rFonts w:eastAsia="楷体_GB2312"/>
          <w:lang w:eastAsia="zh-CN"/>
        </w:rPr>
        <w:t>同顺序、按各笔款项应受偿金额的比例将应付给“受托机构”、“贷款服务机构”、“资金保管机构”、“登记托管机构”、“支付代理机构”、“评级机构”（如有）、“审计师”（如有）以及“后备贷款服务机构”（如有）超过“优先支出上限”的“费用支出”转入“信托分配（费用和开支）账户”；</w:t>
      </w:r>
      <w:bookmarkEnd w:id="341"/>
    </w:p>
    <w:p w14:paraId="20D419FF">
      <w:pPr>
        <w:widowControl w:val="0"/>
        <w:spacing w:line="360" w:lineRule="auto"/>
        <w:ind w:left="1635"/>
        <w:jc w:val="both"/>
        <w:rPr>
          <w:rFonts w:eastAsia="楷体_GB2312"/>
          <w:b/>
          <w:lang w:eastAsia="zh-CN"/>
        </w:rPr>
      </w:pPr>
    </w:p>
    <w:p w14:paraId="03F61E23">
      <w:pPr>
        <w:widowControl w:val="0"/>
        <w:numPr>
          <w:ilvl w:val="0"/>
          <w:numId w:val="16"/>
        </w:numPr>
        <w:tabs>
          <w:tab w:val="left" w:pos="1843"/>
          <w:tab w:val="clear" w:pos="1635"/>
        </w:tabs>
        <w:spacing w:line="360" w:lineRule="auto"/>
        <w:ind w:left="2127" w:leftChars="709" w:hanging="425"/>
        <w:jc w:val="both"/>
        <w:rPr>
          <w:rFonts w:eastAsia="楷体_GB2312"/>
          <w:lang w:eastAsia="zh-CN"/>
        </w:rPr>
      </w:pPr>
      <w:r>
        <w:rPr>
          <w:rFonts w:eastAsia="楷体_GB2312"/>
          <w:lang w:eastAsia="zh-CN"/>
        </w:rPr>
        <w:t>如果发生“加速清偿事件”，则将全部余额记入“本金分账户”；如果未发生“加速清偿事件”，则按照以下顺序继续分配；</w:t>
      </w:r>
    </w:p>
    <w:p w14:paraId="13EED7AB">
      <w:pPr>
        <w:widowControl w:val="0"/>
        <w:spacing w:line="360" w:lineRule="auto"/>
        <w:ind w:left="1635"/>
        <w:jc w:val="both"/>
        <w:rPr>
          <w:rFonts w:eastAsia="楷体_GB2312"/>
          <w:lang w:eastAsia="zh-CN"/>
        </w:rPr>
      </w:pPr>
    </w:p>
    <w:p w14:paraId="4CD48261">
      <w:pPr>
        <w:widowControl w:val="0"/>
        <w:numPr>
          <w:ilvl w:val="0"/>
          <w:numId w:val="16"/>
        </w:numPr>
        <w:tabs>
          <w:tab w:val="left" w:pos="1843"/>
          <w:tab w:val="clear" w:pos="1635"/>
        </w:tabs>
        <w:spacing w:line="360" w:lineRule="auto"/>
        <w:ind w:left="2127" w:leftChars="709" w:hanging="425"/>
        <w:jc w:val="both"/>
        <w:rPr>
          <w:rFonts w:eastAsia="楷体_GB2312"/>
          <w:lang w:eastAsia="zh-CN"/>
        </w:rPr>
      </w:pPr>
      <w:bookmarkStart w:id="342" w:name="_Ref332294804"/>
      <w:r>
        <w:rPr>
          <w:rFonts w:eastAsia="楷体_GB2312"/>
          <w:lang w:eastAsia="zh-CN"/>
        </w:rPr>
        <w:t>若本期产品不设置存续期资产的持续购买，则将当期所有余额作为“次级资产支持证券”的收益，转入“信托分配（证券）账户”；若本期产品设置存续期资产的持续购买，在“持续购买期”内，剩余金额留存于“收入分账户”内；在“摊还期”内，将当期所有余额作为“次级资产支持证券”的收益，转入“信托分配（证券）账户”。</w:t>
      </w:r>
      <w:bookmarkEnd w:id="342"/>
    </w:p>
    <w:bookmarkEnd w:id="337"/>
    <w:p w14:paraId="0F9A931D">
      <w:pPr>
        <w:widowControl w:val="0"/>
        <w:spacing w:line="360" w:lineRule="auto"/>
        <w:ind w:left="1635"/>
        <w:jc w:val="both"/>
        <w:rPr>
          <w:rFonts w:eastAsia="楷体_GB2312"/>
          <w:b/>
          <w:lang w:eastAsia="zh-CN"/>
        </w:rPr>
      </w:pPr>
    </w:p>
    <w:p w14:paraId="380A8B23">
      <w:pPr>
        <w:widowControl w:val="0"/>
        <w:numPr>
          <w:ilvl w:val="2"/>
          <w:numId w:val="8"/>
        </w:numPr>
        <w:tabs>
          <w:tab w:val="left" w:pos="1620"/>
        </w:tabs>
        <w:spacing w:line="360" w:lineRule="auto"/>
        <w:ind w:left="1620" w:hanging="769"/>
        <w:jc w:val="both"/>
        <w:rPr>
          <w:rFonts w:eastAsia="楷体_GB2312"/>
          <w:b/>
          <w:lang w:eastAsia="zh-CN"/>
        </w:rPr>
      </w:pPr>
      <w:bookmarkStart w:id="343" w:name="_Ref201565108"/>
      <w:r>
        <w:rPr>
          <w:rFonts w:eastAsia="楷体_GB2312"/>
          <w:b/>
          <w:lang w:eastAsia="zh-CN"/>
        </w:rPr>
        <w:t>违约事件发生前，</w:t>
      </w:r>
      <w:bookmarkStart w:id="344" w:name="_Ref111346654"/>
      <w:r>
        <w:rPr>
          <w:rFonts w:eastAsia="楷体_GB2312"/>
          <w:b/>
          <w:lang w:eastAsia="zh-CN"/>
        </w:rPr>
        <w:t>本金分账户项下资金的</w:t>
      </w:r>
      <w:bookmarkEnd w:id="344"/>
      <w:r>
        <w:rPr>
          <w:rFonts w:eastAsia="楷体_GB2312"/>
          <w:b/>
          <w:lang w:eastAsia="zh-CN"/>
        </w:rPr>
        <w:t>分配</w:t>
      </w:r>
      <w:bookmarkEnd w:id="343"/>
    </w:p>
    <w:p w14:paraId="0788A21F">
      <w:pPr>
        <w:widowControl w:val="0"/>
        <w:spacing w:line="360" w:lineRule="auto"/>
        <w:jc w:val="both"/>
        <w:rPr>
          <w:rFonts w:eastAsia="楷体_GB2312"/>
          <w:lang w:eastAsia="zh-CN"/>
        </w:rPr>
      </w:pPr>
    </w:p>
    <w:p w14:paraId="1FC04206">
      <w:pPr>
        <w:widowControl w:val="0"/>
        <w:spacing w:line="360" w:lineRule="auto"/>
        <w:ind w:left="1620"/>
        <w:jc w:val="both"/>
        <w:rPr>
          <w:rFonts w:eastAsia="楷体_GB2312"/>
          <w:lang w:eastAsia="zh-CN"/>
        </w:rPr>
      </w:pPr>
      <w:r>
        <w:rPr>
          <w:rFonts w:eastAsia="楷体_GB2312"/>
          <w:lang w:eastAsia="zh-CN"/>
        </w:rPr>
        <w:t>在“违约事件”发生前的每个“信托分配日”，“受托人”应将在最近一个“收款期间”收到的“本金回收款”以及于该“信托分配日”分别按照本合同第</w:t>
      </w:r>
      <w:r>
        <w:rPr>
          <w:rFonts w:eastAsia="楷体_GB2312"/>
        </w:rPr>
        <w:fldChar w:fldCharType="begin"/>
      </w:r>
      <w:r>
        <w:rPr>
          <w:rFonts w:eastAsia="楷体_GB2312"/>
          <w:lang w:eastAsia="zh-CN"/>
        </w:rPr>
        <w:instrText xml:space="preserve"> REF _Ref201564636 \r \h  \* MERGEFORMAT </w:instrText>
      </w:r>
      <w:r>
        <w:rPr>
          <w:rFonts w:eastAsia="楷体_GB2312"/>
        </w:rPr>
        <w:fldChar w:fldCharType="separate"/>
      </w:r>
      <w:r>
        <w:rPr>
          <w:rFonts w:eastAsia="楷体_GB2312"/>
          <w:lang w:eastAsia="zh-CN"/>
        </w:rPr>
        <w:t>9.5.1</w:t>
      </w:r>
      <w:r>
        <w:rPr>
          <w:rFonts w:eastAsia="楷体_GB2312"/>
        </w:rPr>
        <w:fldChar w:fldCharType="end"/>
      </w:r>
      <w:r>
        <w:rPr>
          <w:rFonts w:eastAsia="楷体_GB2312"/>
          <w:lang w:eastAsia="zh-CN"/>
        </w:rPr>
        <w:t>款和第</w:t>
      </w:r>
      <w:r>
        <w:rPr>
          <w:rFonts w:eastAsia="楷体_GB2312"/>
        </w:rPr>
        <w:fldChar w:fldCharType="begin"/>
      </w:r>
      <w:r>
        <w:rPr>
          <w:rFonts w:eastAsia="楷体_GB2312"/>
          <w:lang w:eastAsia="zh-CN"/>
        </w:rPr>
        <w:instrText xml:space="preserve"> REF _Ref333757529 \r \h  \* MERGEFORMAT </w:instrText>
      </w:r>
      <w:r>
        <w:rPr>
          <w:rFonts w:eastAsia="楷体_GB2312"/>
        </w:rPr>
        <w:fldChar w:fldCharType="separate"/>
      </w:r>
      <w:r>
        <w:rPr>
          <w:rFonts w:eastAsia="楷体_GB2312"/>
          <w:lang w:eastAsia="zh-CN"/>
        </w:rPr>
        <w:t>9.10</w:t>
      </w:r>
      <w:r>
        <w:rPr>
          <w:rFonts w:eastAsia="楷体_GB2312"/>
        </w:rPr>
        <w:fldChar w:fldCharType="end"/>
      </w:r>
      <w:r>
        <w:rPr>
          <w:rFonts w:eastAsia="楷体_GB2312"/>
          <w:lang w:eastAsia="zh-CN"/>
        </w:rPr>
        <w:t>款的约定由“收入分账户”和“</w:t>
      </w:r>
      <w:r>
        <w:rPr>
          <w:rFonts w:eastAsia="楷体_GB2312"/>
          <w:lang w:val="en-GB" w:eastAsia="zh-CN"/>
        </w:rPr>
        <w:t>信托（混同）储备账户</w:t>
      </w:r>
      <w:r>
        <w:rPr>
          <w:rFonts w:eastAsia="楷体_GB2312"/>
          <w:lang w:eastAsia="zh-CN"/>
        </w:rPr>
        <w:t>”转入“本金分账户”的资金的总金额（但下述第</w:t>
      </w:r>
      <w:r>
        <w:rPr>
          <w:rFonts w:eastAsia="楷体_GB2312"/>
          <w:lang w:eastAsia="zh-CN"/>
        </w:rPr>
        <w:fldChar w:fldCharType="begin"/>
      </w:r>
      <w:r>
        <w:rPr>
          <w:rFonts w:eastAsia="楷体_GB2312"/>
          <w:lang w:eastAsia="zh-CN"/>
        </w:rPr>
        <w:instrText xml:space="preserve"> REF _Ref150542634 \r \h  \* MERGEFORMAT </w:instrText>
      </w:r>
      <w:r>
        <w:rPr>
          <w:rFonts w:eastAsia="楷体_GB2312"/>
          <w:lang w:eastAsia="zh-CN"/>
        </w:rPr>
        <w:fldChar w:fldCharType="separate"/>
      </w:r>
      <w:r>
        <w:rPr>
          <w:rFonts w:eastAsia="楷体_GB2312"/>
          <w:lang w:eastAsia="zh-CN"/>
        </w:rPr>
        <w:t>(1)</w:t>
      </w:r>
      <w:r>
        <w:rPr>
          <w:rFonts w:eastAsia="楷体_GB2312"/>
          <w:lang w:eastAsia="zh-CN"/>
        </w:rPr>
        <w:fldChar w:fldCharType="end"/>
      </w:r>
      <w:r>
        <w:rPr>
          <w:rFonts w:eastAsia="楷体_GB2312"/>
          <w:lang w:eastAsia="zh-CN"/>
        </w:rPr>
        <w:t>项应在相关款项从“收入分账户”转入“本金分账户”之前作出）按以下顺序进行分配（如同一顺序的多笔款项不足以同时足额支付，则按各笔款项应受偿金额的比例支付，且所差金额应按以下顺序在下一期支付）；若本期产品设置存续期资产的持续购买，在“持续购买期”内，上述金额仅进行以下第</w:t>
      </w:r>
      <w:r>
        <w:rPr>
          <w:rFonts w:eastAsia="楷体_GB2312"/>
          <w:lang w:eastAsia="zh-CN"/>
        </w:rPr>
        <w:fldChar w:fldCharType="begin"/>
      </w:r>
      <w:r>
        <w:rPr>
          <w:rFonts w:eastAsia="楷体_GB2312"/>
          <w:lang w:eastAsia="zh-CN"/>
        </w:rPr>
        <w:instrText xml:space="preserve"> REF _Ref156558991 \r \h  \* MERGEFORMAT </w:instrText>
      </w:r>
      <w:r>
        <w:rPr>
          <w:rFonts w:eastAsia="楷体_GB2312"/>
          <w:lang w:eastAsia="zh-CN"/>
        </w:rPr>
        <w:fldChar w:fldCharType="separate"/>
      </w:r>
      <w:r>
        <w:rPr>
          <w:rFonts w:eastAsia="楷体_GB2312"/>
          <w:lang w:eastAsia="zh-CN"/>
        </w:rPr>
        <w:t>(1)</w:t>
      </w:r>
      <w:r>
        <w:rPr>
          <w:rFonts w:eastAsia="楷体_GB2312"/>
          <w:lang w:eastAsia="zh-CN"/>
        </w:rPr>
        <w:fldChar w:fldCharType="end"/>
      </w:r>
      <w:r>
        <w:rPr>
          <w:rFonts w:eastAsia="楷体_GB2312"/>
          <w:lang w:eastAsia="zh-CN"/>
        </w:rPr>
        <w:t>项分配（如需），其余资金用于向“委托人”根据“《资产持续购买合同》”的约定持续购买新增“基础资产”，持续购买后剩余资金（如有）留存于“本金分账户”（可用于“合格投资”和/或在下一期持续购买新增“基础资产”）：</w:t>
      </w:r>
    </w:p>
    <w:p w14:paraId="2DB1B3F3">
      <w:pPr>
        <w:widowControl w:val="0"/>
        <w:spacing w:line="360" w:lineRule="auto"/>
        <w:ind w:left="1635"/>
        <w:jc w:val="both"/>
        <w:rPr>
          <w:rFonts w:eastAsia="楷体_GB2312"/>
          <w:lang w:eastAsia="zh-CN"/>
        </w:rPr>
      </w:pPr>
    </w:p>
    <w:p w14:paraId="15514DF7">
      <w:pPr>
        <w:widowControl w:val="0"/>
        <w:numPr>
          <w:ilvl w:val="0"/>
          <w:numId w:val="17"/>
        </w:numPr>
        <w:tabs>
          <w:tab w:val="left" w:pos="1843"/>
          <w:tab w:val="clear" w:pos="1635"/>
        </w:tabs>
        <w:spacing w:line="360" w:lineRule="auto"/>
        <w:ind w:left="2127" w:leftChars="709" w:hanging="425"/>
        <w:jc w:val="both"/>
        <w:rPr>
          <w:rFonts w:eastAsia="楷体_GB2312"/>
          <w:lang w:eastAsia="zh-CN"/>
        </w:rPr>
      </w:pPr>
      <w:bookmarkStart w:id="345" w:name="_Ref156558991"/>
      <w:bookmarkStart w:id="346" w:name="_Ref150542634"/>
      <w:r>
        <w:rPr>
          <w:rFonts w:eastAsia="楷体_GB2312"/>
          <w:lang w:eastAsia="zh-CN"/>
        </w:rPr>
        <w:t>转入“收入分账户”项下一定数额资金，以确保“收入分账户”项下余额（包括已从“信托（流动性）储备账户”转入的相应款项）可以足额支付本合同第</w:t>
      </w:r>
      <w:r>
        <w:rPr>
          <w:rFonts w:eastAsia="楷体_GB2312"/>
        </w:rPr>
        <w:fldChar w:fldCharType="begin"/>
      </w:r>
      <w:r>
        <w:rPr>
          <w:rFonts w:eastAsia="楷体_GB2312"/>
          <w:lang w:eastAsia="zh-CN"/>
        </w:rPr>
        <w:instrText xml:space="preserve"> REF _Ref201564636 \r \h  \* MERGEFORMAT </w:instrText>
      </w:r>
      <w:r>
        <w:rPr>
          <w:rFonts w:eastAsia="楷体_GB2312"/>
        </w:rPr>
        <w:fldChar w:fldCharType="separate"/>
      </w:r>
      <w:r>
        <w:rPr>
          <w:rFonts w:eastAsia="楷体_GB2312"/>
          <w:lang w:eastAsia="zh-CN"/>
        </w:rPr>
        <w:t>9.5.1</w:t>
      </w:r>
      <w:r>
        <w:rPr>
          <w:rFonts w:eastAsia="楷体_GB2312"/>
        </w:rPr>
        <w:fldChar w:fldCharType="end"/>
      </w:r>
      <w:r>
        <w:rPr>
          <w:rFonts w:eastAsia="楷体_GB2312"/>
          <w:lang w:eastAsia="zh-CN"/>
        </w:rPr>
        <w:t>款第</w:t>
      </w:r>
      <w:r>
        <w:rPr>
          <w:rFonts w:eastAsia="楷体_GB2312"/>
          <w:lang w:eastAsia="zh-CN"/>
        </w:rPr>
        <w:fldChar w:fldCharType="begin"/>
      </w:r>
      <w:r>
        <w:rPr>
          <w:rFonts w:eastAsia="楷体_GB2312"/>
          <w:lang w:eastAsia="zh-CN"/>
        </w:rPr>
        <w:instrText xml:space="preserve"> REF _Ref112316473 \r \h  \* MERGEFORMAT </w:instrText>
      </w:r>
      <w:r>
        <w:rPr>
          <w:rFonts w:eastAsia="楷体_GB2312"/>
          <w:lang w:eastAsia="zh-CN"/>
        </w:rPr>
        <w:fldChar w:fldCharType="separate"/>
      </w:r>
      <w:r>
        <w:rPr>
          <w:rFonts w:eastAsia="楷体_GB2312"/>
          <w:lang w:eastAsia="zh-CN"/>
        </w:rPr>
        <w:t>(1)</w:t>
      </w:r>
      <w:r>
        <w:rPr>
          <w:rFonts w:eastAsia="楷体_GB2312"/>
          <w:lang w:eastAsia="zh-CN"/>
        </w:rPr>
        <w:fldChar w:fldCharType="end"/>
      </w:r>
      <w:r>
        <w:rPr>
          <w:rFonts w:eastAsia="楷体_GB2312"/>
          <w:lang w:eastAsia="zh-CN"/>
        </w:rPr>
        <w:t>项至第</w:t>
      </w:r>
      <w:r>
        <w:rPr>
          <w:rFonts w:eastAsia="楷体_GB2312"/>
          <w:lang w:eastAsia="zh-CN"/>
        </w:rPr>
        <w:fldChar w:fldCharType="begin"/>
      </w:r>
      <w:r>
        <w:rPr>
          <w:rFonts w:eastAsia="楷体_GB2312"/>
          <w:lang w:eastAsia="zh-CN"/>
        </w:rPr>
        <w:instrText xml:space="preserve"> REF _Ref25501630 \r \h  \* MERGEFORMAT </w:instrText>
      </w:r>
      <w:r>
        <w:rPr>
          <w:rFonts w:eastAsia="楷体_GB2312"/>
          <w:lang w:eastAsia="zh-CN"/>
        </w:rPr>
        <w:fldChar w:fldCharType="separate"/>
      </w:r>
      <w:r>
        <w:rPr>
          <w:rFonts w:eastAsia="楷体_GB2312"/>
          <w:lang w:eastAsia="zh-CN"/>
        </w:rPr>
        <w:t>(5)</w:t>
      </w:r>
      <w:r>
        <w:rPr>
          <w:rFonts w:eastAsia="楷体_GB2312"/>
          <w:lang w:eastAsia="zh-CN"/>
        </w:rPr>
        <w:fldChar w:fldCharType="end"/>
      </w:r>
      <w:r>
        <w:rPr>
          <w:rFonts w:eastAsia="楷体_GB2312"/>
          <w:lang w:eastAsia="zh-CN"/>
        </w:rPr>
        <w:t>项</w:t>
      </w:r>
      <w:r>
        <w:rPr>
          <w:rFonts w:eastAsia="楷体_GB2312"/>
          <w:bCs/>
          <w:lang w:eastAsia="zh-CN"/>
        </w:rPr>
        <w:t>约</w:t>
      </w:r>
      <w:r>
        <w:rPr>
          <w:rFonts w:eastAsia="楷体_GB2312"/>
          <w:lang w:eastAsia="zh-CN"/>
        </w:rPr>
        <w:t>定的应付款项；</w:t>
      </w:r>
      <w:bookmarkEnd w:id="345"/>
      <w:bookmarkEnd w:id="346"/>
    </w:p>
    <w:p w14:paraId="6B28CAA7">
      <w:pPr>
        <w:widowControl w:val="0"/>
        <w:spacing w:line="360" w:lineRule="auto"/>
        <w:ind w:left="1635"/>
        <w:jc w:val="both"/>
        <w:rPr>
          <w:rFonts w:eastAsia="楷体_GB2312"/>
          <w:lang w:eastAsia="zh-CN"/>
        </w:rPr>
      </w:pPr>
    </w:p>
    <w:p w14:paraId="16F36547">
      <w:pPr>
        <w:widowControl w:val="0"/>
        <w:numPr>
          <w:ilvl w:val="0"/>
          <w:numId w:val="17"/>
        </w:numPr>
        <w:tabs>
          <w:tab w:val="left" w:pos="1843"/>
          <w:tab w:val="clear" w:pos="1635"/>
        </w:tabs>
        <w:spacing w:line="360" w:lineRule="auto"/>
        <w:ind w:left="2127" w:leftChars="709" w:hanging="425"/>
        <w:jc w:val="both"/>
        <w:rPr>
          <w:rFonts w:eastAsia="楷体_GB2312"/>
          <w:lang w:eastAsia="zh-CN"/>
        </w:rPr>
      </w:pPr>
      <w:bookmarkStart w:id="347" w:name="_Ref304473342"/>
      <w:r>
        <w:rPr>
          <w:rFonts w:eastAsia="楷体_GB2312"/>
          <w:lang w:eastAsia="zh-CN"/>
        </w:rPr>
        <w:t>如果尚未发生“加速清偿事件”，按照以下顺序将相应资金转入“信托分配（证券）账户”，</w:t>
      </w:r>
      <w:r>
        <w:rPr>
          <w:rFonts w:eastAsia="宋体"/>
          <w:lang w:eastAsia="zh-CN"/>
        </w:rPr>
        <w:t>(a)</w:t>
      </w:r>
      <w:r>
        <w:rPr>
          <w:rFonts w:eastAsia="楷体_GB2312"/>
          <w:lang w:eastAsia="zh-CN"/>
        </w:rPr>
        <w:t>如果“优先A2级资产支持证券”的本金尚未清偿完毕，则首先支付“优先A1级资产支持证券”的本金，直至在该“信托分配日”后第一个“支付日”支付完毕后的“优先A1级资产支持证券”的本金余额达到本合同</w:t>
      </w:r>
      <w:r>
        <w:rPr>
          <w:rFonts w:eastAsia="楷体_GB2312"/>
          <w:b/>
          <w:bCs/>
          <w:i/>
          <w:iCs/>
          <w:lang w:eastAsia="zh-CN"/>
        </w:rPr>
        <w:t>附件十</w:t>
      </w:r>
      <w:r>
        <w:rPr>
          <w:rFonts w:hint="eastAsia" w:eastAsia="楷体_GB2312"/>
          <w:b/>
          <w:bCs/>
          <w:i/>
          <w:iCs/>
          <w:lang w:eastAsia="zh-CN"/>
        </w:rPr>
        <w:t>一</w:t>
      </w:r>
      <w:r>
        <w:rPr>
          <w:rFonts w:eastAsia="楷体_GB2312"/>
          <w:lang w:eastAsia="zh-CN"/>
        </w:rPr>
        <w:t>“优先A1级资产支持证券”本金摊还计划表约定的该“信托分配日”后第一个“支付日”“优先A1级资产支持证券”对应的余额，然后支付“优先A2级资产支持证券”的“未偿本金余额”，直至全部“优先A2级资产支持证券”的本金清偿完毕；</w:t>
      </w:r>
      <w:r>
        <w:rPr>
          <w:rFonts w:eastAsia="宋体"/>
          <w:lang w:eastAsia="zh-CN"/>
        </w:rPr>
        <w:t>(b)</w:t>
      </w:r>
      <w:r>
        <w:rPr>
          <w:rFonts w:eastAsia="楷体_GB2312"/>
          <w:lang w:eastAsia="zh-CN"/>
        </w:rPr>
        <w:t>若“优先A2级资产支持证券”的本金已清偿完毕而“优先A1级资产支持证券”的本金尚未清偿完毕，则继续支付“优先A1级资产支持证券”的“未偿本金余额”，直至全部“优先A1级资产支持证券”的本金清偿完毕；</w:t>
      </w:r>
    </w:p>
    <w:p w14:paraId="12810AF8">
      <w:pPr>
        <w:pStyle w:val="40"/>
        <w:ind w:firstLine="480"/>
        <w:jc w:val="both"/>
        <w:rPr>
          <w:rFonts w:eastAsia="楷体_GB2312"/>
          <w:lang w:eastAsia="zh-CN"/>
        </w:rPr>
      </w:pPr>
    </w:p>
    <w:p w14:paraId="7B8E8C14">
      <w:pPr>
        <w:widowControl w:val="0"/>
        <w:numPr>
          <w:ilvl w:val="0"/>
          <w:numId w:val="17"/>
        </w:numPr>
        <w:tabs>
          <w:tab w:val="left" w:pos="1843"/>
          <w:tab w:val="clear" w:pos="1635"/>
        </w:tabs>
        <w:spacing w:line="360" w:lineRule="auto"/>
        <w:ind w:left="2127" w:leftChars="709" w:hanging="425"/>
        <w:jc w:val="both"/>
        <w:rPr>
          <w:rFonts w:eastAsia="楷体_GB2312"/>
          <w:lang w:eastAsia="zh-CN"/>
        </w:rPr>
      </w:pPr>
      <w:r>
        <w:rPr>
          <w:rFonts w:eastAsia="楷体_GB2312"/>
          <w:bCs/>
          <w:lang w:eastAsia="zh-CN"/>
        </w:rPr>
        <w:t>如果发生“加速清偿事件”，则</w:t>
      </w:r>
      <w:r>
        <w:rPr>
          <w:rFonts w:eastAsia="楷体_GB2312"/>
          <w:szCs w:val="21"/>
        </w:rPr>
        <w:t>转入“信托分配（证券）账户”一定金额用以支</w:t>
      </w:r>
      <w:r>
        <w:rPr>
          <w:rFonts w:eastAsia="楷体_GB2312"/>
          <w:szCs w:val="21"/>
          <w:lang w:eastAsia="zh-CN"/>
        </w:rPr>
        <w:t>付“优先A1级资产支持证券”和“优先A2级资产支持证券”的</w:t>
      </w:r>
      <w:r>
        <w:rPr>
          <w:rFonts w:eastAsia="楷体_GB2312"/>
          <w:lang w:eastAsia="zh-CN"/>
        </w:rPr>
        <w:t>“未偿本金余额”，直至全部“优先级资产支持证券”的本金清偿完毕；</w:t>
      </w:r>
    </w:p>
    <w:bookmarkEnd w:id="347"/>
    <w:p w14:paraId="26A0E01E">
      <w:pPr>
        <w:spacing w:line="360" w:lineRule="auto"/>
        <w:jc w:val="both"/>
        <w:rPr>
          <w:rFonts w:eastAsia="楷体_GB2312"/>
          <w:b/>
          <w:lang w:eastAsia="zh-CN"/>
        </w:rPr>
      </w:pPr>
    </w:p>
    <w:p w14:paraId="04C29454">
      <w:pPr>
        <w:widowControl w:val="0"/>
        <w:numPr>
          <w:ilvl w:val="0"/>
          <w:numId w:val="17"/>
        </w:numPr>
        <w:tabs>
          <w:tab w:val="left" w:pos="1843"/>
          <w:tab w:val="clear" w:pos="1635"/>
        </w:tabs>
        <w:spacing w:line="360" w:lineRule="auto"/>
        <w:ind w:left="2127" w:leftChars="709" w:hanging="425"/>
        <w:jc w:val="both"/>
        <w:rPr>
          <w:rFonts w:eastAsia="楷体_GB2312"/>
          <w:lang w:eastAsia="zh-CN"/>
        </w:rPr>
      </w:pPr>
      <w:bookmarkStart w:id="348" w:name="_Ref120420254"/>
      <w:r>
        <w:rPr>
          <w:rFonts w:eastAsia="楷体_GB2312"/>
          <w:lang w:eastAsia="zh-CN"/>
        </w:rPr>
        <w:t>转入“信托分配（证券）账户”一定金额，</w:t>
      </w:r>
      <w:r>
        <w:rPr>
          <w:rFonts w:eastAsia="楷体_GB2312"/>
          <w:lang w:val="en-GB" w:eastAsia="zh-CN"/>
        </w:rPr>
        <w:t>直至已转入的该款项数额等于所有“次级资产支持证券”在该“信托分配日”的“未偿本金余额”之和</w:t>
      </w:r>
      <w:r>
        <w:rPr>
          <w:rFonts w:eastAsia="楷体_GB2312"/>
          <w:lang w:eastAsia="zh-CN"/>
        </w:rPr>
        <w:t>；</w:t>
      </w:r>
    </w:p>
    <w:p w14:paraId="37C0FB2F">
      <w:pPr>
        <w:spacing w:line="360" w:lineRule="auto"/>
        <w:ind w:left="1276"/>
        <w:jc w:val="both"/>
        <w:rPr>
          <w:rFonts w:eastAsia="楷体_GB2312"/>
          <w:lang w:eastAsia="zh-CN"/>
        </w:rPr>
      </w:pPr>
    </w:p>
    <w:p w14:paraId="01711B69">
      <w:pPr>
        <w:widowControl w:val="0"/>
        <w:numPr>
          <w:ilvl w:val="0"/>
          <w:numId w:val="17"/>
        </w:numPr>
        <w:tabs>
          <w:tab w:val="left" w:pos="1843"/>
          <w:tab w:val="clear" w:pos="1635"/>
        </w:tabs>
        <w:spacing w:line="360" w:lineRule="auto"/>
        <w:ind w:left="2127" w:leftChars="709" w:hanging="425"/>
        <w:jc w:val="both"/>
        <w:rPr>
          <w:rFonts w:eastAsia="楷体_GB2312"/>
          <w:lang w:eastAsia="zh-CN"/>
        </w:rPr>
      </w:pPr>
      <w:r>
        <w:rPr>
          <w:rFonts w:eastAsia="楷体_GB2312"/>
          <w:lang w:eastAsia="zh-CN"/>
        </w:rPr>
        <w:t>剩余资金全部作为“次级资产支持证券”的收益，转入“信托分配（证券）账户”。</w:t>
      </w:r>
      <w:bookmarkEnd w:id="348"/>
    </w:p>
    <w:p w14:paraId="6B353CBF">
      <w:pPr>
        <w:spacing w:line="360" w:lineRule="auto"/>
        <w:ind w:left="2340" w:hanging="1064"/>
        <w:jc w:val="both"/>
        <w:rPr>
          <w:rFonts w:eastAsia="楷体_GB2312"/>
          <w:b/>
          <w:lang w:eastAsia="zh-CN"/>
        </w:rPr>
      </w:pPr>
    </w:p>
    <w:p w14:paraId="74684EAA">
      <w:pPr>
        <w:widowControl w:val="0"/>
        <w:numPr>
          <w:ilvl w:val="1"/>
          <w:numId w:val="8"/>
        </w:numPr>
        <w:spacing w:line="360" w:lineRule="auto"/>
        <w:jc w:val="both"/>
        <w:outlineLvl w:val="1"/>
        <w:rPr>
          <w:rFonts w:eastAsia="楷体_GB2312"/>
          <w:b/>
          <w:lang w:eastAsia="zh-CN"/>
        </w:rPr>
      </w:pPr>
      <w:bookmarkStart w:id="349" w:name="_Ref173768326"/>
      <w:bookmarkStart w:id="350" w:name="_Ref180850304"/>
      <w:bookmarkStart w:id="351" w:name="_Toc201569422"/>
      <w:r>
        <w:rPr>
          <w:rFonts w:eastAsia="楷体_GB2312"/>
          <w:b/>
          <w:lang w:eastAsia="zh-CN"/>
        </w:rPr>
        <w:t>违约事件发生后</w:t>
      </w:r>
      <w:bookmarkEnd w:id="349"/>
      <w:r>
        <w:rPr>
          <w:rFonts w:eastAsia="楷体_GB2312"/>
          <w:b/>
          <w:lang w:eastAsia="zh-CN"/>
        </w:rPr>
        <w:t>的回收款分配</w:t>
      </w:r>
      <w:bookmarkEnd w:id="350"/>
      <w:bookmarkEnd w:id="351"/>
    </w:p>
    <w:p w14:paraId="609ECF0F">
      <w:pPr>
        <w:spacing w:line="360" w:lineRule="auto"/>
        <w:ind w:left="991" w:leftChars="413"/>
        <w:jc w:val="both"/>
        <w:rPr>
          <w:rFonts w:eastAsia="楷体_GB2312"/>
          <w:b/>
          <w:color w:val="FF0000"/>
          <w:lang w:eastAsia="zh-CN"/>
        </w:rPr>
      </w:pPr>
      <w:r>
        <w:rPr>
          <w:rFonts w:eastAsia="楷体_GB2312"/>
          <w:b/>
          <w:bCs/>
          <w:i/>
          <w:iCs/>
          <w:color w:val="FF0000"/>
          <w:lang w:eastAsia="zh-CN"/>
        </w:rPr>
        <w:t>【注：具体项目的现金流分配顺序、证券分层、账户设置可根据项目实际情况调整。】</w:t>
      </w:r>
    </w:p>
    <w:p w14:paraId="477A63AA">
      <w:pPr>
        <w:spacing w:line="360" w:lineRule="auto"/>
        <w:ind w:left="1080"/>
        <w:jc w:val="both"/>
        <w:rPr>
          <w:rFonts w:eastAsia="楷体_GB2312"/>
          <w:lang w:eastAsia="zh-CN"/>
        </w:rPr>
      </w:pPr>
      <w:r>
        <w:rPr>
          <w:rFonts w:eastAsia="楷体_GB2312"/>
          <w:lang w:eastAsia="zh-CN"/>
        </w:rPr>
        <w:t>在“违约事件”发生时或之后的每个“信托分配日”，“受托人”应将最近一个“收款期间”内收到的已存入“收入分账户”和“本金分账户”的“回收款”以及该“信托分配日”按照本合同第</w:t>
      </w:r>
      <w:r>
        <w:rPr>
          <w:rFonts w:eastAsia="楷体_GB2312"/>
          <w:lang w:eastAsia="zh-CN"/>
        </w:rPr>
        <w:fldChar w:fldCharType="begin"/>
      </w:r>
      <w:r>
        <w:rPr>
          <w:rFonts w:eastAsia="楷体_GB2312"/>
          <w:lang w:eastAsia="zh-CN"/>
        </w:rPr>
        <w:instrText xml:space="preserve"> REF _Ref332290272 \r \h  \* MERGEFORMAT </w:instrText>
      </w:r>
      <w:r>
        <w:rPr>
          <w:rFonts w:eastAsia="楷体_GB2312"/>
          <w:lang w:eastAsia="zh-CN"/>
        </w:rPr>
        <w:fldChar w:fldCharType="separate"/>
      </w:r>
      <w:r>
        <w:rPr>
          <w:rFonts w:eastAsia="楷体_GB2312"/>
          <w:lang w:eastAsia="zh-CN"/>
        </w:rPr>
        <w:t>9.8</w:t>
      </w:r>
      <w:r>
        <w:rPr>
          <w:rFonts w:eastAsia="楷体_GB2312"/>
          <w:lang w:eastAsia="zh-CN"/>
        </w:rPr>
        <w:fldChar w:fldCharType="end"/>
      </w:r>
      <w:r>
        <w:rPr>
          <w:rFonts w:eastAsia="楷体_GB2312"/>
          <w:lang w:eastAsia="zh-CN"/>
        </w:rPr>
        <w:t>款、第</w:t>
      </w:r>
      <w:r>
        <w:rPr>
          <w:rFonts w:eastAsia="楷体_GB2312"/>
        </w:rPr>
        <w:fldChar w:fldCharType="begin"/>
      </w:r>
      <w:r>
        <w:rPr>
          <w:rFonts w:eastAsia="楷体_GB2312"/>
          <w:lang w:eastAsia="zh-CN"/>
        </w:rPr>
        <w:instrText xml:space="preserve"> REF _Ref333757522 \r \h  \* MERGEFORMAT </w:instrText>
      </w:r>
      <w:r>
        <w:rPr>
          <w:rFonts w:eastAsia="楷体_GB2312"/>
        </w:rPr>
        <w:fldChar w:fldCharType="separate"/>
      </w:r>
      <w:r>
        <w:rPr>
          <w:rFonts w:eastAsia="楷体_GB2312"/>
          <w:lang w:eastAsia="zh-CN"/>
        </w:rPr>
        <w:t>9.9</w:t>
      </w:r>
      <w:r>
        <w:rPr>
          <w:rFonts w:eastAsia="楷体_GB2312"/>
        </w:rPr>
        <w:fldChar w:fldCharType="end"/>
      </w:r>
      <w:r>
        <w:rPr>
          <w:rFonts w:eastAsia="楷体_GB2312"/>
          <w:lang w:eastAsia="zh-CN"/>
        </w:rPr>
        <w:t>款、第</w:t>
      </w:r>
      <w:r>
        <w:rPr>
          <w:rFonts w:eastAsia="楷体_GB2312"/>
        </w:rPr>
        <w:fldChar w:fldCharType="begin"/>
      </w:r>
      <w:r>
        <w:rPr>
          <w:rFonts w:eastAsia="楷体_GB2312"/>
          <w:lang w:eastAsia="zh-CN"/>
        </w:rPr>
        <w:instrText xml:space="preserve"> REF _Ref333757529 \r \h  \* MERGEFORMAT </w:instrText>
      </w:r>
      <w:r>
        <w:rPr>
          <w:rFonts w:eastAsia="楷体_GB2312"/>
        </w:rPr>
        <w:fldChar w:fldCharType="separate"/>
      </w:r>
      <w:r>
        <w:rPr>
          <w:rFonts w:eastAsia="楷体_GB2312"/>
          <w:lang w:eastAsia="zh-CN"/>
        </w:rPr>
        <w:t>9.10</w:t>
      </w:r>
      <w:r>
        <w:rPr>
          <w:rFonts w:eastAsia="楷体_GB2312"/>
        </w:rPr>
        <w:fldChar w:fldCharType="end"/>
      </w:r>
      <w:r>
        <w:rPr>
          <w:rFonts w:eastAsia="楷体_GB2312"/>
          <w:lang w:eastAsia="zh-CN"/>
        </w:rPr>
        <w:t>款和第</w:t>
      </w:r>
      <w:r>
        <w:rPr>
          <w:rFonts w:eastAsia="楷体_GB2312"/>
        </w:rPr>
        <w:fldChar w:fldCharType="begin"/>
      </w:r>
      <w:r>
        <w:rPr>
          <w:rFonts w:eastAsia="楷体_GB2312"/>
          <w:lang w:eastAsia="zh-CN"/>
        </w:rPr>
        <w:instrText xml:space="preserve"> REF _Ref333757533 \r \h  \* MERGEFORMAT </w:instrText>
      </w:r>
      <w:r>
        <w:rPr>
          <w:rFonts w:eastAsia="楷体_GB2312"/>
        </w:rPr>
        <w:fldChar w:fldCharType="separate"/>
      </w:r>
      <w:r>
        <w:rPr>
          <w:rFonts w:eastAsia="楷体_GB2312"/>
          <w:lang w:eastAsia="zh-CN"/>
        </w:rPr>
        <w:t>9.11</w:t>
      </w:r>
      <w:r>
        <w:rPr>
          <w:rFonts w:eastAsia="楷体_GB2312"/>
        </w:rPr>
        <w:fldChar w:fldCharType="end"/>
      </w:r>
      <w:r>
        <w:rPr>
          <w:rFonts w:eastAsia="楷体_GB2312"/>
          <w:lang w:eastAsia="zh-CN"/>
        </w:rPr>
        <w:t>款从“信托（流动性）储备账户”、“信托（服务转移和通知）储备账户”、“信托（混同）储备账户”和“信托（税收）储备账户”转入“信托收款账户”的所有款项之和按以下顺序进行支付（如同一顺序的多笔款项不足以同时足额支付，则按各笔款项应受偿金额的比例支付，且所差金额应按以下顺序在下一期支付）：</w:t>
      </w:r>
    </w:p>
    <w:p w14:paraId="3D4E5C35">
      <w:pPr>
        <w:spacing w:line="360" w:lineRule="auto"/>
        <w:jc w:val="both"/>
        <w:rPr>
          <w:rFonts w:eastAsia="楷体_GB2312"/>
          <w:b/>
          <w:lang w:eastAsia="zh-CN"/>
        </w:rPr>
      </w:pPr>
    </w:p>
    <w:p w14:paraId="023422DE">
      <w:pPr>
        <w:widowControl w:val="0"/>
        <w:numPr>
          <w:ilvl w:val="0"/>
          <w:numId w:val="18"/>
        </w:numPr>
        <w:spacing w:line="360" w:lineRule="auto"/>
        <w:jc w:val="both"/>
        <w:rPr>
          <w:rFonts w:eastAsia="楷体_GB2312"/>
          <w:lang w:eastAsia="zh-CN"/>
        </w:rPr>
      </w:pPr>
      <w:bookmarkStart w:id="352" w:name="_Ref150893330"/>
      <w:r>
        <w:rPr>
          <w:rFonts w:eastAsia="楷体_GB2312"/>
          <w:lang w:eastAsia="zh-CN"/>
        </w:rPr>
        <w:t>依据“中国”“法律”，由“受托人”缴纳的与“信托”相关的“税收”和规费（包括但不限于增值税及附加等）；其中，“受托人”将依据相关“税收”计算公式所计算的“信托”“税收”（如有）以及“受托人”估算的其他与“税收”有关的合理金额（如有）记入“信托（税收）储备账户”；</w:t>
      </w:r>
      <w:bookmarkEnd w:id="352"/>
    </w:p>
    <w:p w14:paraId="252A484F">
      <w:pPr>
        <w:spacing w:line="360" w:lineRule="auto"/>
        <w:ind w:left="840" w:leftChars="350"/>
        <w:jc w:val="both"/>
        <w:rPr>
          <w:rFonts w:eastAsia="楷体_GB2312"/>
          <w:lang w:eastAsia="zh-CN"/>
        </w:rPr>
      </w:pPr>
    </w:p>
    <w:p w14:paraId="6224D83D">
      <w:pPr>
        <w:widowControl w:val="0"/>
        <w:numPr>
          <w:ilvl w:val="0"/>
          <w:numId w:val="18"/>
        </w:numPr>
        <w:spacing w:line="360" w:lineRule="auto"/>
        <w:jc w:val="both"/>
        <w:rPr>
          <w:rFonts w:eastAsia="楷体_GB2312"/>
          <w:lang w:eastAsia="zh-CN"/>
        </w:rPr>
      </w:pPr>
      <w:bookmarkStart w:id="353" w:name="_Ref196646001"/>
      <w:bookmarkStart w:id="354" w:name="_Ref150893332"/>
      <w:r>
        <w:rPr>
          <w:rFonts w:eastAsia="楷体_GB2312"/>
          <w:lang w:eastAsia="zh-CN"/>
        </w:rPr>
        <w:t>同顺序、按相应金额比例将应付给“受托机构”、“资金保管机构”、“登记托管机构”、“支付代理机构”、“评级机构”（如有）、“审计师”（如有）、“后备贷款服务机构”（如有）的“服务报酬”</w:t>
      </w:r>
      <w:r>
        <w:rPr>
          <w:rFonts w:hint="eastAsia" w:eastAsia="楷体_GB2312"/>
          <w:lang w:eastAsia="zh-CN"/>
        </w:rPr>
        <w:t>及</w:t>
      </w:r>
      <w:r>
        <w:rPr>
          <w:rFonts w:eastAsia="楷体_GB2312"/>
          <w:color w:val="000000"/>
        </w:rPr>
        <w:t>“受托人”因“清仓回购”而聘请</w:t>
      </w:r>
      <w:r>
        <w:rPr>
          <w:rFonts w:hint="eastAsia" w:eastAsia="楷体_GB2312"/>
          <w:color w:val="000000"/>
        </w:rPr>
        <w:t>第三方专业机构</w:t>
      </w:r>
      <w:r>
        <w:rPr>
          <w:rFonts w:eastAsia="楷体_GB2312"/>
          <w:color w:val="000000"/>
        </w:rPr>
        <w:t>对剩余“资产池”进行评估所发生的费用</w:t>
      </w:r>
      <w:r>
        <w:rPr>
          <w:rFonts w:hint="eastAsia" w:eastAsia="楷体_GB2312"/>
          <w:color w:val="000000"/>
        </w:rPr>
        <w:t>，</w:t>
      </w:r>
      <w:r>
        <w:rPr>
          <w:rFonts w:eastAsia="楷体_GB2312"/>
          <w:lang w:eastAsia="zh-CN"/>
        </w:rPr>
        <w:t>以及上述相关主体和“贷款服务机构”的“费用支出”转入“信托分配（费用和开支）账户”；</w:t>
      </w:r>
    </w:p>
    <w:p w14:paraId="3A888F53">
      <w:pPr>
        <w:widowControl w:val="0"/>
        <w:spacing w:line="360" w:lineRule="auto"/>
        <w:ind w:left="1455"/>
        <w:jc w:val="both"/>
        <w:rPr>
          <w:rFonts w:eastAsia="楷体_GB2312"/>
          <w:lang w:eastAsia="zh-CN"/>
        </w:rPr>
      </w:pPr>
    </w:p>
    <w:p w14:paraId="23EF43F6">
      <w:pPr>
        <w:widowControl w:val="0"/>
        <w:numPr>
          <w:ilvl w:val="0"/>
          <w:numId w:val="18"/>
        </w:numPr>
        <w:spacing w:line="360" w:lineRule="auto"/>
        <w:jc w:val="both"/>
        <w:rPr>
          <w:rFonts w:eastAsia="楷体_GB2312"/>
          <w:lang w:eastAsia="zh-CN"/>
        </w:rPr>
      </w:pPr>
      <w:r>
        <w:rPr>
          <w:rFonts w:eastAsia="楷体_GB2312"/>
          <w:lang w:eastAsia="zh-CN"/>
        </w:rPr>
        <w:t>如果该“违约事件”不是“贷款服务机构”直接或间接导致的，将支付给“贷款服务机构”的“服务报酬”总额转入“信托分配（费用和开支）账户”；</w:t>
      </w:r>
    </w:p>
    <w:p w14:paraId="2D0F01EB">
      <w:pPr>
        <w:widowControl w:val="0"/>
        <w:spacing w:line="360" w:lineRule="auto"/>
        <w:ind w:left="1455"/>
        <w:jc w:val="both"/>
        <w:rPr>
          <w:rFonts w:eastAsia="楷体_GB2312"/>
          <w:lang w:eastAsia="zh-CN"/>
        </w:rPr>
      </w:pPr>
    </w:p>
    <w:p w14:paraId="33C96E23">
      <w:pPr>
        <w:widowControl w:val="0"/>
        <w:numPr>
          <w:ilvl w:val="0"/>
          <w:numId w:val="18"/>
        </w:numPr>
        <w:spacing w:line="360" w:lineRule="auto"/>
        <w:jc w:val="both"/>
        <w:rPr>
          <w:rFonts w:eastAsia="楷体_GB2312"/>
          <w:lang w:eastAsia="zh-CN"/>
        </w:rPr>
      </w:pPr>
      <w:r>
        <w:rPr>
          <w:rFonts w:eastAsia="楷体_GB2312"/>
          <w:lang w:eastAsia="zh-CN"/>
        </w:rPr>
        <w:t>将应支付的该“信托分配日”后第一个“支付日”累计应付未付的“优先A1级资产支持证券”和“优先A2级资产支持证券”的利息款项转入“信托分配（证券）账户”；</w:t>
      </w:r>
    </w:p>
    <w:p w14:paraId="5192FF6B">
      <w:pPr>
        <w:widowControl w:val="0"/>
        <w:spacing w:line="360" w:lineRule="auto"/>
        <w:ind w:left="1455"/>
        <w:jc w:val="both"/>
        <w:rPr>
          <w:rFonts w:eastAsia="楷体_GB2312"/>
          <w:lang w:eastAsia="zh-CN"/>
        </w:rPr>
      </w:pPr>
    </w:p>
    <w:p w14:paraId="0F5D8963">
      <w:pPr>
        <w:widowControl w:val="0"/>
        <w:numPr>
          <w:ilvl w:val="0"/>
          <w:numId w:val="18"/>
        </w:numPr>
        <w:spacing w:line="360" w:lineRule="auto"/>
        <w:jc w:val="both"/>
        <w:rPr>
          <w:rFonts w:eastAsia="楷体_GB2312"/>
          <w:lang w:eastAsia="zh-CN"/>
        </w:rPr>
      </w:pPr>
      <w:r>
        <w:rPr>
          <w:rFonts w:eastAsia="楷体_GB2312"/>
          <w:lang w:eastAsia="zh-CN"/>
        </w:rPr>
        <w:t>转入“信托分配（证券）账户”一定金额，直至已转入的该款项数额等于“优先A1级资产支持证券”和“优先A2级资产支持证券”在“该信托分配日”的“未偿本金余额”之和；</w:t>
      </w:r>
    </w:p>
    <w:p w14:paraId="126C4275">
      <w:pPr>
        <w:widowControl w:val="0"/>
        <w:spacing w:line="360" w:lineRule="auto"/>
        <w:ind w:left="1455"/>
        <w:jc w:val="both"/>
        <w:rPr>
          <w:rFonts w:eastAsia="楷体_GB2312"/>
          <w:lang w:eastAsia="zh-CN"/>
        </w:rPr>
      </w:pPr>
    </w:p>
    <w:p w14:paraId="5E3E2B6A">
      <w:pPr>
        <w:widowControl w:val="0"/>
        <w:numPr>
          <w:ilvl w:val="0"/>
          <w:numId w:val="18"/>
        </w:numPr>
        <w:spacing w:line="360" w:lineRule="auto"/>
        <w:jc w:val="both"/>
        <w:rPr>
          <w:rFonts w:eastAsia="楷体_GB2312"/>
          <w:lang w:eastAsia="zh-CN"/>
        </w:rPr>
      </w:pPr>
      <w:bookmarkStart w:id="355" w:name="_Ref332790779"/>
      <w:r>
        <w:rPr>
          <w:rFonts w:eastAsia="楷体_GB2312"/>
          <w:lang w:eastAsia="zh-CN"/>
        </w:rPr>
        <w:t>如果该“违约事件”是“贷款服务机构”直接或间接引致的，将应支付的“贷款服务机构”的“服务报酬”总额转入“信托分配（费用和开支）账户”；</w:t>
      </w:r>
      <w:bookmarkEnd w:id="355"/>
    </w:p>
    <w:p w14:paraId="12146218">
      <w:pPr>
        <w:widowControl w:val="0"/>
        <w:spacing w:line="360" w:lineRule="auto"/>
        <w:ind w:left="1455"/>
        <w:jc w:val="both"/>
        <w:rPr>
          <w:rFonts w:eastAsia="楷体_GB2312"/>
          <w:lang w:eastAsia="zh-CN"/>
        </w:rPr>
      </w:pPr>
    </w:p>
    <w:p w14:paraId="3303EB5E">
      <w:pPr>
        <w:widowControl w:val="0"/>
        <w:numPr>
          <w:ilvl w:val="0"/>
          <w:numId w:val="18"/>
        </w:numPr>
        <w:spacing w:line="360" w:lineRule="auto"/>
        <w:jc w:val="both"/>
        <w:rPr>
          <w:rFonts w:eastAsia="楷体_GB2312"/>
          <w:lang w:eastAsia="zh-CN"/>
        </w:rPr>
      </w:pPr>
      <w:r>
        <w:rPr>
          <w:rFonts w:eastAsia="楷体_GB2312"/>
          <w:lang w:eastAsia="zh-CN"/>
        </w:rPr>
        <w:t>转入“信托分配（证券）账户”一定金额，直至已转入的该款项数额等于所有“次级资产支持证券”在该“信托分配日”的“未偿本金余额”之和；</w:t>
      </w:r>
    </w:p>
    <w:p w14:paraId="386934EA">
      <w:pPr>
        <w:widowControl w:val="0"/>
        <w:spacing w:line="360" w:lineRule="auto"/>
        <w:ind w:left="1455"/>
        <w:jc w:val="both"/>
        <w:rPr>
          <w:rFonts w:eastAsia="楷体_GB2312"/>
          <w:lang w:eastAsia="zh-CN"/>
        </w:rPr>
      </w:pPr>
    </w:p>
    <w:p w14:paraId="371FBE97">
      <w:pPr>
        <w:widowControl w:val="0"/>
        <w:numPr>
          <w:ilvl w:val="0"/>
          <w:numId w:val="18"/>
        </w:numPr>
        <w:spacing w:line="360" w:lineRule="auto"/>
        <w:jc w:val="both"/>
        <w:rPr>
          <w:rFonts w:eastAsia="楷体_GB2312"/>
          <w:lang w:eastAsia="zh-CN"/>
        </w:rPr>
      </w:pPr>
      <w:r>
        <w:rPr>
          <w:rFonts w:eastAsia="楷体_GB2312"/>
          <w:lang w:eastAsia="zh-CN"/>
        </w:rPr>
        <w:t>剩余资金全部作为“次级资产支持证券”的收益，转入“信托分配（证券）账户”。</w:t>
      </w:r>
    </w:p>
    <w:p w14:paraId="57DF6891">
      <w:pPr>
        <w:pStyle w:val="40"/>
        <w:ind w:firstLine="480"/>
        <w:jc w:val="both"/>
        <w:rPr>
          <w:rFonts w:eastAsia="楷体_GB2312"/>
          <w:lang w:eastAsia="zh-CN"/>
        </w:rPr>
      </w:pPr>
    </w:p>
    <w:p w14:paraId="30BB67FB">
      <w:pPr>
        <w:spacing w:line="360" w:lineRule="auto"/>
        <w:ind w:left="1080"/>
        <w:jc w:val="both"/>
        <w:rPr>
          <w:rFonts w:eastAsia="楷体_GB2312"/>
          <w:lang w:eastAsia="zh-CN"/>
        </w:rPr>
      </w:pPr>
      <w:r>
        <w:rPr>
          <w:rFonts w:eastAsia="楷体_GB2312"/>
          <w:lang w:eastAsia="zh-CN"/>
        </w:rPr>
        <w:t>在“资产支持证券持有人大会”确认该“违约事件”是否由“贷款服务机构”引致之前，“受托机构”应按照“违约事件”非因“贷款服务机构”引致的分配顺序进行分配。</w:t>
      </w:r>
    </w:p>
    <w:bookmarkEnd w:id="353"/>
    <w:bookmarkEnd w:id="354"/>
    <w:p w14:paraId="2090D1D7">
      <w:pPr>
        <w:tabs>
          <w:tab w:val="left" w:pos="1800"/>
          <w:tab w:val="left" w:pos="1980"/>
        </w:tabs>
        <w:spacing w:line="360" w:lineRule="auto"/>
        <w:ind w:left="840"/>
        <w:jc w:val="both"/>
        <w:rPr>
          <w:rFonts w:eastAsia="楷体_GB2312"/>
          <w:lang w:eastAsia="zh-CN"/>
        </w:rPr>
      </w:pPr>
    </w:p>
    <w:p w14:paraId="6ECEEDC9">
      <w:pPr>
        <w:widowControl w:val="0"/>
        <w:numPr>
          <w:ilvl w:val="1"/>
          <w:numId w:val="8"/>
        </w:numPr>
        <w:spacing w:line="360" w:lineRule="auto"/>
        <w:jc w:val="both"/>
        <w:outlineLvl w:val="1"/>
        <w:rPr>
          <w:rFonts w:eastAsia="楷体_GB2312"/>
          <w:b/>
          <w:lang w:eastAsia="zh-CN"/>
        </w:rPr>
      </w:pPr>
      <w:bookmarkStart w:id="356" w:name="_Ref201654968"/>
      <w:r>
        <w:rPr>
          <w:rFonts w:eastAsia="楷体_GB2312"/>
          <w:b/>
          <w:lang w:eastAsia="zh-CN"/>
        </w:rPr>
        <w:t>信托终止后信托财产的分配</w:t>
      </w:r>
      <w:bookmarkEnd w:id="356"/>
    </w:p>
    <w:p w14:paraId="13851934">
      <w:pPr>
        <w:tabs>
          <w:tab w:val="left" w:pos="1800"/>
          <w:tab w:val="left" w:pos="1980"/>
        </w:tabs>
        <w:spacing w:line="360" w:lineRule="auto"/>
        <w:ind w:left="960" w:leftChars="400"/>
        <w:jc w:val="both"/>
        <w:rPr>
          <w:rFonts w:eastAsia="楷体_GB2312"/>
          <w:color w:val="FF0000"/>
          <w:lang w:eastAsia="zh-CN"/>
        </w:rPr>
      </w:pPr>
      <w:r>
        <w:rPr>
          <w:rFonts w:eastAsia="楷体_GB2312"/>
          <w:b/>
          <w:bCs/>
          <w:i/>
          <w:iCs/>
          <w:color w:val="FF0000"/>
          <w:lang w:eastAsia="zh-CN"/>
        </w:rPr>
        <w:t>【注：具体项目的现金流分配顺序、证券分层、账户设置可根据项目实际情况调整。】</w:t>
      </w:r>
    </w:p>
    <w:p w14:paraId="7424A9FE">
      <w:pPr>
        <w:spacing w:line="360" w:lineRule="auto"/>
        <w:ind w:left="1080"/>
        <w:jc w:val="both"/>
        <w:rPr>
          <w:rFonts w:eastAsia="楷体_GB2312"/>
          <w:lang w:eastAsia="zh-CN"/>
        </w:rPr>
      </w:pPr>
      <w:r>
        <w:rPr>
          <w:rFonts w:eastAsia="楷体_GB2312"/>
          <w:lang w:eastAsia="zh-CN"/>
        </w:rPr>
        <w:t>在“信托终止日”后，“受托人”应将清算所得的“回收款”以及“信托账户”内的其他资金的总金额（但不包括“混同储备金额”，除非该等资金根据本合同约定转入“信托收款账户”）按以下顺序进行分配（如同一顺序的多笔款项不足以同时足额支付，则按各笔款项应受偿金额的比例支付）：</w:t>
      </w:r>
    </w:p>
    <w:p w14:paraId="3D9A67C4">
      <w:pPr>
        <w:spacing w:line="360" w:lineRule="auto"/>
        <w:jc w:val="both"/>
        <w:rPr>
          <w:rFonts w:eastAsia="楷体_GB2312"/>
          <w:b/>
          <w:lang w:eastAsia="zh-CN"/>
        </w:rPr>
      </w:pPr>
    </w:p>
    <w:p w14:paraId="678B92A8">
      <w:pPr>
        <w:widowControl w:val="0"/>
        <w:numPr>
          <w:ilvl w:val="0"/>
          <w:numId w:val="19"/>
        </w:numPr>
        <w:spacing w:line="360" w:lineRule="auto"/>
        <w:jc w:val="both"/>
        <w:rPr>
          <w:rFonts w:eastAsia="楷体_GB2312"/>
          <w:lang w:eastAsia="zh-CN"/>
        </w:rPr>
      </w:pPr>
      <w:r>
        <w:rPr>
          <w:rFonts w:eastAsia="楷体_GB2312"/>
          <w:lang w:eastAsia="zh-CN"/>
        </w:rPr>
        <w:t>依据“中国”“法律”，由“受托人”缴纳的与“信托”相关的“税收”和规费（包括但不限于增值税及附加）；</w:t>
      </w:r>
    </w:p>
    <w:p w14:paraId="708629AB">
      <w:pPr>
        <w:spacing w:line="360" w:lineRule="auto"/>
        <w:ind w:left="1080"/>
        <w:jc w:val="both"/>
        <w:rPr>
          <w:rFonts w:eastAsia="楷体_GB2312"/>
          <w:lang w:eastAsia="zh-CN"/>
        </w:rPr>
      </w:pPr>
    </w:p>
    <w:p w14:paraId="65F981E0">
      <w:pPr>
        <w:widowControl w:val="0"/>
        <w:numPr>
          <w:ilvl w:val="0"/>
          <w:numId w:val="19"/>
        </w:numPr>
        <w:spacing w:line="360" w:lineRule="auto"/>
        <w:jc w:val="both"/>
        <w:rPr>
          <w:rFonts w:eastAsia="楷体_GB2312"/>
          <w:lang w:eastAsia="zh-CN"/>
        </w:rPr>
      </w:pPr>
      <w:r>
        <w:rPr>
          <w:rFonts w:eastAsia="楷体_GB2312"/>
          <w:lang w:eastAsia="zh-CN"/>
        </w:rPr>
        <w:t>根据“交易文件”清算“信托财产”所发生的费用；</w:t>
      </w:r>
    </w:p>
    <w:p w14:paraId="2FF858D9">
      <w:pPr>
        <w:spacing w:line="360" w:lineRule="auto"/>
        <w:ind w:left="1080"/>
        <w:jc w:val="both"/>
        <w:rPr>
          <w:rFonts w:eastAsia="楷体_GB2312"/>
          <w:lang w:eastAsia="zh-CN"/>
        </w:rPr>
      </w:pPr>
    </w:p>
    <w:p w14:paraId="65755AF1">
      <w:pPr>
        <w:widowControl w:val="0"/>
        <w:numPr>
          <w:ilvl w:val="0"/>
          <w:numId w:val="19"/>
        </w:numPr>
        <w:spacing w:line="360" w:lineRule="auto"/>
        <w:jc w:val="both"/>
        <w:rPr>
          <w:rFonts w:eastAsia="楷体_GB2312"/>
          <w:lang w:eastAsia="zh-CN"/>
        </w:rPr>
      </w:pPr>
      <w:r>
        <w:rPr>
          <w:rFonts w:eastAsia="楷体_GB2312"/>
          <w:lang w:eastAsia="zh-CN"/>
        </w:rPr>
        <w:t>同顺序、按相应金额比例支付应付给“受托机构”、“资金保管机构”、“登记托管机构”、“支付代理机构”、“贷款服务机构”、“评级机构”（如有）、“审计师”、“后备贷款服务机构”（如有）的“服务报酬”和“费用支出”</w:t>
      </w:r>
      <w:r>
        <w:rPr>
          <w:rFonts w:hint="eastAsia" w:eastAsia="楷体_GB2312"/>
          <w:lang w:eastAsia="zh-CN"/>
        </w:rPr>
        <w:t>及</w:t>
      </w:r>
      <w:r>
        <w:rPr>
          <w:rFonts w:eastAsia="楷体_GB2312"/>
          <w:color w:val="000000"/>
        </w:rPr>
        <w:t>“受托人”因“清仓回购”而聘请</w:t>
      </w:r>
      <w:r>
        <w:rPr>
          <w:rFonts w:hint="eastAsia" w:eastAsia="楷体_GB2312"/>
          <w:color w:val="000000"/>
        </w:rPr>
        <w:t>第三方专业机构</w:t>
      </w:r>
      <w:r>
        <w:rPr>
          <w:rFonts w:eastAsia="楷体_GB2312"/>
          <w:color w:val="000000"/>
        </w:rPr>
        <w:t>对剩余“资产池”进行评估所发生的费用</w:t>
      </w:r>
      <w:r>
        <w:rPr>
          <w:rFonts w:eastAsia="楷体_GB2312"/>
          <w:lang w:eastAsia="zh-CN"/>
        </w:rPr>
        <w:t>，以及应由“信托财产”承担的其他“费用支出”；</w:t>
      </w:r>
    </w:p>
    <w:p w14:paraId="622EAEC8">
      <w:pPr>
        <w:spacing w:line="360" w:lineRule="auto"/>
        <w:ind w:left="1080"/>
        <w:jc w:val="both"/>
        <w:rPr>
          <w:rFonts w:eastAsia="楷体_GB2312"/>
          <w:lang w:eastAsia="zh-CN"/>
        </w:rPr>
      </w:pPr>
    </w:p>
    <w:p w14:paraId="33F429B1">
      <w:pPr>
        <w:widowControl w:val="0"/>
        <w:numPr>
          <w:ilvl w:val="0"/>
          <w:numId w:val="19"/>
        </w:numPr>
        <w:spacing w:line="360" w:lineRule="auto"/>
        <w:jc w:val="both"/>
        <w:rPr>
          <w:rFonts w:eastAsia="楷体_GB2312"/>
          <w:lang w:eastAsia="zh-CN"/>
        </w:rPr>
      </w:pPr>
      <w:r>
        <w:rPr>
          <w:rFonts w:eastAsia="楷体_GB2312"/>
          <w:lang w:eastAsia="zh-CN"/>
        </w:rPr>
        <w:t>同顺序支付“优先A1级资产支持证券”和“优先A2级资产支持证券”的利息，直至应付“优先级资产支持证券”利息为零；</w:t>
      </w:r>
    </w:p>
    <w:p w14:paraId="38F02885">
      <w:pPr>
        <w:spacing w:line="360" w:lineRule="auto"/>
        <w:ind w:left="1080"/>
        <w:jc w:val="both"/>
        <w:rPr>
          <w:rFonts w:eastAsia="楷体_GB2312"/>
          <w:lang w:eastAsia="zh-CN"/>
        </w:rPr>
      </w:pPr>
    </w:p>
    <w:p w14:paraId="704F3926">
      <w:pPr>
        <w:widowControl w:val="0"/>
        <w:numPr>
          <w:ilvl w:val="0"/>
          <w:numId w:val="19"/>
        </w:numPr>
        <w:spacing w:line="360" w:lineRule="auto"/>
        <w:jc w:val="both"/>
        <w:rPr>
          <w:rFonts w:eastAsia="楷体_GB2312"/>
          <w:lang w:eastAsia="zh-CN"/>
        </w:rPr>
      </w:pPr>
      <w:r>
        <w:rPr>
          <w:rFonts w:eastAsia="楷体_GB2312"/>
          <w:lang w:eastAsia="zh-CN"/>
        </w:rPr>
        <w:t>同顺序按“未偿本金余额”比例支付“优先A1级资产支持证券”和“优先A2级资产支持证券”的“未偿本金余额”，直至全部“优先级资产支持证券”的本金清偿完毕；</w:t>
      </w:r>
    </w:p>
    <w:p w14:paraId="2A5067E8">
      <w:pPr>
        <w:pStyle w:val="40"/>
        <w:spacing w:line="360" w:lineRule="auto"/>
        <w:ind w:firstLine="480"/>
        <w:jc w:val="both"/>
        <w:rPr>
          <w:rFonts w:eastAsia="楷体_GB2312"/>
          <w:lang w:eastAsia="zh-CN"/>
        </w:rPr>
      </w:pPr>
    </w:p>
    <w:p w14:paraId="69AF07EB">
      <w:pPr>
        <w:widowControl w:val="0"/>
        <w:numPr>
          <w:ilvl w:val="0"/>
          <w:numId w:val="19"/>
        </w:numPr>
        <w:spacing w:line="360" w:lineRule="auto"/>
        <w:jc w:val="both"/>
        <w:rPr>
          <w:rFonts w:eastAsia="楷体_GB2312"/>
          <w:lang w:eastAsia="zh-CN"/>
        </w:rPr>
      </w:pPr>
      <w:r>
        <w:rPr>
          <w:rFonts w:eastAsia="楷体_GB2312"/>
        </w:rPr>
        <w:t>如届时“贷款服务机构”同时为“次级资产支持证券持有人”，则经“次级资产支持证券持有人”一致同意，“受托人”可以以剩余“信托财产”原状的方式向所有</w:t>
      </w:r>
      <w:r>
        <w:rPr>
          <w:rFonts w:eastAsia="楷体_GB2312"/>
          <w:lang w:eastAsia="zh-CN"/>
        </w:rPr>
        <w:t>“次级资产支持证券持有人”</w:t>
      </w:r>
      <w:r>
        <w:rPr>
          <w:rFonts w:eastAsia="楷体_GB2312"/>
        </w:rPr>
        <w:t>进行分配，具体的分配方案应当经</w:t>
      </w:r>
      <w:r>
        <w:rPr>
          <w:rFonts w:eastAsia="楷体_GB2312"/>
          <w:lang w:eastAsia="zh-CN"/>
        </w:rPr>
        <w:t>“次级资产支持证券持有人”</w:t>
      </w:r>
      <w:r>
        <w:rPr>
          <w:rFonts w:eastAsia="楷体_GB2312"/>
        </w:rPr>
        <w:t>书面一致同意方可进行；如</w:t>
      </w:r>
      <w:r>
        <w:rPr>
          <w:rFonts w:eastAsia="楷体_GB2312"/>
          <w:lang w:eastAsia="zh-CN"/>
        </w:rPr>
        <w:t>“次级资产支持证券持有人”</w:t>
      </w:r>
      <w:r>
        <w:rPr>
          <w:rFonts w:eastAsia="楷体_GB2312"/>
        </w:rPr>
        <w:t>不能就分配方案达成书面的一致意见，则“受托人”应当按照本合同约定清算“非现金信托财产”，并将“回收款”继续按以下顺序进行分配；</w:t>
      </w:r>
    </w:p>
    <w:p w14:paraId="7ACFBE00">
      <w:pPr>
        <w:pStyle w:val="40"/>
        <w:ind w:firstLine="480"/>
        <w:rPr>
          <w:rFonts w:eastAsia="楷体_GB2312"/>
          <w:lang w:eastAsia="zh-CN"/>
        </w:rPr>
      </w:pPr>
    </w:p>
    <w:p w14:paraId="0EB8FAF7">
      <w:pPr>
        <w:widowControl w:val="0"/>
        <w:tabs>
          <w:tab w:val="left" w:pos="1455"/>
        </w:tabs>
        <w:spacing w:line="360" w:lineRule="auto"/>
        <w:ind w:left="1455"/>
        <w:jc w:val="both"/>
        <w:rPr>
          <w:rFonts w:eastAsia="楷体_GB2312"/>
          <w:b/>
          <w:bCs/>
          <w:i/>
          <w:iCs/>
          <w:color w:val="FF0000"/>
          <w:lang w:eastAsia="zh-CN"/>
        </w:rPr>
      </w:pPr>
      <w:r>
        <w:rPr>
          <w:rFonts w:eastAsia="楷体_GB2312"/>
          <w:b/>
          <w:bCs/>
          <w:i/>
          <w:iCs/>
          <w:color w:val="FF0000"/>
          <w:lang w:eastAsia="zh-CN"/>
        </w:rPr>
        <w:t>【注：关于原状分配条款可结合项目实际情况予以调整。】</w:t>
      </w:r>
    </w:p>
    <w:p w14:paraId="69809E09">
      <w:pPr>
        <w:pStyle w:val="40"/>
        <w:spacing w:line="360" w:lineRule="auto"/>
        <w:ind w:firstLine="480"/>
        <w:jc w:val="both"/>
        <w:rPr>
          <w:rFonts w:eastAsia="楷体_GB2312"/>
          <w:lang w:eastAsia="zh-CN"/>
        </w:rPr>
      </w:pPr>
    </w:p>
    <w:p w14:paraId="063BA3FA">
      <w:pPr>
        <w:widowControl w:val="0"/>
        <w:numPr>
          <w:ilvl w:val="0"/>
          <w:numId w:val="19"/>
        </w:numPr>
        <w:spacing w:line="360" w:lineRule="auto"/>
        <w:jc w:val="both"/>
        <w:rPr>
          <w:rFonts w:eastAsia="楷体_GB2312"/>
          <w:lang w:eastAsia="zh-CN"/>
        </w:rPr>
      </w:pPr>
      <w:r>
        <w:rPr>
          <w:rFonts w:eastAsia="楷体_GB2312"/>
          <w:lang w:eastAsia="zh-CN"/>
        </w:rPr>
        <w:t>同顺序按“未偿本金余额”比例支付“次级资产支持证券”的“未偿本金余额”，直至“次级资产支持证券”的本金清偿完毕；</w:t>
      </w:r>
    </w:p>
    <w:p w14:paraId="390E6618">
      <w:pPr>
        <w:spacing w:line="360" w:lineRule="auto"/>
        <w:ind w:left="1080"/>
        <w:jc w:val="both"/>
        <w:rPr>
          <w:rFonts w:eastAsia="楷体_GB2312"/>
          <w:lang w:eastAsia="zh-CN"/>
        </w:rPr>
      </w:pPr>
    </w:p>
    <w:p w14:paraId="786F6A00">
      <w:pPr>
        <w:widowControl w:val="0"/>
        <w:numPr>
          <w:ilvl w:val="0"/>
          <w:numId w:val="19"/>
        </w:numPr>
        <w:spacing w:line="360" w:lineRule="auto"/>
        <w:jc w:val="both"/>
        <w:rPr>
          <w:rFonts w:eastAsia="楷体_GB2312"/>
          <w:lang w:eastAsia="zh-CN"/>
        </w:rPr>
      </w:pPr>
      <w:r>
        <w:rPr>
          <w:rFonts w:eastAsia="楷体_GB2312"/>
          <w:lang w:eastAsia="zh-CN"/>
        </w:rPr>
        <w:t>剩余资金全部作为“次级资产支持证券”的收益。</w:t>
      </w:r>
      <w:bookmarkStart w:id="357" w:name="_Ref180852012"/>
      <w:bookmarkStart w:id="358" w:name="_Toc201569425"/>
      <w:bookmarkStart w:id="359" w:name="_Ref180850323"/>
      <w:bookmarkStart w:id="360" w:name="_Ref201565336"/>
    </w:p>
    <w:p w14:paraId="6542868C">
      <w:pPr>
        <w:pStyle w:val="40"/>
        <w:ind w:firstLine="480"/>
        <w:jc w:val="both"/>
        <w:rPr>
          <w:rFonts w:eastAsia="楷体_GB2312"/>
          <w:lang w:eastAsia="zh-CN"/>
        </w:rPr>
      </w:pPr>
    </w:p>
    <w:p w14:paraId="44308F23">
      <w:pPr>
        <w:widowControl w:val="0"/>
        <w:numPr>
          <w:ilvl w:val="1"/>
          <w:numId w:val="8"/>
        </w:numPr>
        <w:spacing w:line="360" w:lineRule="auto"/>
        <w:jc w:val="both"/>
        <w:outlineLvl w:val="1"/>
        <w:rPr>
          <w:rFonts w:eastAsia="楷体_GB2312"/>
          <w:b/>
          <w:lang w:eastAsia="zh-CN"/>
        </w:rPr>
      </w:pPr>
      <w:bookmarkStart w:id="361" w:name="_Ref332290272"/>
      <w:r>
        <w:rPr>
          <w:rFonts w:eastAsia="楷体_GB2312"/>
          <w:b/>
          <w:lang w:eastAsia="zh-CN"/>
        </w:rPr>
        <w:t>信托（流动性）储备账户资金的运用</w:t>
      </w:r>
      <w:bookmarkEnd w:id="361"/>
    </w:p>
    <w:p w14:paraId="15F0093C">
      <w:pPr>
        <w:tabs>
          <w:tab w:val="left" w:pos="1800"/>
          <w:tab w:val="left" w:pos="1980"/>
        </w:tabs>
        <w:spacing w:line="360" w:lineRule="auto"/>
        <w:ind w:left="480" w:leftChars="200" w:firstLine="482" w:firstLineChars="200"/>
        <w:jc w:val="both"/>
        <w:rPr>
          <w:rFonts w:eastAsia="楷体_GB2312"/>
          <w:color w:val="FF0000"/>
          <w:lang w:eastAsia="zh-CN"/>
        </w:rPr>
      </w:pPr>
      <w:r>
        <w:rPr>
          <w:rFonts w:eastAsia="楷体_GB2312"/>
          <w:b/>
          <w:bCs/>
          <w:i/>
          <w:iCs/>
          <w:color w:val="FF0000"/>
          <w:lang w:eastAsia="zh-CN"/>
        </w:rPr>
        <w:t>【注：各账户具体资金运用可根据项目实际情况调整。】</w:t>
      </w:r>
    </w:p>
    <w:p w14:paraId="349EFC45">
      <w:pPr>
        <w:jc w:val="both"/>
        <w:rPr>
          <w:rFonts w:eastAsia="楷体_GB2312"/>
          <w:b/>
          <w:lang w:eastAsia="zh-CN"/>
        </w:rPr>
      </w:pPr>
    </w:p>
    <w:p w14:paraId="5240A2C1">
      <w:pPr>
        <w:widowControl w:val="0"/>
        <w:numPr>
          <w:ilvl w:val="2"/>
          <w:numId w:val="8"/>
        </w:numPr>
        <w:tabs>
          <w:tab w:val="left" w:pos="1620"/>
        </w:tabs>
        <w:spacing w:line="360" w:lineRule="auto"/>
        <w:ind w:left="1620" w:hanging="769"/>
        <w:jc w:val="both"/>
        <w:rPr>
          <w:rFonts w:eastAsia="楷体_GB2312"/>
          <w:lang w:eastAsia="zh-CN"/>
        </w:rPr>
      </w:pPr>
      <w:bookmarkStart w:id="362" w:name="_Ref332294029"/>
      <w:r>
        <w:rPr>
          <w:rFonts w:eastAsia="楷体_GB2312"/>
          <w:lang w:eastAsia="zh-CN"/>
        </w:rPr>
        <w:t>在</w:t>
      </w:r>
      <w:r>
        <w:rPr>
          <w:rFonts w:eastAsia="楷体_GB2312"/>
          <w:bCs/>
          <w:lang w:eastAsia="zh-CN"/>
        </w:rPr>
        <w:t>“违约事件”</w:t>
      </w:r>
      <w:r>
        <w:rPr>
          <w:rFonts w:eastAsia="楷体_GB2312"/>
          <w:lang w:eastAsia="zh-CN"/>
        </w:rPr>
        <w:t>发生前的每个“信托分配日”，“资金保管机构”根据“受托机构”分配指令将该日在“信托（流动性）储备账户”中的金额按以下顺序进行支付：</w:t>
      </w:r>
      <w:bookmarkEnd w:id="362"/>
    </w:p>
    <w:p w14:paraId="14B0AF17">
      <w:pPr>
        <w:widowControl w:val="0"/>
        <w:spacing w:line="360" w:lineRule="auto"/>
        <w:ind w:left="1418"/>
        <w:jc w:val="both"/>
        <w:rPr>
          <w:rFonts w:eastAsia="楷体_GB2312"/>
          <w:lang w:eastAsia="zh-CN"/>
        </w:rPr>
      </w:pPr>
    </w:p>
    <w:p w14:paraId="5939CB30">
      <w:pPr>
        <w:widowControl w:val="0"/>
        <w:numPr>
          <w:ilvl w:val="0"/>
          <w:numId w:val="20"/>
        </w:numPr>
        <w:spacing w:line="360" w:lineRule="auto"/>
        <w:ind w:left="1608" w:leftChars="670"/>
        <w:jc w:val="both"/>
        <w:rPr>
          <w:rFonts w:eastAsia="楷体_GB2312"/>
          <w:lang w:eastAsia="zh-CN"/>
        </w:rPr>
      </w:pPr>
      <w:bookmarkStart w:id="363" w:name="_Ref332294047"/>
      <w:r>
        <w:rPr>
          <w:rFonts w:eastAsia="楷体_GB2312"/>
          <w:lang w:eastAsia="zh-CN"/>
        </w:rPr>
        <w:t>将超出“必备（流动性）储备金额”的超额款项转入“收入分账户”；</w:t>
      </w:r>
      <w:bookmarkEnd w:id="363"/>
    </w:p>
    <w:p w14:paraId="1934D55E">
      <w:pPr>
        <w:widowControl w:val="0"/>
        <w:spacing w:line="360" w:lineRule="auto"/>
        <w:ind w:left="1891" w:leftChars="788"/>
        <w:jc w:val="both"/>
        <w:rPr>
          <w:rFonts w:eastAsia="楷体_GB2312"/>
          <w:lang w:eastAsia="zh-CN"/>
        </w:rPr>
      </w:pPr>
    </w:p>
    <w:p w14:paraId="1AEA4454">
      <w:pPr>
        <w:widowControl w:val="0"/>
        <w:numPr>
          <w:ilvl w:val="0"/>
          <w:numId w:val="20"/>
        </w:numPr>
        <w:spacing w:line="360" w:lineRule="auto"/>
        <w:ind w:left="1608" w:leftChars="670"/>
        <w:jc w:val="both"/>
        <w:rPr>
          <w:rFonts w:eastAsia="楷体_GB2312"/>
          <w:lang w:eastAsia="zh-CN"/>
        </w:rPr>
      </w:pPr>
      <w:r>
        <w:rPr>
          <w:rFonts w:eastAsia="楷体_GB2312"/>
          <w:lang w:eastAsia="zh-CN"/>
        </w:rPr>
        <w:t>将等值于根据本合同第</w:t>
      </w:r>
      <w:r>
        <w:rPr>
          <w:rFonts w:eastAsia="楷体_GB2312"/>
        </w:rPr>
        <w:fldChar w:fldCharType="begin"/>
      </w:r>
      <w:r>
        <w:rPr>
          <w:rFonts w:eastAsia="楷体_GB2312"/>
          <w:lang w:eastAsia="zh-CN"/>
        </w:rPr>
        <w:instrText xml:space="preserve"> REF _Ref201564636 \r \h  \* MERGEFORMAT </w:instrText>
      </w:r>
      <w:r>
        <w:rPr>
          <w:rFonts w:eastAsia="楷体_GB2312"/>
        </w:rPr>
        <w:fldChar w:fldCharType="separate"/>
      </w:r>
      <w:r>
        <w:rPr>
          <w:rFonts w:eastAsia="楷体_GB2312"/>
          <w:lang w:eastAsia="zh-CN"/>
        </w:rPr>
        <w:t>9.5.1</w:t>
      </w:r>
      <w:r>
        <w:rPr>
          <w:rFonts w:eastAsia="楷体_GB2312"/>
        </w:rPr>
        <w:fldChar w:fldCharType="end"/>
      </w:r>
      <w:r>
        <w:rPr>
          <w:rFonts w:eastAsia="楷体_GB2312"/>
          <w:lang w:eastAsia="zh-CN"/>
        </w:rPr>
        <w:t>款第</w:t>
      </w:r>
      <w:r>
        <w:rPr>
          <w:rFonts w:eastAsia="楷体_GB2312"/>
        </w:rPr>
        <w:fldChar w:fldCharType="begin"/>
      </w:r>
      <w:r>
        <w:rPr>
          <w:rFonts w:eastAsia="楷体_GB2312"/>
          <w:lang w:eastAsia="zh-CN"/>
        </w:rPr>
        <w:instrText xml:space="preserve"> REF _Ref112316473 \r \h  \* MERGEFORMAT </w:instrText>
      </w:r>
      <w:r>
        <w:rPr>
          <w:rFonts w:eastAsia="楷体_GB2312"/>
        </w:rPr>
        <w:fldChar w:fldCharType="separate"/>
      </w:r>
      <w:r>
        <w:rPr>
          <w:rFonts w:eastAsia="楷体_GB2312"/>
          <w:lang w:eastAsia="zh-CN"/>
        </w:rPr>
        <w:t>(1)</w:t>
      </w:r>
      <w:r>
        <w:rPr>
          <w:rFonts w:eastAsia="楷体_GB2312"/>
        </w:rPr>
        <w:fldChar w:fldCharType="end"/>
      </w:r>
      <w:r>
        <w:rPr>
          <w:rFonts w:eastAsia="楷体_GB2312"/>
          <w:lang w:eastAsia="zh-CN"/>
        </w:rPr>
        <w:t>至</w:t>
      </w:r>
      <w:r>
        <w:rPr>
          <w:rFonts w:eastAsia="楷体_GB2312"/>
          <w:lang w:eastAsia="zh-CN"/>
        </w:rPr>
        <w:fldChar w:fldCharType="begin"/>
      </w:r>
      <w:r>
        <w:rPr>
          <w:rFonts w:eastAsia="楷体_GB2312"/>
          <w:lang w:eastAsia="zh-CN"/>
        </w:rPr>
        <w:instrText xml:space="preserve"> REF _Ref25501852 \r \h  \* MERGEFORMAT </w:instrText>
      </w:r>
      <w:r>
        <w:rPr>
          <w:rFonts w:eastAsia="楷体_GB2312"/>
          <w:lang w:eastAsia="zh-CN"/>
        </w:rPr>
        <w:fldChar w:fldCharType="separate"/>
      </w:r>
      <w:r>
        <w:rPr>
          <w:rFonts w:eastAsia="楷体_GB2312"/>
          <w:lang w:eastAsia="zh-CN"/>
        </w:rPr>
        <w:t>(4)</w:t>
      </w:r>
      <w:r>
        <w:rPr>
          <w:rFonts w:eastAsia="楷体_GB2312"/>
          <w:lang w:eastAsia="zh-CN"/>
        </w:rPr>
        <w:fldChar w:fldCharType="end"/>
      </w:r>
      <w:r>
        <w:rPr>
          <w:rFonts w:eastAsia="楷体_GB2312"/>
          <w:lang w:eastAsia="zh-CN"/>
        </w:rPr>
        <w:t>项应付的款项的短缺金额的款项（在按照本合同第</w:t>
      </w:r>
      <w:r>
        <w:rPr>
          <w:rFonts w:eastAsia="楷体_GB2312"/>
        </w:rPr>
        <w:fldChar w:fldCharType="begin"/>
      </w:r>
      <w:r>
        <w:rPr>
          <w:rFonts w:eastAsia="楷体_GB2312"/>
          <w:lang w:eastAsia="zh-CN"/>
        </w:rPr>
        <w:instrText xml:space="preserve"> REF _Ref332294029 \r \h  \* MERGEFORMAT </w:instrText>
      </w:r>
      <w:r>
        <w:rPr>
          <w:rFonts w:eastAsia="楷体_GB2312"/>
        </w:rPr>
        <w:fldChar w:fldCharType="separate"/>
      </w:r>
      <w:r>
        <w:rPr>
          <w:rFonts w:eastAsia="楷体_GB2312"/>
          <w:lang w:eastAsia="zh-CN"/>
        </w:rPr>
        <w:t>9.8.1</w:t>
      </w:r>
      <w:r>
        <w:rPr>
          <w:rFonts w:eastAsia="楷体_GB2312"/>
        </w:rPr>
        <w:fldChar w:fldCharType="end"/>
      </w:r>
      <w:r>
        <w:rPr>
          <w:rFonts w:eastAsia="楷体_GB2312"/>
          <w:lang w:eastAsia="zh-CN"/>
        </w:rPr>
        <w:t>款第</w:t>
      </w:r>
      <w:r>
        <w:rPr>
          <w:rFonts w:eastAsia="楷体_GB2312"/>
        </w:rPr>
        <w:fldChar w:fldCharType="begin"/>
      </w:r>
      <w:r>
        <w:rPr>
          <w:rFonts w:eastAsia="楷体_GB2312"/>
          <w:lang w:eastAsia="zh-CN"/>
        </w:rPr>
        <w:instrText xml:space="preserve"> REF _Ref332294047 \r \h  \* MERGEFORMAT </w:instrText>
      </w:r>
      <w:r>
        <w:rPr>
          <w:rFonts w:eastAsia="楷体_GB2312"/>
        </w:rPr>
        <w:fldChar w:fldCharType="separate"/>
      </w:r>
      <w:r>
        <w:rPr>
          <w:rFonts w:eastAsia="楷体_GB2312"/>
          <w:lang w:eastAsia="zh-CN"/>
        </w:rPr>
        <w:t>(1)</w:t>
      </w:r>
      <w:r>
        <w:rPr>
          <w:rFonts w:eastAsia="楷体_GB2312"/>
        </w:rPr>
        <w:fldChar w:fldCharType="end"/>
      </w:r>
      <w:r>
        <w:rPr>
          <w:rFonts w:eastAsia="楷体_GB2312"/>
          <w:lang w:eastAsia="zh-CN"/>
        </w:rPr>
        <w:t>项转入超额款项后仍短缺的部分）转入“收入分账户”；</w:t>
      </w:r>
    </w:p>
    <w:p w14:paraId="284C0171">
      <w:pPr>
        <w:pStyle w:val="40"/>
        <w:spacing w:line="360" w:lineRule="auto"/>
        <w:ind w:left="1891" w:leftChars="788" w:firstLine="480"/>
        <w:jc w:val="both"/>
        <w:rPr>
          <w:rFonts w:eastAsia="楷体_GB2312"/>
          <w:lang w:eastAsia="zh-CN"/>
        </w:rPr>
      </w:pPr>
    </w:p>
    <w:p w14:paraId="06E00500">
      <w:pPr>
        <w:widowControl w:val="0"/>
        <w:numPr>
          <w:ilvl w:val="0"/>
          <w:numId w:val="20"/>
        </w:numPr>
        <w:spacing w:line="360" w:lineRule="auto"/>
        <w:ind w:left="1608" w:leftChars="670"/>
        <w:jc w:val="both"/>
        <w:rPr>
          <w:rFonts w:eastAsia="楷体_GB2312"/>
          <w:lang w:eastAsia="zh-CN"/>
        </w:rPr>
      </w:pPr>
      <w:r>
        <w:rPr>
          <w:rFonts w:eastAsia="楷体_GB2312"/>
          <w:lang w:eastAsia="zh-CN"/>
        </w:rPr>
        <w:t>将剩余金额保留在“信托（流动性）储备账户”。</w:t>
      </w:r>
    </w:p>
    <w:p w14:paraId="5B2C8646">
      <w:pPr>
        <w:pStyle w:val="40"/>
        <w:spacing w:line="360" w:lineRule="auto"/>
        <w:ind w:firstLine="480"/>
        <w:jc w:val="both"/>
        <w:rPr>
          <w:rFonts w:eastAsia="楷体_GB2312"/>
          <w:lang w:eastAsia="zh-CN"/>
        </w:rPr>
      </w:pPr>
    </w:p>
    <w:p w14:paraId="56280AE3">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在所有“优先级资产支持证券”的本金款项得以全部清偿之日或“违约事件”发生或“信托终止日”后，“受托机构”应指示“资金保管机构”将届时“信托（流动性）储备账户”中的全部金额转入“收入分账户”。</w:t>
      </w:r>
    </w:p>
    <w:p w14:paraId="5936900A">
      <w:pPr>
        <w:jc w:val="both"/>
        <w:rPr>
          <w:rFonts w:eastAsia="楷体_GB2312"/>
          <w:lang w:eastAsia="zh-CN"/>
        </w:rPr>
      </w:pPr>
    </w:p>
    <w:p w14:paraId="1D40A6DA">
      <w:pPr>
        <w:widowControl w:val="0"/>
        <w:numPr>
          <w:ilvl w:val="1"/>
          <w:numId w:val="8"/>
        </w:numPr>
        <w:spacing w:line="360" w:lineRule="auto"/>
        <w:jc w:val="both"/>
        <w:outlineLvl w:val="1"/>
        <w:rPr>
          <w:rFonts w:eastAsia="楷体_GB2312"/>
          <w:b/>
          <w:lang w:eastAsia="zh-CN"/>
        </w:rPr>
      </w:pPr>
      <w:bookmarkStart w:id="364" w:name="_Ref333757522"/>
      <w:bookmarkStart w:id="365" w:name="_Ref332290291"/>
      <w:r>
        <w:rPr>
          <w:rFonts w:eastAsia="楷体_GB2312"/>
          <w:b/>
          <w:lang w:eastAsia="zh-CN"/>
        </w:rPr>
        <w:t>信托（服务转移和通知）储备账户资金的运用</w:t>
      </w:r>
      <w:bookmarkEnd w:id="364"/>
    </w:p>
    <w:p w14:paraId="544DBD28">
      <w:pPr>
        <w:spacing w:line="360" w:lineRule="auto"/>
        <w:ind w:left="960" w:leftChars="400"/>
        <w:jc w:val="both"/>
        <w:rPr>
          <w:rFonts w:eastAsia="楷体_GB2312"/>
          <w:b/>
          <w:bCs/>
          <w:i/>
          <w:iCs/>
          <w:color w:val="FF0000"/>
          <w:lang w:eastAsia="zh-CN"/>
        </w:rPr>
      </w:pPr>
      <w:r>
        <w:rPr>
          <w:rFonts w:eastAsia="楷体_GB2312"/>
          <w:b/>
          <w:bCs/>
          <w:i/>
          <w:iCs/>
          <w:color w:val="FF0000"/>
          <w:lang w:eastAsia="zh-CN"/>
        </w:rPr>
        <w:t>【注：各账户具体资金运用可根据项目实际情况调整。】</w:t>
      </w:r>
    </w:p>
    <w:p w14:paraId="455E77B4">
      <w:pPr>
        <w:spacing w:line="360" w:lineRule="auto"/>
        <w:ind w:left="960" w:leftChars="400"/>
        <w:jc w:val="both"/>
        <w:rPr>
          <w:rFonts w:eastAsia="楷体_GB2312"/>
          <w:color w:val="FF0000"/>
          <w:lang w:val="en-GB" w:eastAsia="zh-CN"/>
        </w:rPr>
      </w:pPr>
    </w:p>
    <w:p w14:paraId="54231BDE">
      <w:pPr>
        <w:widowControl w:val="0"/>
        <w:numPr>
          <w:ilvl w:val="2"/>
          <w:numId w:val="8"/>
        </w:numPr>
        <w:tabs>
          <w:tab w:val="left" w:pos="1620"/>
        </w:tabs>
        <w:spacing w:line="360" w:lineRule="auto"/>
        <w:ind w:left="1620" w:hanging="769"/>
        <w:jc w:val="both"/>
        <w:rPr>
          <w:rFonts w:eastAsia="楷体_GB2312"/>
          <w:lang w:val="en-GB" w:eastAsia="zh-CN"/>
        </w:rPr>
      </w:pPr>
      <w:r>
        <w:rPr>
          <w:rFonts w:eastAsia="楷体_GB2312"/>
          <w:lang w:val="en-GB" w:eastAsia="zh-CN"/>
        </w:rPr>
        <w:t>“贷款服务机构”按照“《服务合同》”的约定向“后备贷款服务机构”或“替代贷款服务机构”转移服务之时，“受托机构”应指示“资金保管机构”于下一个“信托分配日”，将相当于“预计转移费用”的金额从“信托（服务转移和通知）储备账户”转入“后备贷款服务机构”或“替代贷款服务机构”（如适用）的账户。</w:t>
      </w:r>
    </w:p>
    <w:p w14:paraId="61F0E791">
      <w:pPr>
        <w:widowControl w:val="0"/>
        <w:spacing w:line="360" w:lineRule="auto"/>
        <w:ind w:left="1418"/>
        <w:jc w:val="both"/>
        <w:rPr>
          <w:rFonts w:eastAsia="楷体_GB2312"/>
          <w:lang w:val="en-GB" w:eastAsia="zh-CN"/>
        </w:rPr>
      </w:pPr>
    </w:p>
    <w:p w14:paraId="71F0904C">
      <w:pPr>
        <w:widowControl w:val="0"/>
        <w:numPr>
          <w:ilvl w:val="2"/>
          <w:numId w:val="8"/>
        </w:numPr>
        <w:tabs>
          <w:tab w:val="left" w:pos="1620"/>
        </w:tabs>
        <w:spacing w:line="360" w:lineRule="auto"/>
        <w:ind w:left="1620" w:hanging="769"/>
        <w:jc w:val="both"/>
        <w:rPr>
          <w:rFonts w:eastAsia="楷体_GB2312"/>
          <w:lang w:val="en-GB" w:eastAsia="zh-CN"/>
        </w:rPr>
      </w:pPr>
      <w:r>
        <w:rPr>
          <w:rFonts w:eastAsia="楷体_GB2312"/>
          <w:lang w:val="en-GB" w:eastAsia="zh-CN"/>
        </w:rPr>
        <w:t>在每个</w:t>
      </w:r>
      <w:r>
        <w:rPr>
          <w:rFonts w:eastAsia="楷体_GB2312"/>
          <w:lang w:eastAsia="zh-CN"/>
        </w:rPr>
        <w:t>“信托分配日”</w:t>
      </w:r>
      <w:r>
        <w:rPr>
          <w:rFonts w:eastAsia="楷体_GB2312"/>
          <w:lang w:val="en-GB" w:eastAsia="zh-CN"/>
        </w:rPr>
        <w:t>，如“信托（服务转移和通知）储备账户”中的金额超过“必备（服务转移和通知）储备金额”，“资金保管机构”根据“受托机构”分配指令将超额款项转入“收入分账户”。</w:t>
      </w:r>
    </w:p>
    <w:p w14:paraId="34DC9FA8">
      <w:pPr>
        <w:widowControl w:val="0"/>
        <w:spacing w:line="360" w:lineRule="auto"/>
        <w:ind w:left="1418"/>
        <w:jc w:val="both"/>
        <w:rPr>
          <w:rFonts w:eastAsia="楷体_GB2312"/>
          <w:lang w:val="en-GB" w:eastAsia="zh-CN"/>
        </w:rPr>
      </w:pPr>
    </w:p>
    <w:p w14:paraId="0EE5C72D">
      <w:pPr>
        <w:widowControl w:val="0"/>
        <w:numPr>
          <w:ilvl w:val="2"/>
          <w:numId w:val="8"/>
        </w:numPr>
        <w:tabs>
          <w:tab w:val="left" w:pos="1620"/>
        </w:tabs>
        <w:spacing w:line="360" w:lineRule="auto"/>
        <w:ind w:left="1620" w:hanging="769"/>
        <w:jc w:val="both"/>
        <w:rPr>
          <w:rFonts w:eastAsia="楷体_GB2312"/>
          <w:lang w:val="en-GB" w:eastAsia="zh-CN"/>
        </w:rPr>
      </w:pPr>
      <w:r>
        <w:rPr>
          <w:rFonts w:eastAsia="楷体_GB2312"/>
          <w:lang w:val="en-GB" w:eastAsia="zh-CN"/>
        </w:rPr>
        <w:t>在“权利完善事件”（第(a)项至第(d)项）发生后的任何一日，如果“贷款服务机构”、“后备贷款服务机构”、“替代贷款服务机构”或“受托机构”须按本合同第</w:t>
      </w:r>
      <w:r>
        <w:rPr>
          <w:rFonts w:eastAsia="楷体_GB2312"/>
        </w:rPr>
        <w:fldChar w:fldCharType="begin"/>
      </w:r>
      <w:r>
        <w:rPr>
          <w:rFonts w:eastAsia="楷体_GB2312"/>
          <w:lang w:eastAsia="zh-CN"/>
        </w:rPr>
        <w:instrText xml:space="preserve"> REF _Ref333752294 \r \h  \* MERGEFORMAT </w:instrText>
      </w:r>
      <w:r>
        <w:rPr>
          <w:rFonts w:eastAsia="楷体_GB2312"/>
        </w:rPr>
        <w:fldChar w:fldCharType="separate"/>
      </w:r>
      <w:r>
        <w:rPr>
          <w:rFonts w:eastAsia="楷体_GB2312"/>
          <w:lang w:eastAsia="zh-CN"/>
        </w:rPr>
        <w:t>6</w:t>
      </w:r>
      <w:r>
        <w:rPr>
          <w:rFonts w:eastAsia="楷体_GB2312"/>
        </w:rPr>
        <w:fldChar w:fldCharType="end"/>
      </w:r>
      <w:r>
        <w:rPr>
          <w:rFonts w:eastAsia="楷体_GB2312"/>
          <w:lang w:val="en-GB" w:eastAsia="zh-CN"/>
        </w:rPr>
        <w:t>条的约定发送“权利完善通知”，“受托机构”指示“资金保管机构”于下一个“信托分配日”，以“信托（服务转移和通知）储备账户”中的金额为限，将相当于“预计通知费用”的金额从“信托（服务转移和通知）储备账户”转入“贷款服务机构”（或“后备贷款服务机构”或“替代贷款服务机构”或“受托机构”，视“权利完善通知”义务履行的主体而定）的账户，以用于支付发送“权利完善通知”的费用。</w:t>
      </w:r>
    </w:p>
    <w:p w14:paraId="2016C657">
      <w:pPr>
        <w:jc w:val="both"/>
        <w:rPr>
          <w:rFonts w:eastAsia="楷体_GB2312"/>
          <w:lang w:val="en-GB" w:eastAsia="zh-CN"/>
        </w:rPr>
      </w:pPr>
    </w:p>
    <w:p w14:paraId="24C3CBE7">
      <w:pPr>
        <w:widowControl w:val="0"/>
        <w:numPr>
          <w:ilvl w:val="2"/>
          <w:numId w:val="8"/>
        </w:numPr>
        <w:tabs>
          <w:tab w:val="left" w:pos="1620"/>
        </w:tabs>
        <w:spacing w:line="360" w:lineRule="auto"/>
        <w:ind w:left="1620" w:hanging="769"/>
        <w:jc w:val="both"/>
        <w:rPr>
          <w:rFonts w:eastAsia="楷体_GB2312"/>
          <w:lang w:val="en-GB" w:eastAsia="zh-CN"/>
        </w:rPr>
      </w:pPr>
      <w:r>
        <w:rPr>
          <w:rFonts w:eastAsia="楷体_GB2312"/>
          <w:lang w:val="en-GB" w:eastAsia="zh-CN"/>
        </w:rPr>
        <w:t>在所有“优先级资产支持证券”本金和利息支付完成之后，“资金保管机构”于下一个“信托分配日”根据“受托机构”分配指令将“信托（服务转移和通知）储备账户”中的全部剩余金额（如有）转入“信托收款账户”中的“收入分账户”。</w:t>
      </w:r>
    </w:p>
    <w:p w14:paraId="06721DA9">
      <w:pPr>
        <w:jc w:val="both"/>
        <w:rPr>
          <w:rFonts w:eastAsia="楷体_GB2312"/>
          <w:lang w:eastAsia="zh-CN"/>
        </w:rPr>
      </w:pPr>
    </w:p>
    <w:p w14:paraId="62E88D79">
      <w:pPr>
        <w:widowControl w:val="0"/>
        <w:numPr>
          <w:ilvl w:val="1"/>
          <w:numId w:val="8"/>
        </w:numPr>
        <w:spacing w:line="360" w:lineRule="auto"/>
        <w:jc w:val="both"/>
        <w:outlineLvl w:val="1"/>
        <w:rPr>
          <w:rFonts w:eastAsia="楷体_GB2312"/>
          <w:b/>
          <w:lang w:eastAsia="zh-CN"/>
        </w:rPr>
      </w:pPr>
      <w:bookmarkStart w:id="366" w:name="_Ref333757529"/>
      <w:r>
        <w:rPr>
          <w:rFonts w:eastAsia="楷体_GB2312"/>
          <w:b/>
          <w:lang w:eastAsia="zh-CN"/>
        </w:rPr>
        <w:t>信托（混同）储备账户资金的运用</w:t>
      </w:r>
      <w:bookmarkEnd w:id="366"/>
    </w:p>
    <w:p w14:paraId="0E8833D3">
      <w:pPr>
        <w:pStyle w:val="40"/>
        <w:ind w:left="991" w:leftChars="413" w:firstLine="0" w:firstLineChars="0"/>
        <w:jc w:val="both"/>
        <w:rPr>
          <w:rFonts w:eastAsia="楷体_GB2312"/>
          <w:color w:val="FF0000"/>
          <w:lang w:val="en-GB" w:eastAsia="zh-CN"/>
        </w:rPr>
      </w:pPr>
      <w:bookmarkStart w:id="367" w:name="_Ref334125139"/>
      <w:r>
        <w:rPr>
          <w:rFonts w:eastAsia="楷体_GB2312"/>
          <w:b/>
          <w:bCs/>
          <w:i/>
          <w:iCs/>
          <w:color w:val="FF0000"/>
          <w:lang w:eastAsia="zh-CN"/>
        </w:rPr>
        <w:t>【注：各账户具体资金运用可根据项目实际情况调整。】</w:t>
      </w:r>
    </w:p>
    <w:p w14:paraId="1A38E977">
      <w:pPr>
        <w:widowControl w:val="0"/>
        <w:spacing w:line="360" w:lineRule="auto"/>
        <w:ind w:left="1844"/>
        <w:jc w:val="both"/>
        <w:rPr>
          <w:rFonts w:eastAsia="楷体_GB2312"/>
          <w:lang w:val="en-GB" w:eastAsia="zh-CN"/>
        </w:rPr>
      </w:pPr>
    </w:p>
    <w:p w14:paraId="14613C78">
      <w:pPr>
        <w:widowControl w:val="0"/>
        <w:numPr>
          <w:ilvl w:val="2"/>
          <w:numId w:val="8"/>
        </w:numPr>
        <w:tabs>
          <w:tab w:val="left" w:pos="1620"/>
        </w:tabs>
        <w:spacing w:line="360" w:lineRule="auto"/>
        <w:ind w:left="1620" w:hanging="769"/>
        <w:jc w:val="both"/>
        <w:rPr>
          <w:rFonts w:eastAsia="楷体_GB2312"/>
          <w:lang w:val="en-GB" w:eastAsia="zh-CN"/>
        </w:rPr>
      </w:pPr>
      <w:r>
        <w:rPr>
          <w:rFonts w:eastAsia="楷体_GB2312"/>
          <w:lang w:val="en-GB" w:eastAsia="zh-CN"/>
        </w:rPr>
        <w:t>如“信托财产”与“贷款服务机构”的自有财产发生混同，“受托机构”应指示“资金保管机构”于下一个“信托分配日”，以“信托（混同）储备账户”中的金额为限，将相当于发生混同的资金金额（但以“资产池”实际产生的“回收款”金额为限）从“信托（混同）储备账户”相应转入“信托收款账户”中的“收入分账户”和/或“本金分账户”。</w:t>
      </w:r>
      <w:bookmarkEnd w:id="367"/>
      <w:r>
        <w:rPr>
          <w:rFonts w:eastAsia="楷体_GB2312"/>
          <w:lang w:val="en-GB" w:eastAsia="zh-CN"/>
        </w:rPr>
        <w:t>若后续“贷款服务机构”将发生混同的“信托财产”与其自有财产又区分开的，则“贷款服务机构”有权获得前述“信托财产”中的相应款项，直至数额达到已从“信托（混同）储备账户”相应转入“收入分账户”和/或“本金分账户”的总金额。</w:t>
      </w:r>
    </w:p>
    <w:p w14:paraId="715990F2">
      <w:pPr>
        <w:widowControl w:val="0"/>
        <w:spacing w:line="360" w:lineRule="auto"/>
        <w:ind w:left="1844"/>
        <w:jc w:val="both"/>
        <w:rPr>
          <w:rFonts w:eastAsia="楷体_GB2312"/>
          <w:lang w:val="en-GB" w:eastAsia="zh-CN"/>
        </w:rPr>
      </w:pPr>
    </w:p>
    <w:p w14:paraId="141A8D73">
      <w:pPr>
        <w:widowControl w:val="0"/>
        <w:numPr>
          <w:ilvl w:val="2"/>
          <w:numId w:val="8"/>
        </w:numPr>
        <w:tabs>
          <w:tab w:val="left" w:pos="1620"/>
        </w:tabs>
        <w:spacing w:line="360" w:lineRule="auto"/>
        <w:ind w:left="1620" w:hanging="769"/>
        <w:jc w:val="both"/>
        <w:rPr>
          <w:rFonts w:eastAsia="楷体_GB2312"/>
          <w:lang w:val="en-GB" w:eastAsia="zh-CN"/>
        </w:rPr>
      </w:pPr>
      <w:r>
        <w:rPr>
          <w:rFonts w:eastAsia="楷体_GB2312"/>
          <w:lang w:val="en-GB" w:eastAsia="zh-CN"/>
        </w:rPr>
        <w:t>在全部“优先级资产支持证券”的本息款项得以全部清偿之日或“信托终止日”后，“受托人”应指示“资金保管机构”将届时“信托（混同）储备账户”项下全部资金划付至“贷款服务机构”指定账户。</w:t>
      </w:r>
    </w:p>
    <w:p w14:paraId="59B1403B">
      <w:pPr>
        <w:jc w:val="both"/>
        <w:rPr>
          <w:rFonts w:eastAsia="楷体_GB2312"/>
          <w:lang w:eastAsia="zh-CN"/>
        </w:rPr>
      </w:pPr>
    </w:p>
    <w:p w14:paraId="7FF9EDE6">
      <w:pPr>
        <w:widowControl w:val="0"/>
        <w:numPr>
          <w:ilvl w:val="1"/>
          <w:numId w:val="8"/>
        </w:numPr>
        <w:spacing w:line="360" w:lineRule="auto"/>
        <w:jc w:val="both"/>
        <w:outlineLvl w:val="1"/>
        <w:rPr>
          <w:rFonts w:eastAsia="楷体_GB2312"/>
          <w:lang w:eastAsia="zh-CN"/>
        </w:rPr>
      </w:pPr>
      <w:bookmarkStart w:id="368" w:name="_Ref333757533"/>
      <w:r>
        <w:rPr>
          <w:rFonts w:eastAsia="楷体_GB2312"/>
          <w:b/>
          <w:lang w:eastAsia="zh-CN"/>
        </w:rPr>
        <w:t>信托（税收）储备账户资金的运用</w:t>
      </w:r>
      <w:bookmarkEnd w:id="357"/>
      <w:bookmarkEnd w:id="358"/>
      <w:bookmarkEnd w:id="359"/>
      <w:bookmarkEnd w:id="360"/>
      <w:bookmarkEnd w:id="365"/>
      <w:bookmarkEnd w:id="368"/>
    </w:p>
    <w:p w14:paraId="322881EC">
      <w:pPr>
        <w:spacing w:line="360" w:lineRule="auto"/>
        <w:ind w:left="991" w:leftChars="413"/>
        <w:jc w:val="both"/>
        <w:rPr>
          <w:rFonts w:eastAsia="楷体_GB2312"/>
          <w:b/>
          <w:bCs/>
          <w:i/>
          <w:iCs/>
          <w:color w:val="FF0000"/>
          <w:lang w:eastAsia="zh-CN"/>
        </w:rPr>
      </w:pPr>
      <w:r>
        <w:rPr>
          <w:rFonts w:eastAsia="楷体_GB2312"/>
          <w:b/>
          <w:bCs/>
          <w:i/>
          <w:iCs/>
          <w:color w:val="FF0000"/>
          <w:lang w:eastAsia="zh-CN"/>
        </w:rPr>
        <w:t>【注：各账户具体资金运用可根据项目实际情况调整。】</w:t>
      </w:r>
    </w:p>
    <w:p w14:paraId="570D0DD4">
      <w:pPr>
        <w:spacing w:line="360" w:lineRule="auto"/>
        <w:ind w:left="425"/>
        <w:jc w:val="both"/>
        <w:rPr>
          <w:rFonts w:eastAsia="楷体_GB2312"/>
          <w:color w:val="FF0000"/>
          <w:lang w:eastAsia="zh-CN"/>
        </w:rPr>
      </w:pPr>
    </w:p>
    <w:p w14:paraId="2AD868B7">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依据“中国”“法律”，由“受托人”缴纳与“信托”相关的“税收”和规费，“受托人”指令“资金保管机构”将“信托（税收）储备账户”项下按以下顺序进行支付：</w:t>
      </w:r>
    </w:p>
    <w:p w14:paraId="4B360122">
      <w:pPr>
        <w:spacing w:line="360" w:lineRule="auto"/>
        <w:jc w:val="both"/>
        <w:rPr>
          <w:rFonts w:eastAsia="楷体_GB2312"/>
          <w:lang w:eastAsia="zh-CN"/>
        </w:rPr>
      </w:pPr>
    </w:p>
    <w:p w14:paraId="71D64838">
      <w:pPr>
        <w:widowControl w:val="0"/>
        <w:numPr>
          <w:ilvl w:val="0"/>
          <w:numId w:val="21"/>
        </w:numPr>
        <w:spacing w:line="360" w:lineRule="auto"/>
        <w:ind w:firstLine="66"/>
        <w:jc w:val="both"/>
        <w:rPr>
          <w:rFonts w:eastAsia="楷体_GB2312"/>
          <w:lang w:eastAsia="zh-CN"/>
        </w:rPr>
      </w:pPr>
      <w:r>
        <w:rPr>
          <w:rFonts w:eastAsia="楷体_GB2312"/>
          <w:lang w:eastAsia="zh-CN"/>
        </w:rPr>
        <w:t>支付“信托”届时应缴纳的“税收”；</w:t>
      </w:r>
    </w:p>
    <w:p w14:paraId="449D8880">
      <w:pPr>
        <w:spacing w:line="360" w:lineRule="auto"/>
        <w:ind w:left="851" w:firstLine="208"/>
        <w:jc w:val="both"/>
        <w:rPr>
          <w:rFonts w:eastAsia="楷体_GB2312"/>
          <w:lang w:eastAsia="zh-CN"/>
        </w:rPr>
      </w:pPr>
    </w:p>
    <w:p w14:paraId="6A8A6F96">
      <w:pPr>
        <w:widowControl w:val="0"/>
        <w:numPr>
          <w:ilvl w:val="0"/>
          <w:numId w:val="21"/>
        </w:numPr>
        <w:spacing w:line="360" w:lineRule="auto"/>
        <w:ind w:firstLine="66"/>
        <w:jc w:val="both"/>
        <w:rPr>
          <w:rFonts w:eastAsia="楷体_GB2312"/>
          <w:lang w:eastAsia="zh-CN"/>
        </w:rPr>
      </w:pPr>
      <w:r>
        <w:rPr>
          <w:rFonts w:eastAsia="楷体_GB2312"/>
          <w:lang w:eastAsia="zh-CN"/>
        </w:rPr>
        <w:t>将剩余金额保留在“信托（税收）储备账户”项下。</w:t>
      </w:r>
    </w:p>
    <w:p w14:paraId="5BE7CC92">
      <w:pPr>
        <w:spacing w:line="360" w:lineRule="auto"/>
        <w:jc w:val="both"/>
        <w:rPr>
          <w:rFonts w:eastAsia="楷体_GB2312"/>
          <w:lang w:eastAsia="zh-CN"/>
        </w:rPr>
      </w:pPr>
    </w:p>
    <w:p w14:paraId="669FD946">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在“信托”所有应付税款全部支付完成后，“受托人”应指示“资金保管机构”将“信托（税收）储备账户”项下资金转入“收入分账户”。</w:t>
      </w:r>
    </w:p>
    <w:p w14:paraId="1D5F4346">
      <w:pPr>
        <w:jc w:val="both"/>
        <w:rPr>
          <w:rFonts w:eastAsia="楷体_GB2312"/>
          <w:lang w:eastAsia="zh-CN"/>
        </w:rPr>
      </w:pPr>
    </w:p>
    <w:p w14:paraId="6AA49D08">
      <w:pPr>
        <w:widowControl w:val="0"/>
        <w:numPr>
          <w:ilvl w:val="1"/>
          <w:numId w:val="8"/>
        </w:numPr>
        <w:spacing w:line="360" w:lineRule="auto"/>
        <w:jc w:val="both"/>
        <w:outlineLvl w:val="1"/>
        <w:rPr>
          <w:rFonts w:eastAsia="楷体_GB2312"/>
          <w:b/>
          <w:lang w:eastAsia="zh-CN"/>
        </w:rPr>
      </w:pPr>
      <w:bookmarkStart w:id="369" w:name="_DV_M300"/>
      <w:bookmarkEnd w:id="369"/>
      <w:bookmarkStart w:id="370" w:name="_DV_M280"/>
      <w:bookmarkEnd w:id="370"/>
      <w:bookmarkStart w:id="371" w:name="_Toc149386481"/>
      <w:bookmarkEnd w:id="371"/>
      <w:bookmarkStart w:id="372" w:name="_DV_M281"/>
      <w:bookmarkEnd w:id="372"/>
      <w:bookmarkStart w:id="373" w:name="_DV_M304"/>
      <w:bookmarkEnd w:id="373"/>
      <w:bookmarkStart w:id="374" w:name="_DV_M324"/>
      <w:bookmarkEnd w:id="374"/>
      <w:bookmarkStart w:id="375" w:name="_DV_M336"/>
      <w:bookmarkEnd w:id="375"/>
      <w:bookmarkStart w:id="376" w:name="_DV_M363"/>
      <w:bookmarkEnd w:id="376"/>
      <w:bookmarkStart w:id="377" w:name="_DV_M277"/>
      <w:bookmarkEnd w:id="377"/>
      <w:bookmarkStart w:id="378" w:name="_DV_M338"/>
      <w:bookmarkEnd w:id="378"/>
      <w:bookmarkStart w:id="379" w:name="_DV_M388"/>
      <w:bookmarkEnd w:id="379"/>
      <w:bookmarkStart w:id="380" w:name="_DV_M273"/>
      <w:bookmarkEnd w:id="380"/>
      <w:bookmarkStart w:id="381" w:name="_DV_M356"/>
      <w:bookmarkEnd w:id="381"/>
      <w:bookmarkStart w:id="382" w:name="_DV_M323"/>
      <w:bookmarkEnd w:id="382"/>
      <w:bookmarkStart w:id="383" w:name="_DV_M276"/>
      <w:bookmarkEnd w:id="383"/>
      <w:bookmarkStart w:id="384" w:name="_DV_M297"/>
      <w:bookmarkEnd w:id="384"/>
      <w:bookmarkStart w:id="385" w:name="_DV_M390"/>
      <w:bookmarkEnd w:id="385"/>
      <w:bookmarkStart w:id="386" w:name="_DV_M302"/>
      <w:bookmarkEnd w:id="386"/>
      <w:bookmarkStart w:id="387" w:name="_Toc146989600"/>
      <w:bookmarkEnd w:id="387"/>
      <w:bookmarkStart w:id="388" w:name="_DV_M359"/>
      <w:bookmarkEnd w:id="388"/>
      <w:bookmarkStart w:id="389" w:name="_DV_M305"/>
      <w:bookmarkEnd w:id="389"/>
      <w:bookmarkStart w:id="390" w:name="_DV_M279"/>
      <w:bookmarkEnd w:id="390"/>
      <w:bookmarkStart w:id="391" w:name="_DV_M389"/>
      <w:bookmarkEnd w:id="391"/>
      <w:bookmarkStart w:id="392" w:name="_DV_M298"/>
      <w:bookmarkEnd w:id="392"/>
      <w:bookmarkStart w:id="393" w:name="_DV_M299"/>
      <w:bookmarkEnd w:id="393"/>
      <w:bookmarkStart w:id="394" w:name="_DV_M348"/>
      <w:bookmarkEnd w:id="394"/>
      <w:bookmarkStart w:id="395" w:name="_DV_M358"/>
      <w:bookmarkEnd w:id="395"/>
      <w:bookmarkStart w:id="396" w:name="_Toc148440814"/>
      <w:bookmarkEnd w:id="396"/>
      <w:bookmarkStart w:id="397" w:name="_DV_M303"/>
      <w:bookmarkEnd w:id="397"/>
      <w:bookmarkStart w:id="398" w:name="_DV_M292"/>
      <w:bookmarkEnd w:id="398"/>
      <w:bookmarkStart w:id="399" w:name="_Toc148384224"/>
      <w:bookmarkEnd w:id="399"/>
      <w:bookmarkStart w:id="400" w:name="_DV_M278"/>
      <w:bookmarkEnd w:id="400"/>
      <w:bookmarkStart w:id="401" w:name="_DV_M362"/>
      <w:bookmarkEnd w:id="401"/>
      <w:bookmarkStart w:id="402" w:name="_DV_M301"/>
      <w:bookmarkEnd w:id="402"/>
      <w:bookmarkStart w:id="403" w:name="_DV_M337"/>
      <w:bookmarkEnd w:id="403"/>
      <w:bookmarkStart w:id="404" w:name="_DV_M357"/>
      <w:bookmarkEnd w:id="404"/>
      <w:bookmarkStart w:id="405" w:name="_DV_M325"/>
      <w:bookmarkEnd w:id="405"/>
      <w:bookmarkStart w:id="406" w:name="_Toc148440828"/>
      <w:bookmarkEnd w:id="406"/>
      <w:bookmarkStart w:id="407" w:name="_DV_M272"/>
      <w:bookmarkEnd w:id="407"/>
      <w:bookmarkStart w:id="408" w:name="_Toc107769481"/>
      <w:bookmarkEnd w:id="408"/>
      <w:bookmarkStart w:id="409" w:name="_DV_M339"/>
      <w:bookmarkEnd w:id="409"/>
      <w:bookmarkStart w:id="410" w:name="_DV_M335"/>
      <w:bookmarkEnd w:id="410"/>
      <w:bookmarkStart w:id="411" w:name="_DV_M326"/>
      <w:bookmarkEnd w:id="411"/>
      <w:bookmarkStart w:id="412" w:name="_DV_M306"/>
      <w:bookmarkEnd w:id="412"/>
      <w:bookmarkStart w:id="413" w:name="_Toc148384241"/>
      <w:bookmarkEnd w:id="413"/>
      <w:bookmarkStart w:id="414" w:name="_DV_M267"/>
      <w:bookmarkEnd w:id="414"/>
      <w:bookmarkStart w:id="415" w:name="_DV_M391"/>
      <w:bookmarkEnd w:id="415"/>
      <w:bookmarkStart w:id="416" w:name="_DV_M275"/>
      <w:bookmarkEnd w:id="416"/>
      <w:bookmarkStart w:id="417" w:name="_DV_M265"/>
      <w:bookmarkEnd w:id="417"/>
      <w:bookmarkStart w:id="418" w:name="_DV_M264"/>
      <w:bookmarkEnd w:id="418"/>
      <w:r>
        <w:rPr>
          <w:rFonts w:eastAsia="楷体_GB2312"/>
          <w:b/>
          <w:lang w:eastAsia="zh-CN"/>
        </w:rPr>
        <w:t>信托分配（证券）账户资金的运用</w:t>
      </w:r>
    </w:p>
    <w:p w14:paraId="48293C7C">
      <w:pPr>
        <w:ind w:left="850" w:leftChars="354" w:firstLine="241" w:firstLineChars="100"/>
        <w:jc w:val="both"/>
        <w:rPr>
          <w:rFonts w:eastAsia="楷体_GB2312"/>
          <w:b/>
          <w:bCs/>
          <w:i/>
          <w:iCs/>
          <w:color w:val="FF0000"/>
          <w:lang w:eastAsia="zh-CN"/>
        </w:rPr>
      </w:pPr>
      <w:r>
        <w:rPr>
          <w:rFonts w:eastAsia="楷体_GB2312"/>
          <w:b/>
          <w:bCs/>
          <w:i/>
          <w:iCs/>
          <w:color w:val="FF0000"/>
          <w:lang w:eastAsia="zh-CN"/>
        </w:rPr>
        <w:t>【注：各账户具体资金运用可根据项目实际情况调整。】</w:t>
      </w:r>
    </w:p>
    <w:p w14:paraId="71022F32">
      <w:pPr>
        <w:jc w:val="both"/>
        <w:rPr>
          <w:rFonts w:eastAsia="楷体_GB2312"/>
          <w:b/>
          <w:lang w:eastAsia="zh-CN"/>
        </w:rPr>
      </w:pPr>
    </w:p>
    <w:p w14:paraId="7BD97C4F">
      <w:pPr>
        <w:widowControl w:val="0"/>
        <w:numPr>
          <w:ilvl w:val="2"/>
          <w:numId w:val="8"/>
        </w:numPr>
        <w:tabs>
          <w:tab w:val="left" w:pos="1620"/>
        </w:tabs>
        <w:spacing w:line="360" w:lineRule="auto"/>
        <w:ind w:left="1620" w:hanging="769"/>
        <w:jc w:val="both"/>
        <w:rPr>
          <w:rFonts w:eastAsia="楷体_GB2312"/>
          <w:lang w:eastAsia="zh-CN"/>
        </w:rPr>
      </w:pPr>
      <w:bookmarkStart w:id="419" w:name="_Ref221395850"/>
      <w:r>
        <w:rPr>
          <w:rFonts w:eastAsia="楷体_GB2312"/>
          <w:lang w:eastAsia="zh-CN"/>
        </w:rPr>
        <w:t>“违约事件”发生以前，“受托人”应指示“资金保管机构”不晚于每个“支付日”前【】个“工作日”</w:t>
      </w:r>
      <w:r>
        <w:rPr>
          <w:rFonts w:eastAsia="楷体_GB2312"/>
          <w:color w:val="000000"/>
        </w:rPr>
        <w:t>【</w:t>
      </w:r>
      <w:r>
        <w:rPr>
          <w:rFonts w:eastAsia="楷体_GB2312"/>
          <w:i/>
          <w:iCs/>
        </w:rPr>
        <w:t>具体时点</w:t>
      </w:r>
      <w:r>
        <w:rPr>
          <w:rFonts w:eastAsia="楷体_GB2312"/>
          <w:color w:val="000000"/>
        </w:rPr>
        <w:t>】</w:t>
      </w:r>
      <w:r>
        <w:rPr>
          <w:rFonts w:eastAsia="楷体_GB2312"/>
          <w:lang w:eastAsia="zh-CN"/>
        </w:rPr>
        <w:t>前，将“信托分配（证券）账户”中的利息金额按以下顺序作出支付，如不足以支付，所差金额应按以下顺序在下一期支付：</w:t>
      </w:r>
      <w:bookmarkEnd w:id="419"/>
    </w:p>
    <w:p w14:paraId="6182D94F">
      <w:pPr>
        <w:widowControl w:val="0"/>
        <w:spacing w:line="360" w:lineRule="auto"/>
        <w:ind w:left="1418"/>
        <w:jc w:val="both"/>
        <w:rPr>
          <w:rFonts w:eastAsia="楷体_GB2312"/>
          <w:lang w:eastAsia="zh-CN"/>
        </w:rPr>
      </w:pPr>
    </w:p>
    <w:p w14:paraId="73D79A37">
      <w:pPr>
        <w:widowControl w:val="0"/>
        <w:numPr>
          <w:ilvl w:val="0"/>
          <w:numId w:val="22"/>
        </w:numPr>
        <w:spacing w:line="360" w:lineRule="auto"/>
        <w:ind w:left="1608" w:leftChars="670"/>
        <w:jc w:val="both"/>
        <w:rPr>
          <w:rFonts w:eastAsia="楷体_GB2312"/>
          <w:lang w:eastAsia="zh-CN"/>
        </w:rPr>
      </w:pPr>
      <w:bookmarkStart w:id="420" w:name="_Ref333760364"/>
      <w:r>
        <w:rPr>
          <w:rFonts w:eastAsia="楷体_GB2312"/>
          <w:lang w:eastAsia="zh-CN"/>
        </w:rPr>
        <w:t>将上一个“信托分配日”转入“信托分配（证券）账户”的、于下一个“支付日”应支付的“优先级资产支持证券”的利息款项转至“登记托管机构”指定的资金账户；</w:t>
      </w:r>
      <w:bookmarkEnd w:id="420"/>
    </w:p>
    <w:p w14:paraId="31442D1D">
      <w:pPr>
        <w:pStyle w:val="40"/>
        <w:ind w:firstLine="480"/>
        <w:jc w:val="both"/>
        <w:rPr>
          <w:rFonts w:eastAsia="楷体_GB2312"/>
          <w:lang w:eastAsia="zh-CN"/>
        </w:rPr>
      </w:pPr>
    </w:p>
    <w:p w14:paraId="1F837233">
      <w:pPr>
        <w:widowControl w:val="0"/>
        <w:numPr>
          <w:ilvl w:val="0"/>
          <w:numId w:val="22"/>
        </w:numPr>
        <w:spacing w:line="360" w:lineRule="auto"/>
        <w:ind w:left="1608" w:leftChars="670"/>
        <w:jc w:val="both"/>
        <w:rPr>
          <w:rFonts w:eastAsia="楷体_GB2312"/>
          <w:lang w:eastAsia="zh-CN"/>
        </w:rPr>
      </w:pPr>
      <w:r>
        <w:rPr>
          <w:rFonts w:eastAsia="楷体_GB2312"/>
          <w:lang w:eastAsia="zh-CN"/>
        </w:rPr>
        <w:t>将“信托分配（证券）账户”中的余额作为“次级资产支持证券”的收益，转入“登记托管机构”指定的资金账户。</w:t>
      </w:r>
    </w:p>
    <w:p w14:paraId="10C0DF01">
      <w:pPr>
        <w:pStyle w:val="40"/>
        <w:widowControl w:val="0"/>
        <w:spacing w:line="360" w:lineRule="auto"/>
        <w:ind w:left="1984" w:firstLine="0" w:firstLineChars="0"/>
        <w:jc w:val="both"/>
        <w:rPr>
          <w:rFonts w:eastAsia="楷体_GB2312"/>
          <w:lang w:eastAsia="zh-CN"/>
        </w:rPr>
      </w:pPr>
    </w:p>
    <w:p w14:paraId="5237DFFC">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“违约事件”发生以前，“受托人”应指示“资金保管机构”应不晚于每个“支付日”前【】个“工作日”</w:t>
      </w:r>
      <w:r>
        <w:rPr>
          <w:rFonts w:eastAsia="楷体_GB2312"/>
          <w:color w:val="000000"/>
        </w:rPr>
        <w:t>【</w:t>
      </w:r>
      <w:r>
        <w:rPr>
          <w:rFonts w:eastAsia="楷体_GB2312"/>
          <w:i/>
          <w:iCs/>
        </w:rPr>
        <w:t>具体时点</w:t>
      </w:r>
      <w:r>
        <w:rPr>
          <w:rFonts w:eastAsia="楷体_GB2312"/>
          <w:color w:val="000000"/>
        </w:rPr>
        <w:t>】</w:t>
      </w:r>
      <w:r>
        <w:rPr>
          <w:rFonts w:eastAsia="楷体_GB2312"/>
          <w:lang w:eastAsia="zh-CN"/>
        </w:rPr>
        <w:t>前，将“信托分配（证券）账户”中的本金金额按以下顺序作出支付，如不足以支付，所差金额应按以下顺序在下一期支付：</w:t>
      </w:r>
    </w:p>
    <w:p w14:paraId="4498B058">
      <w:pPr>
        <w:pStyle w:val="40"/>
        <w:widowControl w:val="0"/>
        <w:spacing w:line="360" w:lineRule="auto"/>
        <w:ind w:left="1984" w:firstLine="0" w:firstLineChars="0"/>
        <w:jc w:val="both"/>
        <w:rPr>
          <w:rFonts w:eastAsia="楷体_GB2312"/>
          <w:lang w:eastAsia="zh-CN"/>
        </w:rPr>
      </w:pPr>
    </w:p>
    <w:p w14:paraId="30B20C17">
      <w:pPr>
        <w:widowControl w:val="0"/>
        <w:numPr>
          <w:ilvl w:val="0"/>
          <w:numId w:val="23"/>
        </w:numPr>
        <w:spacing w:line="360" w:lineRule="auto"/>
        <w:ind w:left="1608" w:leftChars="670"/>
        <w:jc w:val="both"/>
        <w:rPr>
          <w:rFonts w:eastAsia="楷体_GB2312"/>
          <w:lang w:eastAsia="zh-CN"/>
        </w:rPr>
      </w:pPr>
      <w:r>
        <w:rPr>
          <w:rFonts w:eastAsia="楷体_GB2312"/>
          <w:lang w:eastAsia="zh-CN"/>
        </w:rPr>
        <w:t>转入“登记托管机构”指定的资金账户一定金额，以确保足以支付本合同第</w:t>
      </w:r>
      <w:r>
        <w:rPr>
          <w:rFonts w:eastAsia="楷体_GB2312"/>
          <w:lang w:eastAsia="zh-CN"/>
        </w:rPr>
        <w:fldChar w:fldCharType="begin"/>
      </w:r>
      <w:r>
        <w:rPr>
          <w:rFonts w:eastAsia="楷体_GB2312"/>
          <w:lang w:eastAsia="zh-CN"/>
        </w:rPr>
        <w:instrText xml:space="preserve"> REF _Ref221395850 \r \h  \* MERGEFORMAT </w:instrText>
      </w:r>
      <w:r>
        <w:rPr>
          <w:rFonts w:eastAsia="楷体_GB2312"/>
          <w:lang w:eastAsia="zh-CN"/>
        </w:rPr>
        <w:fldChar w:fldCharType="separate"/>
      </w:r>
      <w:r>
        <w:rPr>
          <w:rFonts w:eastAsia="楷体_GB2312"/>
          <w:lang w:eastAsia="zh-CN"/>
        </w:rPr>
        <w:t>9.12.1</w:t>
      </w:r>
      <w:r>
        <w:rPr>
          <w:rFonts w:eastAsia="楷体_GB2312"/>
          <w:lang w:eastAsia="zh-CN"/>
        </w:rPr>
        <w:fldChar w:fldCharType="end"/>
      </w:r>
      <w:r>
        <w:rPr>
          <w:rFonts w:eastAsia="楷体_GB2312"/>
          <w:lang w:eastAsia="zh-CN"/>
        </w:rPr>
        <w:t>款第</w:t>
      </w:r>
      <w:r>
        <w:rPr>
          <w:rFonts w:eastAsia="楷体_GB2312"/>
          <w:lang w:eastAsia="zh-CN"/>
        </w:rPr>
        <w:fldChar w:fldCharType="begin"/>
      </w:r>
      <w:r>
        <w:rPr>
          <w:rFonts w:eastAsia="楷体_GB2312"/>
          <w:lang w:eastAsia="zh-CN"/>
        </w:rPr>
        <w:instrText xml:space="preserve"> REF _Ref333760364 \r \h  \* MERGEFORMAT </w:instrText>
      </w:r>
      <w:r>
        <w:rPr>
          <w:rFonts w:eastAsia="楷体_GB2312"/>
          <w:lang w:eastAsia="zh-CN"/>
        </w:rPr>
        <w:fldChar w:fldCharType="separate"/>
      </w:r>
      <w:r>
        <w:rPr>
          <w:rFonts w:eastAsia="楷体_GB2312"/>
          <w:lang w:eastAsia="zh-CN"/>
        </w:rPr>
        <w:t>(1)</w:t>
      </w:r>
      <w:r>
        <w:rPr>
          <w:rFonts w:eastAsia="楷体_GB2312"/>
          <w:lang w:eastAsia="zh-CN"/>
        </w:rPr>
        <w:fldChar w:fldCharType="end"/>
      </w:r>
      <w:r>
        <w:rPr>
          <w:rFonts w:eastAsia="楷体_GB2312"/>
          <w:lang w:eastAsia="zh-CN"/>
        </w:rPr>
        <w:t>项约定的所有应付款项；</w:t>
      </w:r>
    </w:p>
    <w:p w14:paraId="3986AC51">
      <w:pPr>
        <w:pStyle w:val="40"/>
        <w:widowControl w:val="0"/>
        <w:spacing w:line="360" w:lineRule="auto"/>
        <w:ind w:left="1984" w:firstLine="0" w:firstLineChars="0"/>
        <w:jc w:val="both"/>
        <w:rPr>
          <w:rFonts w:eastAsia="楷体_GB2312"/>
          <w:lang w:eastAsia="zh-CN"/>
        </w:rPr>
      </w:pPr>
    </w:p>
    <w:p w14:paraId="7E8D70B8">
      <w:pPr>
        <w:widowControl w:val="0"/>
        <w:numPr>
          <w:ilvl w:val="0"/>
          <w:numId w:val="23"/>
        </w:numPr>
        <w:spacing w:line="360" w:lineRule="auto"/>
        <w:ind w:left="1608" w:leftChars="670"/>
        <w:jc w:val="both"/>
        <w:rPr>
          <w:rFonts w:eastAsia="楷体_GB2312"/>
          <w:lang w:eastAsia="zh-CN"/>
        </w:rPr>
      </w:pPr>
      <w:r>
        <w:rPr>
          <w:rFonts w:eastAsia="楷体_GB2312"/>
          <w:lang w:eastAsia="zh-CN"/>
        </w:rPr>
        <w:t>转入“登记托管机构”指定的资金账户一定金额，直至已转入的款项数额等于所有“优先级资产支持证券”的“未偿本金余额”之和；</w:t>
      </w:r>
    </w:p>
    <w:p w14:paraId="132A461F">
      <w:pPr>
        <w:pStyle w:val="40"/>
        <w:ind w:firstLine="480"/>
        <w:jc w:val="both"/>
        <w:rPr>
          <w:rFonts w:eastAsia="楷体_GB2312"/>
          <w:lang w:eastAsia="zh-CN"/>
        </w:rPr>
      </w:pPr>
    </w:p>
    <w:p w14:paraId="57D0CFBA">
      <w:pPr>
        <w:widowControl w:val="0"/>
        <w:numPr>
          <w:ilvl w:val="0"/>
          <w:numId w:val="23"/>
        </w:numPr>
        <w:spacing w:line="360" w:lineRule="auto"/>
        <w:ind w:left="1608" w:leftChars="670"/>
        <w:jc w:val="both"/>
        <w:rPr>
          <w:rFonts w:eastAsia="楷体_GB2312"/>
          <w:lang w:eastAsia="zh-CN"/>
        </w:rPr>
      </w:pPr>
      <w:r>
        <w:rPr>
          <w:rFonts w:eastAsia="楷体_GB2312"/>
          <w:lang w:eastAsia="zh-CN"/>
        </w:rPr>
        <w:t>转入“登记托管机构”指定的资金账户一定金额，直至已转入的款项数额等于所有“次级资产支持证券”的“未偿本金余额”之和；</w:t>
      </w:r>
    </w:p>
    <w:p w14:paraId="00BE02D1">
      <w:pPr>
        <w:pStyle w:val="40"/>
        <w:ind w:firstLine="480"/>
        <w:jc w:val="both"/>
        <w:rPr>
          <w:rFonts w:eastAsia="楷体_GB2312"/>
          <w:lang w:eastAsia="zh-CN"/>
        </w:rPr>
      </w:pPr>
    </w:p>
    <w:p w14:paraId="147EC327">
      <w:pPr>
        <w:widowControl w:val="0"/>
        <w:numPr>
          <w:ilvl w:val="0"/>
          <w:numId w:val="23"/>
        </w:numPr>
        <w:spacing w:line="360" w:lineRule="auto"/>
        <w:ind w:left="1608" w:leftChars="670"/>
        <w:jc w:val="both"/>
        <w:rPr>
          <w:rFonts w:eastAsia="楷体_GB2312"/>
          <w:lang w:eastAsia="zh-CN"/>
        </w:rPr>
      </w:pPr>
      <w:r>
        <w:rPr>
          <w:rFonts w:eastAsia="楷体_GB2312"/>
          <w:lang w:eastAsia="zh-CN"/>
        </w:rPr>
        <w:t>将“信托分配（证券）账户”中的余额作为“次级资产支持证券”的收益，转入“登记托管机构”指定的资金账户。</w:t>
      </w:r>
    </w:p>
    <w:p w14:paraId="5E115DA0">
      <w:pPr>
        <w:pStyle w:val="40"/>
        <w:widowControl w:val="0"/>
        <w:spacing w:line="360" w:lineRule="auto"/>
        <w:ind w:left="1984" w:firstLine="0" w:firstLineChars="0"/>
        <w:jc w:val="both"/>
        <w:rPr>
          <w:rFonts w:eastAsia="楷体_GB2312"/>
          <w:lang w:eastAsia="zh-CN"/>
        </w:rPr>
      </w:pPr>
    </w:p>
    <w:p w14:paraId="5B4199C7">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“违约事件”发生时或之后，“受托人”应指示“资金保管机构”应不晚于每个“支付日”前【】个“工作日”</w:t>
      </w:r>
      <w:r>
        <w:rPr>
          <w:rFonts w:eastAsia="楷体_GB2312"/>
          <w:color w:val="000000"/>
        </w:rPr>
        <w:t>【</w:t>
      </w:r>
      <w:r>
        <w:rPr>
          <w:rFonts w:eastAsia="楷体_GB2312"/>
          <w:i/>
          <w:iCs/>
        </w:rPr>
        <w:t>具体时点</w:t>
      </w:r>
      <w:r>
        <w:rPr>
          <w:rFonts w:eastAsia="楷体_GB2312"/>
          <w:color w:val="000000"/>
        </w:rPr>
        <w:t>】</w:t>
      </w:r>
      <w:r>
        <w:rPr>
          <w:rFonts w:eastAsia="楷体_GB2312"/>
          <w:lang w:eastAsia="zh-CN"/>
        </w:rPr>
        <w:t>前，将“信托分配（证券）账户”中的金额按如下顺序作出支付，如不足以支付，所差金额应按以下顺序在下一期支付：</w:t>
      </w:r>
    </w:p>
    <w:p w14:paraId="7EB556EF">
      <w:pPr>
        <w:widowControl w:val="0"/>
        <w:spacing w:line="360" w:lineRule="auto"/>
        <w:ind w:left="1418"/>
        <w:jc w:val="both"/>
        <w:rPr>
          <w:rFonts w:eastAsia="楷体_GB2312"/>
          <w:lang w:eastAsia="zh-CN"/>
        </w:rPr>
      </w:pPr>
    </w:p>
    <w:p w14:paraId="0DD50165">
      <w:pPr>
        <w:widowControl w:val="0"/>
        <w:numPr>
          <w:ilvl w:val="0"/>
          <w:numId w:val="24"/>
        </w:numPr>
        <w:spacing w:line="360" w:lineRule="auto"/>
        <w:ind w:left="1608" w:leftChars="670"/>
        <w:jc w:val="both"/>
        <w:rPr>
          <w:rFonts w:eastAsia="楷体_GB2312"/>
          <w:lang w:eastAsia="zh-CN"/>
        </w:rPr>
      </w:pPr>
      <w:r>
        <w:rPr>
          <w:rFonts w:eastAsia="楷体_GB2312"/>
          <w:lang w:eastAsia="zh-CN"/>
        </w:rPr>
        <w:t>将上一个“信托分配日”转入“信托分配（证券）账户”的、于下一个“支付日”应支付的“优先级资产支持证券”的利息款项转至“登记托管机构”指定的资金账户；</w:t>
      </w:r>
    </w:p>
    <w:p w14:paraId="3FA328D4">
      <w:pPr>
        <w:pStyle w:val="40"/>
        <w:widowControl w:val="0"/>
        <w:spacing w:line="360" w:lineRule="auto"/>
        <w:ind w:left="1984" w:firstLine="0" w:firstLineChars="0"/>
        <w:jc w:val="both"/>
        <w:rPr>
          <w:rFonts w:eastAsia="楷体_GB2312"/>
          <w:lang w:eastAsia="zh-CN"/>
        </w:rPr>
      </w:pPr>
    </w:p>
    <w:p w14:paraId="71621C23">
      <w:pPr>
        <w:widowControl w:val="0"/>
        <w:numPr>
          <w:ilvl w:val="0"/>
          <w:numId w:val="24"/>
        </w:numPr>
        <w:spacing w:line="360" w:lineRule="auto"/>
        <w:ind w:left="1608" w:leftChars="670"/>
        <w:jc w:val="both"/>
        <w:rPr>
          <w:rFonts w:eastAsia="楷体_GB2312"/>
          <w:lang w:eastAsia="zh-CN"/>
        </w:rPr>
      </w:pPr>
      <w:r>
        <w:rPr>
          <w:rFonts w:eastAsia="楷体_GB2312"/>
          <w:lang w:eastAsia="zh-CN"/>
        </w:rPr>
        <w:t>转入“登记托管机构”指定的资金账户一定金额，直至已转入的款项数额等于所有“优先级资产支持证券”的“未偿本金余额”之和；</w:t>
      </w:r>
    </w:p>
    <w:p w14:paraId="5BDE63B9">
      <w:pPr>
        <w:pStyle w:val="40"/>
        <w:ind w:firstLine="480"/>
        <w:jc w:val="both"/>
        <w:rPr>
          <w:rFonts w:eastAsia="楷体_GB2312"/>
          <w:lang w:eastAsia="zh-CN"/>
        </w:rPr>
      </w:pPr>
    </w:p>
    <w:p w14:paraId="7DA49788">
      <w:pPr>
        <w:widowControl w:val="0"/>
        <w:numPr>
          <w:ilvl w:val="0"/>
          <w:numId w:val="24"/>
        </w:numPr>
        <w:spacing w:line="360" w:lineRule="auto"/>
        <w:ind w:left="1608" w:leftChars="670"/>
        <w:jc w:val="both"/>
        <w:rPr>
          <w:rFonts w:eastAsia="楷体_GB2312"/>
          <w:lang w:eastAsia="zh-CN"/>
        </w:rPr>
      </w:pPr>
      <w:r>
        <w:rPr>
          <w:rFonts w:eastAsia="楷体_GB2312"/>
          <w:lang w:eastAsia="zh-CN"/>
        </w:rPr>
        <w:t>转入“登记托管机构”指定的资金账户一定金额，直至已转入的款项数额等于所有“次级资产支持证券”的“未偿本金余额”之和；</w:t>
      </w:r>
    </w:p>
    <w:p w14:paraId="2E5628C1">
      <w:pPr>
        <w:pStyle w:val="40"/>
        <w:widowControl w:val="0"/>
        <w:spacing w:line="360" w:lineRule="auto"/>
        <w:ind w:left="1984" w:firstLine="0" w:firstLineChars="0"/>
        <w:jc w:val="both"/>
        <w:rPr>
          <w:rFonts w:eastAsia="楷体_GB2312"/>
          <w:lang w:eastAsia="zh-CN"/>
        </w:rPr>
      </w:pPr>
    </w:p>
    <w:p w14:paraId="3A6640C4">
      <w:pPr>
        <w:widowControl w:val="0"/>
        <w:numPr>
          <w:ilvl w:val="0"/>
          <w:numId w:val="24"/>
        </w:numPr>
        <w:spacing w:line="360" w:lineRule="auto"/>
        <w:ind w:left="1608" w:leftChars="670"/>
        <w:jc w:val="both"/>
        <w:rPr>
          <w:rFonts w:eastAsia="楷体_GB2312"/>
          <w:lang w:eastAsia="zh-CN"/>
        </w:rPr>
      </w:pPr>
      <w:r>
        <w:rPr>
          <w:rFonts w:eastAsia="楷体_GB2312"/>
          <w:lang w:eastAsia="zh-CN"/>
        </w:rPr>
        <w:t>如有余额作为“次级资产支持证券”的收益，转入“登记托管机构”指定的资金账户。</w:t>
      </w:r>
    </w:p>
    <w:p w14:paraId="7FCF7212">
      <w:pPr>
        <w:pStyle w:val="51"/>
        <w:spacing w:after="0" w:line="360" w:lineRule="exact"/>
        <w:ind w:left="1984"/>
        <w:rPr>
          <w:rFonts w:eastAsia="楷体_GB2312"/>
          <w:lang w:eastAsia="zh-CN"/>
        </w:rPr>
      </w:pPr>
    </w:p>
    <w:p w14:paraId="545818B2">
      <w:pPr>
        <w:widowControl w:val="0"/>
        <w:numPr>
          <w:ilvl w:val="1"/>
          <w:numId w:val="8"/>
        </w:numPr>
        <w:spacing w:line="360" w:lineRule="auto"/>
        <w:jc w:val="both"/>
        <w:outlineLvl w:val="1"/>
        <w:rPr>
          <w:rFonts w:eastAsia="楷体_GB2312"/>
          <w:lang w:eastAsia="zh-CN"/>
        </w:rPr>
      </w:pPr>
      <w:r>
        <w:rPr>
          <w:rFonts w:eastAsia="楷体_GB2312"/>
          <w:b/>
          <w:lang w:eastAsia="zh-CN"/>
        </w:rPr>
        <w:t>信托分配（费用和开支）账户资金的运用</w:t>
      </w:r>
    </w:p>
    <w:p w14:paraId="52B83DC1">
      <w:pPr>
        <w:pStyle w:val="50"/>
        <w:spacing w:after="0" w:line="360" w:lineRule="auto"/>
        <w:ind w:left="566" w:leftChars="236" w:firstLine="482" w:firstLineChars="200"/>
        <w:rPr>
          <w:rFonts w:eastAsia="楷体_GB2312"/>
          <w:color w:val="FF0000"/>
          <w:lang w:eastAsia="zh-CN"/>
        </w:rPr>
      </w:pPr>
      <w:r>
        <w:rPr>
          <w:rFonts w:eastAsia="楷体_GB2312"/>
          <w:b/>
          <w:bCs/>
          <w:i/>
          <w:iCs/>
          <w:color w:val="FF0000"/>
          <w:lang w:val="en-US" w:eastAsia="zh-CN"/>
        </w:rPr>
        <w:t>【注：各账户具体资金运用可根据项目实际情况调整。】</w:t>
      </w:r>
    </w:p>
    <w:p w14:paraId="0125EDD5">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“违约事件”发生前的每个“支付日”，“资金保管机构”根据“受托机构”划款指令将“信托分配（费用和开支）账户”中的金额按如下顺序支付，如不足以支付，所差金额应按以下顺序在下一期支付：</w:t>
      </w:r>
    </w:p>
    <w:p w14:paraId="2721BA41">
      <w:pPr>
        <w:pStyle w:val="50"/>
        <w:spacing w:after="0" w:line="360" w:lineRule="auto"/>
        <w:ind w:left="1418"/>
        <w:rPr>
          <w:rFonts w:eastAsia="楷体_GB2312"/>
          <w:lang w:eastAsia="zh-CN"/>
        </w:rPr>
      </w:pPr>
    </w:p>
    <w:p w14:paraId="53F31A18">
      <w:pPr>
        <w:widowControl w:val="0"/>
        <w:numPr>
          <w:ilvl w:val="0"/>
          <w:numId w:val="25"/>
        </w:numPr>
        <w:spacing w:line="360" w:lineRule="auto"/>
        <w:ind w:left="1608" w:leftChars="670"/>
        <w:jc w:val="both"/>
        <w:rPr>
          <w:rFonts w:eastAsia="楷体_GB2312"/>
          <w:lang w:eastAsia="zh-CN"/>
        </w:rPr>
      </w:pPr>
      <w:r>
        <w:rPr>
          <w:rFonts w:eastAsia="楷体_GB2312"/>
          <w:lang w:eastAsia="zh-CN"/>
        </w:rPr>
        <w:t>同顺序、按相应比例（如“信托分配（费用和开支）账户”内的资金不足以支付本顺序所列各项金额）向“受托机构”、“资金保管机构”、“登记托管机构”、“支付代理机构”、“评级机构”（如有）、“审计师”（如有）、“后备贷款服务机构”（如有）支付各自的“服务报酬”</w:t>
      </w:r>
      <w:r>
        <w:rPr>
          <w:rFonts w:hint="eastAsia" w:eastAsia="楷体_GB2312"/>
          <w:lang w:eastAsia="zh-CN"/>
        </w:rPr>
        <w:t>及</w:t>
      </w:r>
      <w:r>
        <w:rPr>
          <w:rFonts w:eastAsia="楷体_GB2312"/>
          <w:color w:val="000000"/>
        </w:rPr>
        <w:t>“受托人”因“清仓回购”而聘请</w:t>
      </w:r>
      <w:r>
        <w:rPr>
          <w:rFonts w:hint="eastAsia" w:eastAsia="楷体_GB2312"/>
          <w:color w:val="000000"/>
        </w:rPr>
        <w:t>第三方专业机构</w:t>
      </w:r>
      <w:r>
        <w:rPr>
          <w:rFonts w:eastAsia="楷体_GB2312"/>
          <w:color w:val="000000"/>
        </w:rPr>
        <w:t>对剩余“资产池”进行评估所发生的费用</w:t>
      </w:r>
      <w:r>
        <w:rPr>
          <w:rFonts w:hint="eastAsia" w:eastAsia="楷体_GB2312"/>
          <w:color w:val="000000"/>
        </w:rPr>
        <w:t>，</w:t>
      </w:r>
      <w:r>
        <w:rPr>
          <w:rFonts w:eastAsia="楷体_GB2312"/>
          <w:lang w:eastAsia="zh-CN"/>
        </w:rPr>
        <w:t>以及以“优先支出上限”为限的上述主体和“贷款服务机构”的“费用支出”；</w:t>
      </w:r>
    </w:p>
    <w:p w14:paraId="303CDED4">
      <w:pPr>
        <w:pStyle w:val="40"/>
        <w:widowControl w:val="0"/>
        <w:spacing w:line="360" w:lineRule="auto"/>
        <w:ind w:left="1984" w:firstLine="0" w:firstLineChars="0"/>
        <w:jc w:val="both"/>
        <w:rPr>
          <w:rFonts w:eastAsia="楷体_GB2312"/>
          <w:lang w:eastAsia="zh-CN"/>
        </w:rPr>
      </w:pPr>
    </w:p>
    <w:p w14:paraId="2A3D2D8E">
      <w:pPr>
        <w:widowControl w:val="0"/>
        <w:numPr>
          <w:ilvl w:val="0"/>
          <w:numId w:val="25"/>
        </w:numPr>
        <w:spacing w:line="360" w:lineRule="auto"/>
        <w:ind w:left="1608" w:leftChars="670"/>
        <w:jc w:val="both"/>
        <w:rPr>
          <w:rFonts w:eastAsia="楷体_GB2312"/>
          <w:lang w:eastAsia="zh-CN"/>
        </w:rPr>
      </w:pPr>
      <w:r>
        <w:rPr>
          <w:rFonts w:eastAsia="楷体_GB2312"/>
          <w:lang w:eastAsia="zh-CN"/>
        </w:rPr>
        <w:t>向“贷款服务机构”支付“服务报酬”；</w:t>
      </w:r>
    </w:p>
    <w:p w14:paraId="08095F74">
      <w:pPr>
        <w:pStyle w:val="40"/>
        <w:widowControl w:val="0"/>
        <w:spacing w:line="360" w:lineRule="auto"/>
        <w:ind w:left="1984" w:firstLine="0" w:firstLineChars="0"/>
        <w:jc w:val="both"/>
        <w:rPr>
          <w:rFonts w:eastAsia="楷体_GB2312"/>
          <w:lang w:eastAsia="zh-CN"/>
        </w:rPr>
      </w:pPr>
    </w:p>
    <w:p w14:paraId="6A9FA7D3">
      <w:pPr>
        <w:widowControl w:val="0"/>
        <w:numPr>
          <w:ilvl w:val="0"/>
          <w:numId w:val="25"/>
        </w:numPr>
        <w:spacing w:line="360" w:lineRule="auto"/>
        <w:ind w:left="1608" w:leftChars="670"/>
        <w:jc w:val="both"/>
        <w:rPr>
          <w:rFonts w:eastAsia="楷体_GB2312"/>
          <w:lang w:eastAsia="zh-CN"/>
        </w:rPr>
      </w:pPr>
      <w:r>
        <w:rPr>
          <w:rFonts w:eastAsia="楷体_GB2312"/>
          <w:lang w:eastAsia="zh-CN"/>
        </w:rPr>
        <w:t>同顺序、按所差金额的相应比例（如“信托分配（费用和开支）账户”内的资金不足以支付本顺序所列各项金额）向“受托机构”、“贷款服务机构”、“资金保管机构”、“登记托管机构”、“支付代理机构”、“评级机构”（如有）、“审计师”（如有）以及“后备贷款服务机构”（如有）支付超过“优先支出上限”的“费用支出”。</w:t>
      </w:r>
    </w:p>
    <w:p w14:paraId="09F63CD2">
      <w:pPr>
        <w:pStyle w:val="40"/>
        <w:widowControl w:val="0"/>
        <w:spacing w:line="360" w:lineRule="auto"/>
        <w:ind w:left="1984" w:firstLine="0" w:firstLineChars="0"/>
        <w:jc w:val="both"/>
        <w:rPr>
          <w:rFonts w:eastAsia="楷体_GB2312"/>
          <w:lang w:eastAsia="zh-CN"/>
        </w:rPr>
      </w:pPr>
    </w:p>
    <w:p w14:paraId="4687FEBC">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“违约事件”发生时和之后的每个“支付日”，“资金保管机构”根据“受托机构”划款指令将“信托分配（费用和开支）账户”中的金额按如下顺序支付，如不足以支付，所差金额应按以下顺序在下一期支付：</w:t>
      </w:r>
    </w:p>
    <w:p w14:paraId="6A443FD8">
      <w:pPr>
        <w:pStyle w:val="50"/>
        <w:spacing w:after="0" w:line="360" w:lineRule="auto"/>
        <w:ind w:left="1418"/>
        <w:rPr>
          <w:rFonts w:eastAsia="楷体_GB2312"/>
          <w:lang w:eastAsia="zh-CN"/>
        </w:rPr>
      </w:pPr>
    </w:p>
    <w:p w14:paraId="57524198">
      <w:pPr>
        <w:widowControl w:val="0"/>
        <w:numPr>
          <w:ilvl w:val="0"/>
          <w:numId w:val="26"/>
        </w:numPr>
        <w:spacing w:line="360" w:lineRule="auto"/>
        <w:ind w:left="1608" w:leftChars="670"/>
        <w:jc w:val="both"/>
        <w:rPr>
          <w:rFonts w:eastAsia="楷体_GB2312"/>
          <w:lang w:eastAsia="zh-CN"/>
        </w:rPr>
      </w:pPr>
      <w:r>
        <w:rPr>
          <w:rFonts w:eastAsia="楷体_GB2312"/>
          <w:lang w:eastAsia="zh-CN"/>
        </w:rPr>
        <w:t>同顺序、按相应比例（如“信托分配（费用和开支）账户”内的资金不足以支付本顺序所列各项金额）向“受托机构”、“资金保管机构”、“登记托管机构”、“支付代理机构”、“评级机构”（如有）、“审计师”（如有）、“后备贷款服务机构”（如有）支付各自的“服务报酬”</w:t>
      </w:r>
      <w:r>
        <w:rPr>
          <w:rFonts w:hint="eastAsia" w:eastAsia="楷体_GB2312"/>
          <w:lang w:eastAsia="zh-CN"/>
        </w:rPr>
        <w:t>及</w:t>
      </w:r>
      <w:r>
        <w:rPr>
          <w:rFonts w:eastAsia="楷体_GB2312"/>
          <w:color w:val="000000"/>
        </w:rPr>
        <w:t>“受托人”因“清仓回购”而聘请</w:t>
      </w:r>
      <w:r>
        <w:rPr>
          <w:rFonts w:hint="eastAsia" w:eastAsia="楷体_GB2312"/>
          <w:color w:val="000000"/>
        </w:rPr>
        <w:t>第三方专业机构</w:t>
      </w:r>
      <w:r>
        <w:rPr>
          <w:rFonts w:eastAsia="楷体_GB2312"/>
          <w:color w:val="000000"/>
        </w:rPr>
        <w:t>对剩余“资产池”进行评估所发生的费用</w:t>
      </w:r>
      <w:r>
        <w:rPr>
          <w:rFonts w:hint="eastAsia" w:eastAsia="楷体_GB2312"/>
          <w:color w:val="000000"/>
        </w:rPr>
        <w:t>，</w:t>
      </w:r>
      <w:r>
        <w:rPr>
          <w:rFonts w:eastAsia="楷体_GB2312"/>
          <w:lang w:eastAsia="zh-CN"/>
        </w:rPr>
        <w:t>以及上述主体和“贷款服务机构”的“费用支出”；</w:t>
      </w:r>
    </w:p>
    <w:p w14:paraId="09AB554A">
      <w:pPr>
        <w:pStyle w:val="40"/>
        <w:widowControl w:val="0"/>
        <w:spacing w:line="360" w:lineRule="auto"/>
        <w:ind w:left="1984" w:firstLine="0" w:firstLineChars="0"/>
        <w:jc w:val="both"/>
        <w:rPr>
          <w:rFonts w:eastAsia="楷体_GB2312"/>
          <w:lang w:eastAsia="zh-CN"/>
        </w:rPr>
      </w:pPr>
    </w:p>
    <w:p w14:paraId="0CF3AF09">
      <w:pPr>
        <w:widowControl w:val="0"/>
        <w:numPr>
          <w:ilvl w:val="0"/>
          <w:numId w:val="26"/>
        </w:numPr>
        <w:spacing w:line="360" w:lineRule="auto"/>
        <w:ind w:left="1608" w:leftChars="670"/>
        <w:jc w:val="both"/>
        <w:rPr>
          <w:rFonts w:eastAsia="楷体_GB2312"/>
          <w:lang w:eastAsia="zh-CN"/>
        </w:rPr>
      </w:pPr>
      <w:r>
        <w:rPr>
          <w:rFonts w:eastAsia="楷体_GB2312"/>
          <w:lang w:eastAsia="zh-CN"/>
        </w:rPr>
        <w:t>向“贷款服务机构”支付“服务报酬”。</w:t>
      </w:r>
    </w:p>
    <w:p w14:paraId="7B8E93C1">
      <w:pPr>
        <w:tabs>
          <w:tab w:val="left" w:pos="1800"/>
          <w:tab w:val="left" w:pos="1980"/>
        </w:tabs>
        <w:spacing w:line="360" w:lineRule="auto"/>
        <w:jc w:val="both"/>
        <w:rPr>
          <w:rFonts w:eastAsia="楷体_GB2312"/>
          <w:lang w:val="en-GB" w:eastAsia="zh-CN"/>
        </w:rPr>
      </w:pPr>
    </w:p>
    <w:p w14:paraId="27C748C1">
      <w:pPr>
        <w:widowControl w:val="0"/>
        <w:numPr>
          <w:ilvl w:val="0"/>
          <w:numId w:val="8"/>
        </w:numPr>
        <w:spacing w:line="360" w:lineRule="auto"/>
        <w:jc w:val="both"/>
        <w:outlineLvl w:val="0"/>
        <w:rPr>
          <w:rFonts w:eastAsia="楷体_GB2312"/>
          <w:b/>
        </w:rPr>
      </w:pPr>
      <w:bookmarkStart w:id="421" w:name="_Toc75510469"/>
      <w:bookmarkStart w:id="422" w:name="_Ref201650603"/>
      <w:bookmarkStart w:id="423" w:name="_Toc207007307"/>
      <w:bookmarkStart w:id="424" w:name="_Toc69138587"/>
      <w:bookmarkStart w:id="425" w:name="_Toc227955284"/>
      <w:bookmarkStart w:id="426" w:name="_Toc454484857"/>
      <w:bookmarkStart w:id="427" w:name="_Toc166105870"/>
      <w:r>
        <w:rPr>
          <w:rFonts w:eastAsia="楷体_GB2312"/>
          <w:b/>
        </w:rPr>
        <w:t>信托的终止与清算</w:t>
      </w:r>
      <w:bookmarkEnd w:id="421"/>
      <w:bookmarkEnd w:id="422"/>
      <w:bookmarkEnd w:id="423"/>
      <w:bookmarkEnd w:id="424"/>
      <w:bookmarkEnd w:id="425"/>
      <w:bookmarkEnd w:id="426"/>
      <w:bookmarkEnd w:id="427"/>
    </w:p>
    <w:p w14:paraId="233ECE7C">
      <w:pPr>
        <w:tabs>
          <w:tab w:val="left" w:pos="1800"/>
          <w:tab w:val="left" w:pos="1980"/>
        </w:tabs>
        <w:spacing w:line="360" w:lineRule="auto"/>
        <w:jc w:val="both"/>
        <w:rPr>
          <w:rFonts w:eastAsia="楷体_GB2312"/>
        </w:rPr>
      </w:pPr>
    </w:p>
    <w:p w14:paraId="3B8431A1">
      <w:pPr>
        <w:widowControl w:val="0"/>
        <w:numPr>
          <w:ilvl w:val="1"/>
          <w:numId w:val="8"/>
        </w:numPr>
        <w:tabs>
          <w:tab w:val="left" w:pos="900"/>
        </w:tabs>
        <w:spacing w:line="360" w:lineRule="auto"/>
        <w:jc w:val="both"/>
        <w:outlineLvl w:val="1"/>
        <w:rPr>
          <w:rFonts w:eastAsia="楷体_GB2312"/>
          <w:b/>
        </w:rPr>
      </w:pPr>
      <w:r>
        <w:rPr>
          <w:rFonts w:eastAsia="楷体_GB2312"/>
          <w:b/>
        </w:rPr>
        <w:t>信托的终止</w:t>
      </w:r>
    </w:p>
    <w:p w14:paraId="5970CB5F">
      <w:pPr>
        <w:tabs>
          <w:tab w:val="left" w:pos="1800"/>
          <w:tab w:val="left" w:pos="1980"/>
        </w:tabs>
        <w:spacing w:line="360" w:lineRule="auto"/>
        <w:jc w:val="both"/>
        <w:rPr>
          <w:rFonts w:eastAsia="楷体_GB2312"/>
        </w:rPr>
      </w:pPr>
    </w:p>
    <w:p w14:paraId="5736EC34">
      <w:pPr>
        <w:tabs>
          <w:tab w:val="left" w:pos="1800"/>
          <w:tab w:val="left" w:pos="1980"/>
        </w:tabs>
        <w:spacing w:line="360" w:lineRule="auto"/>
        <w:ind w:left="991"/>
        <w:jc w:val="both"/>
        <w:rPr>
          <w:rFonts w:eastAsia="楷体_GB2312"/>
          <w:lang w:eastAsia="zh-CN"/>
        </w:rPr>
      </w:pPr>
      <w:r>
        <w:rPr>
          <w:rFonts w:eastAsia="楷体_GB2312"/>
          <w:lang w:eastAsia="zh-CN"/>
        </w:rPr>
        <w:t>“信托”的“信托期限”自“信托生效日”（包含该日）起至“信托终止日”（不包含该日）止，“信托”于“信托终止日”终止。</w:t>
      </w:r>
    </w:p>
    <w:p w14:paraId="711067EC">
      <w:pPr>
        <w:tabs>
          <w:tab w:val="left" w:pos="1800"/>
          <w:tab w:val="left" w:pos="1980"/>
        </w:tabs>
        <w:spacing w:line="360" w:lineRule="auto"/>
        <w:ind w:left="851"/>
        <w:jc w:val="both"/>
        <w:rPr>
          <w:rFonts w:eastAsia="楷体_GB2312"/>
          <w:lang w:eastAsia="zh-CN"/>
        </w:rPr>
      </w:pPr>
    </w:p>
    <w:p w14:paraId="1D6FAB31">
      <w:pPr>
        <w:widowControl w:val="0"/>
        <w:numPr>
          <w:ilvl w:val="1"/>
          <w:numId w:val="8"/>
        </w:numPr>
        <w:tabs>
          <w:tab w:val="left" w:pos="900"/>
        </w:tabs>
        <w:spacing w:line="360" w:lineRule="auto"/>
        <w:jc w:val="both"/>
        <w:outlineLvl w:val="1"/>
        <w:rPr>
          <w:rFonts w:eastAsia="楷体_GB2312"/>
          <w:b/>
        </w:rPr>
      </w:pPr>
      <w:bookmarkStart w:id="428" w:name="_Ref201647271"/>
      <w:r>
        <w:rPr>
          <w:rFonts w:eastAsia="楷体_GB2312"/>
          <w:b/>
        </w:rPr>
        <w:t>信托的清算</w:t>
      </w:r>
      <w:bookmarkEnd w:id="428"/>
    </w:p>
    <w:p w14:paraId="6007445A">
      <w:pPr>
        <w:spacing w:line="360" w:lineRule="auto"/>
        <w:ind w:left="991" w:leftChars="413"/>
        <w:jc w:val="both"/>
        <w:rPr>
          <w:rFonts w:eastAsia="楷体_GB2312"/>
          <w:b/>
          <w:bCs/>
          <w:i/>
          <w:iCs/>
          <w:color w:val="FF0000"/>
          <w:lang w:eastAsia="zh-CN"/>
        </w:rPr>
      </w:pPr>
      <w:bookmarkStart w:id="429" w:name="_Hlk61514858"/>
      <w:r>
        <w:rPr>
          <w:rFonts w:eastAsia="楷体_GB2312"/>
          <w:b/>
          <w:bCs/>
          <w:i/>
          <w:iCs/>
          <w:color w:val="FF0000"/>
        </w:rPr>
        <w:t>【注：清算程序和清算规则，可在法律允许范围内根据具体项目中各方协商结果进行调整。】</w:t>
      </w:r>
      <w:bookmarkEnd w:id="429"/>
    </w:p>
    <w:p w14:paraId="11D60A76">
      <w:pPr>
        <w:spacing w:line="360" w:lineRule="auto"/>
        <w:ind w:left="425"/>
        <w:jc w:val="both"/>
        <w:rPr>
          <w:rFonts w:eastAsia="楷体_GB2312"/>
          <w:b/>
          <w:lang w:eastAsia="zh-CN"/>
        </w:rPr>
      </w:pPr>
    </w:p>
    <w:p w14:paraId="5B5C1B92">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“受托人”应于“信托终止日”后【】日（或“资产支持证券持有人大会”同意的其他更晚日期）内完成“信托财产”的清算：(1)清算“合格投资”；(2)按本合同第</w:t>
      </w:r>
      <w:r>
        <w:rPr>
          <w:rFonts w:eastAsia="楷体_GB2312"/>
        </w:rPr>
        <w:fldChar w:fldCharType="begin"/>
      </w:r>
      <w:r>
        <w:rPr>
          <w:rFonts w:eastAsia="楷体_GB2312"/>
          <w:lang w:eastAsia="zh-CN"/>
        </w:rPr>
        <w:instrText xml:space="preserve"> REF _Ref201641488 \r \h  \* MERGEFORMAT </w:instrText>
      </w:r>
      <w:r>
        <w:rPr>
          <w:rFonts w:eastAsia="楷体_GB2312"/>
        </w:rPr>
        <w:fldChar w:fldCharType="separate"/>
      </w:r>
      <w:r>
        <w:rPr>
          <w:rFonts w:eastAsia="楷体_GB2312"/>
          <w:lang w:eastAsia="zh-CN"/>
        </w:rPr>
        <w:t>10.2.3</w:t>
      </w:r>
      <w:r>
        <w:rPr>
          <w:rFonts w:eastAsia="楷体_GB2312"/>
        </w:rPr>
        <w:fldChar w:fldCharType="end"/>
      </w:r>
      <w:r>
        <w:rPr>
          <w:rFonts w:eastAsia="楷体_GB2312"/>
          <w:lang w:eastAsia="zh-CN"/>
        </w:rPr>
        <w:t>款约定清算除现金、存款及“合格投资”以外的“信托财产”（“非现金信托财产”）。</w:t>
      </w:r>
    </w:p>
    <w:p w14:paraId="779A8D8C">
      <w:pPr>
        <w:tabs>
          <w:tab w:val="left" w:pos="1800"/>
          <w:tab w:val="left" w:pos="1980"/>
        </w:tabs>
        <w:spacing w:line="360" w:lineRule="auto"/>
        <w:ind w:left="851"/>
        <w:jc w:val="both"/>
        <w:rPr>
          <w:rFonts w:eastAsia="楷体_GB2312"/>
          <w:lang w:eastAsia="zh-CN"/>
        </w:rPr>
      </w:pPr>
    </w:p>
    <w:p w14:paraId="7F352812">
      <w:pPr>
        <w:widowControl w:val="0"/>
        <w:numPr>
          <w:ilvl w:val="2"/>
          <w:numId w:val="8"/>
        </w:numPr>
        <w:tabs>
          <w:tab w:val="left" w:pos="1620"/>
        </w:tabs>
        <w:spacing w:line="360" w:lineRule="auto"/>
        <w:ind w:left="1620" w:hanging="769"/>
        <w:jc w:val="both"/>
        <w:rPr>
          <w:rFonts w:eastAsia="楷体_GB2312"/>
          <w:lang w:eastAsia="zh-CN"/>
        </w:rPr>
      </w:pPr>
      <w:r>
        <w:rPr>
          <w:rFonts w:eastAsia="楷体_GB2312"/>
        </w:rPr>
        <w:t>“受托人”可按照本合同</w:t>
      </w:r>
      <w:r>
        <w:rPr>
          <w:rFonts w:eastAsia="楷体_GB2312"/>
          <w:lang w:eastAsia="zh-CN"/>
        </w:rPr>
        <w:t>第</w:t>
      </w:r>
      <w:r>
        <w:rPr>
          <w:rFonts w:eastAsia="楷体_GB2312"/>
          <w:lang w:eastAsia="zh-CN"/>
        </w:rPr>
        <w:fldChar w:fldCharType="begin"/>
      </w:r>
      <w:r>
        <w:rPr>
          <w:rFonts w:eastAsia="楷体_GB2312"/>
          <w:lang w:eastAsia="zh-CN"/>
        </w:rPr>
        <w:instrText xml:space="preserve"> REF _Ref201654968 \r \h  \* MERGEFORMAT </w:instrText>
      </w:r>
      <w:r>
        <w:rPr>
          <w:rFonts w:eastAsia="楷体_GB2312"/>
          <w:lang w:eastAsia="zh-CN"/>
        </w:rPr>
        <w:fldChar w:fldCharType="separate"/>
      </w:r>
      <w:r>
        <w:rPr>
          <w:rFonts w:eastAsia="楷体_GB2312"/>
          <w:lang w:eastAsia="zh-CN"/>
        </w:rPr>
        <w:t>9.7</w:t>
      </w:r>
      <w:r>
        <w:rPr>
          <w:rFonts w:eastAsia="楷体_GB2312"/>
          <w:lang w:eastAsia="zh-CN"/>
        </w:rPr>
        <w:fldChar w:fldCharType="end"/>
      </w:r>
      <w:r>
        <w:rPr>
          <w:rFonts w:eastAsia="楷体_GB2312"/>
          <w:lang w:eastAsia="zh-CN"/>
        </w:rPr>
        <w:t>款</w:t>
      </w:r>
      <w:r>
        <w:rPr>
          <w:rFonts w:eastAsia="楷体_GB2312"/>
        </w:rPr>
        <w:t>约定按照“次级资产支持证券持有人”届时达成的原状分配方案分配相应的剩余“信托财产”。</w:t>
      </w:r>
    </w:p>
    <w:p w14:paraId="354F3041">
      <w:pPr>
        <w:tabs>
          <w:tab w:val="left" w:pos="1800"/>
          <w:tab w:val="left" w:pos="1980"/>
        </w:tabs>
        <w:spacing w:line="360" w:lineRule="auto"/>
        <w:ind w:left="851"/>
        <w:jc w:val="both"/>
        <w:rPr>
          <w:rFonts w:eastAsia="楷体_GB2312"/>
          <w:lang w:eastAsia="zh-CN"/>
        </w:rPr>
      </w:pPr>
    </w:p>
    <w:p w14:paraId="39FAEEE0">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“受托人”应于“信托终止日”后【】日内制订“非现金信托财产”的清算方案（“清算方案”），并于“信托终止日”后【】日内按照本合同第</w:t>
      </w:r>
      <w:r>
        <w:rPr>
          <w:rFonts w:eastAsia="楷体_GB2312"/>
        </w:rPr>
        <w:fldChar w:fldCharType="begin"/>
      </w:r>
      <w:r>
        <w:rPr>
          <w:rFonts w:eastAsia="楷体_GB2312"/>
          <w:lang w:eastAsia="zh-CN"/>
        </w:rPr>
        <w:instrText xml:space="preserve"> REF _Ref173768296 \r \h  \* MERGEFORMAT </w:instrText>
      </w:r>
      <w:r>
        <w:rPr>
          <w:rFonts w:eastAsia="楷体_GB2312"/>
        </w:rPr>
        <w:fldChar w:fldCharType="separate"/>
      </w:r>
      <w:r>
        <w:rPr>
          <w:rFonts w:eastAsia="楷体_GB2312"/>
          <w:lang w:eastAsia="zh-CN"/>
        </w:rPr>
        <w:t>19</w:t>
      </w:r>
      <w:r>
        <w:rPr>
          <w:rFonts w:eastAsia="楷体_GB2312"/>
        </w:rPr>
        <w:fldChar w:fldCharType="end"/>
      </w:r>
      <w:r>
        <w:rPr>
          <w:rFonts w:eastAsia="楷体_GB2312"/>
          <w:lang w:eastAsia="zh-CN"/>
        </w:rPr>
        <w:t>条的约定召集“资产支持证券持有人大会”，由“资产支持证券持有人大会”就是否认可“清算方案”作出决议。在“资产支持证券持有人大会”就“信托财产”的清算方案尚未形成决议之前，“受托人”仍应继续按照本合同及其他“交易文件”</w:t>
      </w:r>
      <w:r>
        <w:rPr>
          <w:rFonts w:eastAsia="楷体_GB2312"/>
          <w:bCs/>
          <w:lang w:eastAsia="zh-CN"/>
        </w:rPr>
        <w:t>约</w:t>
      </w:r>
      <w:r>
        <w:rPr>
          <w:rFonts w:eastAsia="楷体_GB2312"/>
          <w:lang w:eastAsia="zh-CN"/>
        </w:rPr>
        <w:t>定的方式管理、处分和运用“信托财产”。</w:t>
      </w:r>
    </w:p>
    <w:p w14:paraId="6AAAE93B">
      <w:pPr>
        <w:tabs>
          <w:tab w:val="left" w:pos="1800"/>
          <w:tab w:val="left" w:pos="1980"/>
        </w:tabs>
        <w:spacing w:line="360" w:lineRule="auto"/>
        <w:ind w:left="851"/>
        <w:jc w:val="both"/>
        <w:rPr>
          <w:rFonts w:eastAsia="楷体_GB2312"/>
          <w:lang w:eastAsia="zh-CN"/>
        </w:rPr>
      </w:pPr>
    </w:p>
    <w:p w14:paraId="39C25ED1">
      <w:pPr>
        <w:widowControl w:val="0"/>
        <w:numPr>
          <w:ilvl w:val="2"/>
          <w:numId w:val="8"/>
        </w:numPr>
        <w:tabs>
          <w:tab w:val="left" w:pos="1620"/>
        </w:tabs>
        <w:spacing w:line="360" w:lineRule="auto"/>
        <w:ind w:left="1620" w:hanging="769"/>
        <w:jc w:val="both"/>
        <w:rPr>
          <w:rFonts w:eastAsia="楷体_GB2312"/>
          <w:lang w:eastAsia="zh-CN"/>
        </w:rPr>
      </w:pPr>
      <w:bookmarkStart w:id="430" w:name="_Ref201641488"/>
      <w:r>
        <w:rPr>
          <w:rFonts w:eastAsia="楷体_GB2312"/>
          <w:lang w:eastAsia="zh-CN"/>
        </w:rPr>
        <w:t>“资产支持证券持有人大会”就“清算方案”形成有效决议的，“受托人”应当按照“资产支持证券持有人大会”认可的“清算方案”清算“非现金信托财产”；“资产支持证券持有人大会”未能就“清算方案”形成有效决议的，除非“资产支持证券持有人大会”另有规定，“受托人”有权按照“中国”“法律”规定以公开拍卖、变卖等方式清算“非现金信托财产”，全体“资产支持证券持有人”及“委托人”对“受托人”的处理方式及结果表示认可。</w:t>
      </w:r>
      <w:bookmarkEnd w:id="430"/>
    </w:p>
    <w:p w14:paraId="70BC3E5B">
      <w:pPr>
        <w:tabs>
          <w:tab w:val="left" w:pos="1800"/>
          <w:tab w:val="left" w:pos="1980"/>
        </w:tabs>
        <w:spacing w:line="360" w:lineRule="auto"/>
        <w:ind w:left="851"/>
        <w:jc w:val="both"/>
        <w:rPr>
          <w:rFonts w:eastAsia="楷体_GB2312"/>
          <w:lang w:eastAsia="zh-CN"/>
        </w:rPr>
      </w:pPr>
    </w:p>
    <w:p w14:paraId="00B11F60">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受托人”应于“信托财产”清算完毕之日后【】日内依法出具信托清算报告，该信托清算报告应经“审计师”的审计。“审计师”就信托清算报告出具审计报告后【】个“工作日”内，“受托人”应按照本合同第</w:t>
      </w:r>
      <w:r>
        <w:rPr>
          <w:rFonts w:eastAsia="楷体_GB2312"/>
        </w:rPr>
        <w:fldChar w:fldCharType="begin"/>
      </w:r>
      <w:r>
        <w:rPr>
          <w:rFonts w:eastAsia="楷体_GB2312"/>
          <w:lang w:eastAsia="zh-CN"/>
        </w:rPr>
        <w:instrText xml:space="preserve"> REF _Ref173768358 \r \h  \* MERGEFORMAT </w:instrText>
      </w:r>
      <w:r>
        <w:rPr>
          <w:rFonts w:eastAsia="楷体_GB2312"/>
        </w:rPr>
        <w:fldChar w:fldCharType="separate"/>
      </w:r>
      <w:r>
        <w:rPr>
          <w:rFonts w:eastAsia="楷体_GB2312"/>
          <w:lang w:eastAsia="zh-CN"/>
        </w:rPr>
        <w:t>21</w:t>
      </w:r>
      <w:r>
        <w:rPr>
          <w:rFonts w:eastAsia="楷体_GB2312"/>
        </w:rPr>
        <w:fldChar w:fldCharType="end"/>
      </w:r>
      <w:r>
        <w:rPr>
          <w:rFonts w:eastAsia="楷体_GB2312"/>
          <w:lang w:eastAsia="zh-CN"/>
        </w:rPr>
        <w:t>条的</w:t>
      </w:r>
      <w:r>
        <w:rPr>
          <w:rFonts w:eastAsia="楷体_GB2312"/>
          <w:bCs/>
          <w:lang w:eastAsia="zh-CN"/>
        </w:rPr>
        <w:t>约</w:t>
      </w:r>
      <w:r>
        <w:rPr>
          <w:rFonts w:eastAsia="楷体_GB2312"/>
          <w:lang w:eastAsia="zh-CN"/>
        </w:rPr>
        <w:t>定披露经审计的信托清算报告，公告期为【】日。</w:t>
      </w:r>
    </w:p>
    <w:p w14:paraId="260D5229">
      <w:pPr>
        <w:widowControl w:val="0"/>
        <w:spacing w:line="360" w:lineRule="auto"/>
        <w:ind w:left="1418"/>
        <w:jc w:val="both"/>
        <w:rPr>
          <w:rFonts w:eastAsia="楷体_GB2312"/>
          <w:lang w:eastAsia="zh-CN"/>
        </w:rPr>
      </w:pPr>
    </w:p>
    <w:p w14:paraId="6815AFC8">
      <w:pPr>
        <w:widowControl w:val="0"/>
        <w:numPr>
          <w:ilvl w:val="2"/>
          <w:numId w:val="8"/>
        </w:numPr>
        <w:tabs>
          <w:tab w:val="left" w:pos="1620"/>
        </w:tabs>
        <w:spacing w:line="360" w:lineRule="auto"/>
        <w:ind w:left="1620" w:hanging="769"/>
        <w:jc w:val="both"/>
        <w:rPr>
          <w:rFonts w:eastAsia="楷体_GB2312"/>
          <w:lang w:eastAsia="zh-CN"/>
        </w:rPr>
      </w:pPr>
      <w:bookmarkStart w:id="431" w:name="_Ref1555508"/>
      <w:r>
        <w:rPr>
          <w:rFonts w:eastAsia="楷体_GB2312"/>
          <w:lang w:eastAsia="zh-CN"/>
        </w:rPr>
        <w:t>信托清算报告公告期届满，“信托终止日”时“资产支持证券”未兑付完毕的“资产支持证券持有人”（如“信托终止日”时“资产支持证券”均已兑付完毕，则指“次级资产支持证券持有人”）未提出书面异议的，“受托人”就信托清算报告所列事项解除责任，但因“受托人”的不当行为、过失、欺诈和违约而引起的责任除外。</w:t>
      </w:r>
      <w:bookmarkEnd w:id="431"/>
    </w:p>
    <w:p w14:paraId="23057C8A">
      <w:pPr>
        <w:widowControl w:val="0"/>
        <w:spacing w:line="360" w:lineRule="auto"/>
        <w:ind w:left="1418"/>
        <w:jc w:val="both"/>
        <w:rPr>
          <w:rFonts w:eastAsia="楷体_GB2312"/>
          <w:lang w:eastAsia="zh-CN"/>
        </w:rPr>
      </w:pPr>
    </w:p>
    <w:p w14:paraId="24877315">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“信托”终止后，“信托财产”按照本合同第</w:t>
      </w:r>
      <w:r>
        <w:rPr>
          <w:rFonts w:eastAsia="楷体_GB2312"/>
          <w:lang w:eastAsia="zh-CN"/>
        </w:rPr>
        <w:fldChar w:fldCharType="begin"/>
      </w:r>
      <w:r>
        <w:rPr>
          <w:rFonts w:eastAsia="楷体_GB2312"/>
          <w:lang w:eastAsia="zh-CN"/>
        </w:rPr>
        <w:instrText xml:space="preserve"> REF _Ref201654968 \r \h  \* MERGEFORMAT </w:instrText>
      </w:r>
      <w:r>
        <w:rPr>
          <w:rFonts w:eastAsia="楷体_GB2312"/>
          <w:lang w:eastAsia="zh-CN"/>
        </w:rPr>
        <w:fldChar w:fldCharType="separate"/>
      </w:r>
      <w:r>
        <w:rPr>
          <w:rFonts w:eastAsia="楷体_GB2312"/>
          <w:lang w:eastAsia="zh-CN"/>
        </w:rPr>
        <w:t>9.7</w:t>
      </w:r>
      <w:r>
        <w:rPr>
          <w:rFonts w:eastAsia="楷体_GB2312"/>
          <w:lang w:eastAsia="zh-CN"/>
        </w:rPr>
        <w:fldChar w:fldCharType="end"/>
      </w:r>
      <w:r>
        <w:rPr>
          <w:rFonts w:eastAsia="楷体_GB2312"/>
          <w:lang w:eastAsia="zh-CN"/>
        </w:rPr>
        <w:t>款的约定进行分配。</w:t>
      </w:r>
    </w:p>
    <w:p w14:paraId="7B56A1E6">
      <w:pPr>
        <w:tabs>
          <w:tab w:val="left" w:pos="1800"/>
        </w:tabs>
        <w:spacing w:line="360" w:lineRule="auto"/>
        <w:jc w:val="both"/>
        <w:rPr>
          <w:rFonts w:eastAsia="楷体_GB2312"/>
          <w:lang w:eastAsia="zh-CN"/>
        </w:rPr>
      </w:pPr>
    </w:p>
    <w:p w14:paraId="458DFA60">
      <w:pPr>
        <w:widowControl w:val="0"/>
        <w:numPr>
          <w:ilvl w:val="0"/>
          <w:numId w:val="8"/>
        </w:numPr>
        <w:spacing w:line="360" w:lineRule="auto"/>
        <w:jc w:val="both"/>
        <w:outlineLvl w:val="0"/>
        <w:rPr>
          <w:rFonts w:eastAsia="楷体_GB2312"/>
          <w:b/>
          <w:lang w:eastAsia="zh-CN"/>
        </w:rPr>
      </w:pPr>
      <w:bookmarkStart w:id="432" w:name="_Toc166105871"/>
      <w:bookmarkStart w:id="433" w:name="_Toc227955285"/>
      <w:bookmarkStart w:id="434" w:name="_Toc69138588"/>
      <w:bookmarkStart w:id="435" w:name="_Toc75510470"/>
      <w:bookmarkStart w:id="436" w:name="_Toc207007308"/>
      <w:bookmarkStart w:id="437" w:name="_Toc454484858"/>
      <w:r>
        <w:rPr>
          <w:rFonts w:eastAsia="楷体_GB2312"/>
          <w:b/>
          <w:lang w:eastAsia="zh-CN"/>
        </w:rPr>
        <w:t>委托人的权利、义务及陈述与保证</w:t>
      </w:r>
      <w:bookmarkEnd w:id="432"/>
      <w:bookmarkEnd w:id="433"/>
      <w:bookmarkEnd w:id="434"/>
      <w:bookmarkEnd w:id="435"/>
      <w:bookmarkEnd w:id="436"/>
      <w:bookmarkEnd w:id="437"/>
    </w:p>
    <w:p w14:paraId="72CB1E99">
      <w:pPr>
        <w:spacing w:line="360" w:lineRule="auto"/>
        <w:ind w:left="425" w:leftChars="177"/>
        <w:jc w:val="both"/>
        <w:rPr>
          <w:rFonts w:eastAsia="楷体_GB2312"/>
          <w:b/>
          <w:bCs/>
          <w:i/>
          <w:iCs/>
          <w:color w:val="FF0000"/>
          <w:lang w:eastAsia="zh-CN"/>
        </w:rPr>
      </w:pPr>
      <w:r>
        <w:rPr>
          <w:rFonts w:eastAsia="楷体_GB2312"/>
          <w:b/>
          <w:bCs/>
          <w:i/>
          <w:iCs/>
          <w:color w:val="FF0000"/>
          <w:lang w:eastAsia="zh-CN"/>
        </w:rPr>
        <w:t>【注：委托人的权利、义务、陈述及保证条款可根据项目具体情况进行补充或调整。】</w:t>
      </w:r>
    </w:p>
    <w:p w14:paraId="7561B8BB">
      <w:pPr>
        <w:spacing w:line="360" w:lineRule="auto"/>
        <w:jc w:val="both"/>
        <w:rPr>
          <w:rFonts w:eastAsia="楷体_GB2312"/>
          <w:bCs/>
          <w:lang w:eastAsia="zh-CN"/>
        </w:rPr>
      </w:pPr>
    </w:p>
    <w:p w14:paraId="40F8E687">
      <w:pPr>
        <w:widowControl w:val="0"/>
        <w:numPr>
          <w:ilvl w:val="1"/>
          <w:numId w:val="8"/>
        </w:numPr>
        <w:tabs>
          <w:tab w:val="left" w:pos="900"/>
        </w:tabs>
        <w:spacing w:line="360" w:lineRule="auto"/>
        <w:jc w:val="both"/>
        <w:outlineLvl w:val="1"/>
        <w:rPr>
          <w:rFonts w:eastAsia="楷体_GB2312"/>
          <w:b/>
        </w:rPr>
      </w:pPr>
      <w:r>
        <w:rPr>
          <w:rFonts w:eastAsia="楷体_GB2312"/>
          <w:b/>
        </w:rPr>
        <w:t>委托人的权利</w:t>
      </w:r>
    </w:p>
    <w:p w14:paraId="27B0A7FB">
      <w:pPr>
        <w:spacing w:line="360" w:lineRule="auto"/>
        <w:jc w:val="both"/>
        <w:rPr>
          <w:rFonts w:eastAsia="楷体_GB2312"/>
          <w:b/>
        </w:rPr>
      </w:pPr>
    </w:p>
    <w:p w14:paraId="3F2900FB">
      <w:pPr>
        <w:spacing w:line="360" w:lineRule="auto"/>
        <w:ind w:left="851"/>
        <w:jc w:val="both"/>
        <w:rPr>
          <w:rFonts w:eastAsia="楷体_GB2312"/>
          <w:lang w:eastAsia="zh-CN"/>
        </w:rPr>
      </w:pPr>
      <w:r>
        <w:rPr>
          <w:rFonts w:eastAsia="楷体_GB2312"/>
          <w:lang w:eastAsia="zh-CN"/>
        </w:rPr>
        <w:t>“委托人”享有如下权利：</w:t>
      </w:r>
    </w:p>
    <w:p w14:paraId="23176AE3">
      <w:pPr>
        <w:spacing w:line="360" w:lineRule="auto"/>
        <w:jc w:val="both"/>
        <w:rPr>
          <w:rFonts w:eastAsia="楷体_GB2312"/>
          <w:b/>
          <w:lang w:eastAsia="zh-CN"/>
        </w:rPr>
      </w:pPr>
    </w:p>
    <w:p w14:paraId="546C47CD">
      <w:pPr>
        <w:widowControl w:val="0"/>
        <w:numPr>
          <w:ilvl w:val="0"/>
          <w:numId w:val="27"/>
        </w:numPr>
        <w:spacing w:line="360" w:lineRule="auto"/>
        <w:jc w:val="both"/>
        <w:rPr>
          <w:rFonts w:eastAsia="楷体_GB2312"/>
          <w:lang w:eastAsia="zh-CN"/>
        </w:rPr>
      </w:pPr>
      <w:r>
        <w:rPr>
          <w:rFonts w:eastAsia="楷体_GB2312"/>
          <w:lang w:eastAsia="zh-CN"/>
        </w:rPr>
        <w:t>有权获得“资产支持证券募集资金净额”。</w:t>
      </w:r>
    </w:p>
    <w:p w14:paraId="590B6C4C">
      <w:pPr>
        <w:widowControl w:val="0"/>
        <w:tabs>
          <w:tab w:val="left" w:pos="1333"/>
        </w:tabs>
        <w:spacing w:line="360" w:lineRule="auto"/>
        <w:jc w:val="both"/>
        <w:rPr>
          <w:rFonts w:eastAsia="楷体_GB2312"/>
          <w:lang w:eastAsia="zh-CN"/>
        </w:rPr>
      </w:pPr>
    </w:p>
    <w:p w14:paraId="26467DDF">
      <w:pPr>
        <w:widowControl w:val="0"/>
        <w:numPr>
          <w:ilvl w:val="0"/>
          <w:numId w:val="27"/>
        </w:numPr>
        <w:spacing w:line="360" w:lineRule="auto"/>
        <w:jc w:val="both"/>
        <w:rPr>
          <w:rFonts w:eastAsia="楷体_GB2312"/>
          <w:lang w:eastAsia="zh-CN"/>
        </w:rPr>
      </w:pPr>
      <w:r>
        <w:rPr>
          <w:rFonts w:eastAsia="楷体_GB2312"/>
          <w:lang w:eastAsia="zh-CN"/>
        </w:rPr>
        <w:t>可以向“受托人”了解“信托财产”的管理、处分及收支情况，并可以要求“受托人”做出相应说明。</w:t>
      </w:r>
    </w:p>
    <w:p w14:paraId="79579AD1">
      <w:pPr>
        <w:tabs>
          <w:tab w:val="left" w:pos="2160"/>
        </w:tabs>
        <w:spacing w:line="360" w:lineRule="auto"/>
        <w:ind w:left="1080"/>
        <w:jc w:val="both"/>
        <w:rPr>
          <w:rFonts w:eastAsia="楷体_GB2312"/>
          <w:lang w:eastAsia="zh-CN"/>
        </w:rPr>
      </w:pPr>
    </w:p>
    <w:p w14:paraId="30DB36B8">
      <w:pPr>
        <w:widowControl w:val="0"/>
        <w:numPr>
          <w:ilvl w:val="0"/>
          <w:numId w:val="27"/>
        </w:numPr>
        <w:spacing w:line="360" w:lineRule="auto"/>
        <w:jc w:val="both"/>
        <w:rPr>
          <w:rFonts w:eastAsia="楷体_GB2312"/>
          <w:lang w:eastAsia="zh-CN"/>
        </w:rPr>
      </w:pPr>
      <w:r>
        <w:rPr>
          <w:rFonts w:eastAsia="楷体_GB2312"/>
          <w:lang w:eastAsia="zh-CN"/>
        </w:rPr>
        <w:t>可以查阅、抄录或者复制与“信托财产”有关的信托账目以及处理信托事务的其他文件。</w:t>
      </w:r>
    </w:p>
    <w:p w14:paraId="64CEEECF">
      <w:pPr>
        <w:tabs>
          <w:tab w:val="left" w:pos="2160"/>
        </w:tabs>
        <w:spacing w:line="360" w:lineRule="auto"/>
        <w:ind w:left="1080"/>
        <w:jc w:val="both"/>
        <w:rPr>
          <w:rFonts w:eastAsia="楷体_GB2312"/>
          <w:lang w:eastAsia="zh-CN"/>
        </w:rPr>
      </w:pPr>
    </w:p>
    <w:p w14:paraId="71AC5D5A">
      <w:pPr>
        <w:widowControl w:val="0"/>
        <w:numPr>
          <w:ilvl w:val="0"/>
          <w:numId w:val="27"/>
        </w:numPr>
        <w:spacing w:line="360" w:lineRule="auto"/>
        <w:jc w:val="both"/>
        <w:rPr>
          <w:rFonts w:eastAsia="楷体_GB2312"/>
          <w:lang w:eastAsia="zh-CN"/>
        </w:rPr>
      </w:pPr>
      <w:r>
        <w:rPr>
          <w:rFonts w:eastAsia="楷体_GB2312"/>
          <w:lang w:eastAsia="zh-CN"/>
        </w:rPr>
        <w:t>“中国”“法律”规定以及本合同约定的其他权利。</w:t>
      </w:r>
    </w:p>
    <w:p w14:paraId="7C8643F2">
      <w:pPr>
        <w:spacing w:line="360" w:lineRule="auto"/>
        <w:ind w:firstLine="420"/>
        <w:jc w:val="both"/>
        <w:rPr>
          <w:rFonts w:eastAsia="楷体_GB2312"/>
          <w:lang w:eastAsia="zh-CN"/>
        </w:rPr>
      </w:pPr>
    </w:p>
    <w:p w14:paraId="45E99DAA">
      <w:pPr>
        <w:widowControl w:val="0"/>
        <w:numPr>
          <w:ilvl w:val="1"/>
          <w:numId w:val="8"/>
        </w:numPr>
        <w:tabs>
          <w:tab w:val="left" w:pos="900"/>
        </w:tabs>
        <w:spacing w:line="360" w:lineRule="auto"/>
        <w:jc w:val="both"/>
        <w:outlineLvl w:val="1"/>
        <w:rPr>
          <w:rFonts w:eastAsia="楷体_GB2312"/>
          <w:b/>
        </w:rPr>
      </w:pPr>
      <w:r>
        <w:rPr>
          <w:rFonts w:eastAsia="楷体_GB2312"/>
          <w:b/>
        </w:rPr>
        <w:t>委托人的义务</w:t>
      </w:r>
    </w:p>
    <w:p w14:paraId="2E525B40">
      <w:pPr>
        <w:spacing w:line="360" w:lineRule="auto"/>
        <w:ind w:left="1080"/>
        <w:jc w:val="both"/>
        <w:rPr>
          <w:rFonts w:eastAsia="楷体_GB2312"/>
        </w:rPr>
      </w:pPr>
    </w:p>
    <w:p w14:paraId="28836D95">
      <w:pPr>
        <w:spacing w:line="360" w:lineRule="auto"/>
        <w:ind w:left="851"/>
        <w:jc w:val="both"/>
        <w:rPr>
          <w:rFonts w:eastAsia="楷体_GB2312"/>
          <w:lang w:eastAsia="zh-CN"/>
        </w:rPr>
      </w:pPr>
      <w:r>
        <w:rPr>
          <w:rFonts w:eastAsia="楷体_GB2312"/>
          <w:lang w:eastAsia="zh-CN"/>
        </w:rPr>
        <w:t>“委托人”负有如下义务：</w:t>
      </w:r>
    </w:p>
    <w:p w14:paraId="550FC3F8">
      <w:pPr>
        <w:spacing w:line="360" w:lineRule="auto"/>
        <w:jc w:val="both"/>
        <w:rPr>
          <w:rFonts w:eastAsia="楷体_GB2312"/>
          <w:lang w:eastAsia="zh-CN"/>
        </w:rPr>
      </w:pPr>
    </w:p>
    <w:p w14:paraId="58DDEEF0">
      <w:pPr>
        <w:widowControl w:val="0"/>
        <w:numPr>
          <w:ilvl w:val="0"/>
          <w:numId w:val="28"/>
        </w:numPr>
        <w:spacing w:line="360" w:lineRule="auto"/>
        <w:jc w:val="both"/>
        <w:rPr>
          <w:rFonts w:eastAsia="楷体_GB2312"/>
          <w:lang w:eastAsia="zh-CN"/>
        </w:rPr>
      </w:pPr>
      <w:r>
        <w:rPr>
          <w:rFonts w:eastAsia="楷体_GB2312"/>
          <w:lang w:eastAsia="zh-CN"/>
        </w:rPr>
        <w:t>“委托人”应对法律、会计等中介服务机构对“基础资产”进行尽职调查和出具意见书的审核工作给予必要的配合，包括但不限于“委托人”应尽量提供前述中介服务机构进行工作所需的资料。</w:t>
      </w:r>
    </w:p>
    <w:p w14:paraId="552451F7">
      <w:pPr>
        <w:tabs>
          <w:tab w:val="left" w:pos="2160"/>
        </w:tabs>
        <w:spacing w:line="360" w:lineRule="auto"/>
        <w:ind w:left="1080"/>
        <w:jc w:val="both"/>
        <w:rPr>
          <w:rFonts w:eastAsia="楷体_GB2312"/>
          <w:lang w:eastAsia="zh-CN"/>
        </w:rPr>
      </w:pPr>
    </w:p>
    <w:p w14:paraId="6D695655">
      <w:pPr>
        <w:widowControl w:val="0"/>
        <w:numPr>
          <w:ilvl w:val="0"/>
          <w:numId w:val="28"/>
        </w:numPr>
        <w:spacing w:line="360" w:lineRule="auto"/>
        <w:jc w:val="both"/>
        <w:rPr>
          <w:rFonts w:eastAsia="楷体_GB2312"/>
          <w:lang w:eastAsia="zh-CN"/>
        </w:rPr>
      </w:pPr>
      <w:r>
        <w:rPr>
          <w:rFonts w:eastAsia="楷体_GB2312"/>
          <w:lang w:eastAsia="zh-CN"/>
        </w:rPr>
        <w:t>“委托人”同意“受托人”按本合同约定的方式管理、运用、处分“信托财产”。</w:t>
      </w:r>
    </w:p>
    <w:p w14:paraId="7D21E067">
      <w:pPr>
        <w:tabs>
          <w:tab w:val="left" w:pos="2160"/>
        </w:tabs>
        <w:spacing w:line="360" w:lineRule="auto"/>
        <w:ind w:left="1080"/>
        <w:jc w:val="both"/>
        <w:rPr>
          <w:rFonts w:eastAsia="楷体_GB2312"/>
          <w:lang w:eastAsia="zh-CN"/>
        </w:rPr>
      </w:pPr>
    </w:p>
    <w:p w14:paraId="17AAD46B">
      <w:pPr>
        <w:widowControl w:val="0"/>
        <w:numPr>
          <w:ilvl w:val="0"/>
          <w:numId w:val="28"/>
        </w:numPr>
        <w:spacing w:line="360" w:lineRule="auto"/>
        <w:jc w:val="both"/>
        <w:rPr>
          <w:rFonts w:eastAsia="楷体_GB2312"/>
          <w:lang w:eastAsia="zh-CN"/>
        </w:rPr>
      </w:pPr>
      <w:r>
        <w:rPr>
          <w:rFonts w:eastAsia="楷体_GB2312"/>
          <w:lang w:eastAsia="zh-CN"/>
        </w:rPr>
        <w:t>“委托人”应按照本合同的</w:t>
      </w:r>
      <w:r>
        <w:rPr>
          <w:rFonts w:eastAsia="楷体_GB2312"/>
          <w:bCs/>
          <w:lang w:eastAsia="zh-CN"/>
        </w:rPr>
        <w:t>约</w:t>
      </w:r>
      <w:r>
        <w:rPr>
          <w:rFonts w:eastAsia="楷体_GB2312"/>
          <w:lang w:eastAsia="zh-CN"/>
        </w:rPr>
        <w:t>定赎回“不合格资产”。</w:t>
      </w:r>
    </w:p>
    <w:p w14:paraId="0FA3D03C">
      <w:pPr>
        <w:tabs>
          <w:tab w:val="left" w:pos="2160"/>
        </w:tabs>
        <w:spacing w:line="360" w:lineRule="auto"/>
        <w:jc w:val="both"/>
        <w:rPr>
          <w:rFonts w:eastAsia="楷体_GB2312"/>
          <w:lang w:eastAsia="zh-CN"/>
        </w:rPr>
      </w:pPr>
    </w:p>
    <w:p w14:paraId="1A784C97">
      <w:pPr>
        <w:widowControl w:val="0"/>
        <w:numPr>
          <w:ilvl w:val="0"/>
          <w:numId w:val="28"/>
        </w:numPr>
        <w:spacing w:line="360" w:lineRule="auto"/>
        <w:jc w:val="both"/>
        <w:rPr>
          <w:rFonts w:eastAsia="楷体_GB2312"/>
          <w:lang w:eastAsia="zh-CN"/>
        </w:rPr>
      </w:pPr>
      <w:r>
        <w:rPr>
          <w:rFonts w:eastAsia="楷体_GB2312"/>
          <w:lang w:eastAsia="zh-CN"/>
        </w:rPr>
        <w:t>在发生“权利完善事件”时，“委托人”有义务根据本合同的约定就初始“基础资产”已经信托予“受托人”作为“信托财产”的相关事宜通知相关“借款人”、“共同借款人”（如有）、“抵押人”、“保证人”（如有）、“个人汽车贷款”或“车辆”项下保单的相关“保险人”（如有）或被保险人（如有）。</w:t>
      </w:r>
    </w:p>
    <w:p w14:paraId="141EF894">
      <w:pPr>
        <w:tabs>
          <w:tab w:val="left" w:pos="2160"/>
        </w:tabs>
        <w:spacing w:line="360" w:lineRule="auto"/>
        <w:ind w:left="1080"/>
        <w:jc w:val="both"/>
        <w:rPr>
          <w:rFonts w:eastAsia="楷体_GB2312"/>
          <w:lang w:eastAsia="zh-CN"/>
        </w:rPr>
      </w:pPr>
    </w:p>
    <w:p w14:paraId="0332F054">
      <w:pPr>
        <w:widowControl w:val="0"/>
        <w:numPr>
          <w:ilvl w:val="0"/>
          <w:numId w:val="28"/>
        </w:numPr>
        <w:spacing w:line="360" w:lineRule="auto"/>
        <w:jc w:val="both"/>
        <w:rPr>
          <w:rFonts w:eastAsia="楷体_GB2312"/>
          <w:lang w:eastAsia="zh-CN"/>
        </w:rPr>
      </w:pPr>
      <w:r>
        <w:rPr>
          <w:rFonts w:eastAsia="楷体_GB2312"/>
          <w:lang w:eastAsia="zh-CN"/>
        </w:rPr>
        <w:t>在“信托”生效后，“委托人”对“受托人”履行信托义务应当予以必要配合。</w:t>
      </w:r>
    </w:p>
    <w:p w14:paraId="543A8096">
      <w:pPr>
        <w:tabs>
          <w:tab w:val="left" w:pos="1620"/>
        </w:tabs>
        <w:spacing w:line="360" w:lineRule="auto"/>
        <w:ind w:left="1620" w:hanging="769"/>
        <w:jc w:val="both"/>
        <w:rPr>
          <w:rFonts w:eastAsia="楷体_GB2312"/>
          <w:lang w:eastAsia="zh-CN"/>
        </w:rPr>
      </w:pPr>
    </w:p>
    <w:p w14:paraId="6363CB91">
      <w:pPr>
        <w:widowControl w:val="0"/>
        <w:numPr>
          <w:ilvl w:val="0"/>
          <w:numId w:val="28"/>
        </w:numPr>
        <w:spacing w:line="360" w:lineRule="auto"/>
        <w:jc w:val="both"/>
        <w:rPr>
          <w:rFonts w:eastAsia="楷体_GB2312"/>
          <w:lang w:eastAsia="zh-CN"/>
        </w:rPr>
      </w:pPr>
      <w:r>
        <w:rPr>
          <w:rFonts w:eastAsia="楷体_GB2312"/>
          <w:lang w:eastAsia="zh-CN"/>
        </w:rPr>
        <w:t>在“信托”生效后，如果“委托人”收到“借款人”、“共同借款人”（如有）支付的属于“信托财产”的资金，则“委托人”应立即将该资金无时滞地交付给届时“受托人”指定的“贷款服务机构”，归入“信托财产”。</w:t>
      </w:r>
    </w:p>
    <w:p w14:paraId="068558B0">
      <w:pPr>
        <w:spacing w:line="360" w:lineRule="auto"/>
        <w:jc w:val="both"/>
        <w:rPr>
          <w:rFonts w:eastAsia="楷体_GB2312"/>
          <w:lang w:eastAsia="zh-CN"/>
        </w:rPr>
      </w:pPr>
    </w:p>
    <w:p w14:paraId="44A817B4">
      <w:pPr>
        <w:widowControl w:val="0"/>
        <w:numPr>
          <w:ilvl w:val="0"/>
          <w:numId w:val="28"/>
        </w:numPr>
        <w:spacing w:line="360" w:lineRule="auto"/>
        <w:jc w:val="both"/>
        <w:rPr>
          <w:rFonts w:eastAsia="楷体_GB2312"/>
          <w:lang w:eastAsia="zh-CN"/>
        </w:rPr>
      </w:pPr>
      <w:r>
        <w:rPr>
          <w:rFonts w:eastAsia="楷体_GB2312"/>
          <w:lang w:eastAsia="zh-CN"/>
        </w:rPr>
        <w:t>除根据“《信托合同》”或“《资产持续购买合同》”将“信托财产”信托以及转让予“受托人”外，“委托人”不得将“信托财产”出售、质押、抵押、转让或转移给任何其他主体，不得采取其他行动损害“受托人”对“信托财产”或“账户记录”的所有权利，不得在“信托财产”或相关“账户记录”上设立或允许存在任何担保。</w:t>
      </w:r>
    </w:p>
    <w:p w14:paraId="7FA21DF7">
      <w:pPr>
        <w:tabs>
          <w:tab w:val="left" w:pos="2160"/>
        </w:tabs>
        <w:spacing w:line="360" w:lineRule="auto"/>
        <w:ind w:left="1080"/>
        <w:jc w:val="both"/>
        <w:rPr>
          <w:rFonts w:eastAsia="楷体_GB2312"/>
          <w:lang w:eastAsia="zh-CN"/>
        </w:rPr>
      </w:pPr>
    </w:p>
    <w:p w14:paraId="09649B2C">
      <w:pPr>
        <w:widowControl w:val="0"/>
        <w:numPr>
          <w:ilvl w:val="0"/>
          <w:numId w:val="28"/>
        </w:numPr>
        <w:spacing w:line="360" w:lineRule="auto"/>
        <w:jc w:val="both"/>
        <w:rPr>
          <w:rFonts w:eastAsia="楷体_GB2312"/>
          <w:lang w:eastAsia="zh-CN"/>
        </w:rPr>
      </w:pPr>
      <w:r>
        <w:rPr>
          <w:rFonts w:eastAsia="楷体_GB2312"/>
          <w:lang w:eastAsia="zh-CN"/>
        </w:rPr>
        <w:t>“中国”“法律”规定以及本合同约定的其他义务。</w:t>
      </w:r>
    </w:p>
    <w:p w14:paraId="73A1A5FF">
      <w:pPr>
        <w:tabs>
          <w:tab w:val="left" w:pos="2160"/>
        </w:tabs>
        <w:spacing w:line="360" w:lineRule="auto"/>
        <w:jc w:val="both"/>
        <w:rPr>
          <w:rFonts w:eastAsia="楷体_GB2312"/>
          <w:lang w:eastAsia="zh-CN"/>
        </w:rPr>
      </w:pPr>
    </w:p>
    <w:p w14:paraId="1B6A1EA0">
      <w:pPr>
        <w:widowControl w:val="0"/>
        <w:numPr>
          <w:ilvl w:val="1"/>
          <w:numId w:val="8"/>
        </w:numPr>
        <w:tabs>
          <w:tab w:val="left" w:pos="900"/>
        </w:tabs>
        <w:spacing w:line="360" w:lineRule="auto"/>
        <w:jc w:val="both"/>
        <w:outlineLvl w:val="1"/>
        <w:rPr>
          <w:rFonts w:eastAsia="楷体_GB2312"/>
          <w:b/>
        </w:rPr>
      </w:pPr>
      <w:r>
        <w:rPr>
          <w:rFonts w:eastAsia="楷体_GB2312"/>
          <w:b/>
        </w:rPr>
        <w:t>委托人的陈述和保证</w:t>
      </w:r>
    </w:p>
    <w:p w14:paraId="5125A4AF">
      <w:pPr>
        <w:spacing w:line="360" w:lineRule="auto"/>
        <w:jc w:val="both"/>
        <w:rPr>
          <w:rFonts w:eastAsia="楷体_GB2312"/>
        </w:rPr>
      </w:pPr>
    </w:p>
    <w:p w14:paraId="2C2BAF22">
      <w:pPr>
        <w:spacing w:line="360" w:lineRule="auto"/>
        <w:ind w:left="850" w:leftChars="354"/>
        <w:jc w:val="both"/>
        <w:rPr>
          <w:rFonts w:eastAsia="楷体_GB2312"/>
          <w:lang w:eastAsia="zh-CN"/>
        </w:rPr>
      </w:pPr>
      <w:r>
        <w:rPr>
          <w:rFonts w:eastAsia="楷体_GB2312"/>
          <w:lang w:eastAsia="zh-CN"/>
        </w:rPr>
        <w:t>在本合同签署之日（或本条款</w:t>
      </w:r>
      <w:r>
        <w:rPr>
          <w:rFonts w:eastAsia="楷体_GB2312"/>
          <w:bCs/>
          <w:lang w:eastAsia="zh-CN"/>
        </w:rPr>
        <w:t>约</w:t>
      </w:r>
      <w:r>
        <w:rPr>
          <w:rFonts w:eastAsia="楷体_GB2312"/>
          <w:lang w:eastAsia="zh-CN"/>
        </w:rPr>
        <w:t>定的任何其他日期），为本合同其他相关各方的利益，“委托人”陈述并保证如下：</w:t>
      </w:r>
    </w:p>
    <w:p w14:paraId="22EA71DC">
      <w:pPr>
        <w:spacing w:line="360" w:lineRule="auto"/>
        <w:jc w:val="both"/>
        <w:rPr>
          <w:rFonts w:eastAsia="楷体_GB2312"/>
          <w:lang w:eastAsia="zh-CN"/>
        </w:rPr>
      </w:pPr>
    </w:p>
    <w:p w14:paraId="171EDBD7">
      <w:pPr>
        <w:widowControl w:val="0"/>
        <w:numPr>
          <w:ilvl w:val="0"/>
          <w:numId w:val="29"/>
        </w:numPr>
        <w:spacing w:line="360" w:lineRule="auto"/>
        <w:jc w:val="both"/>
        <w:rPr>
          <w:rFonts w:eastAsia="楷体_GB2312"/>
          <w:lang w:eastAsia="zh-CN"/>
        </w:rPr>
      </w:pPr>
      <w:r>
        <w:rPr>
          <w:rFonts w:eastAsia="楷体_GB2312"/>
          <w:lang w:eastAsia="zh-CN"/>
        </w:rPr>
        <w:t>本合同签署之日，“委托人”已按照“中国”“法律”正式注册成立并有效存续，具有继续进行其正在经营之业务和履行本合同条款的各项权利和授权；</w:t>
      </w:r>
    </w:p>
    <w:p w14:paraId="15E4958F">
      <w:pPr>
        <w:tabs>
          <w:tab w:val="left" w:pos="2160"/>
        </w:tabs>
        <w:spacing w:line="360" w:lineRule="auto"/>
        <w:ind w:left="1080"/>
        <w:jc w:val="both"/>
        <w:rPr>
          <w:rFonts w:eastAsia="楷体_GB2312"/>
          <w:lang w:eastAsia="zh-CN"/>
        </w:rPr>
      </w:pPr>
    </w:p>
    <w:p w14:paraId="7D4A493D">
      <w:pPr>
        <w:widowControl w:val="0"/>
        <w:numPr>
          <w:ilvl w:val="0"/>
          <w:numId w:val="29"/>
        </w:numPr>
        <w:spacing w:line="360" w:lineRule="auto"/>
        <w:jc w:val="both"/>
        <w:rPr>
          <w:rFonts w:eastAsia="楷体_GB2312"/>
          <w:lang w:eastAsia="zh-CN"/>
        </w:rPr>
      </w:pPr>
      <w:r>
        <w:rPr>
          <w:rFonts w:eastAsia="楷体_GB2312"/>
          <w:lang w:eastAsia="zh-CN"/>
        </w:rPr>
        <w:t>为授权签署本合同，“委托人”已履行一切必要的内部程序。本合同构成“委托人”合法的、有效的和有约束力的义务，其他相关方可按照本合同的条款对其主张相应权利（除非该等权利的主张受到现时或未来有效并涉及影响债权人的权利和救济的破产清算、重整、和解或其他类似的法律限制）；</w:t>
      </w:r>
    </w:p>
    <w:p w14:paraId="25E8B581">
      <w:pPr>
        <w:tabs>
          <w:tab w:val="left" w:pos="2160"/>
        </w:tabs>
        <w:spacing w:line="360" w:lineRule="auto"/>
        <w:jc w:val="both"/>
        <w:rPr>
          <w:rFonts w:eastAsia="楷体_GB2312"/>
          <w:lang w:eastAsia="zh-CN"/>
        </w:rPr>
      </w:pPr>
    </w:p>
    <w:p w14:paraId="6B87D194">
      <w:pPr>
        <w:widowControl w:val="0"/>
        <w:numPr>
          <w:ilvl w:val="0"/>
          <w:numId w:val="29"/>
        </w:numPr>
        <w:spacing w:line="360" w:lineRule="auto"/>
        <w:jc w:val="both"/>
        <w:rPr>
          <w:rFonts w:eastAsia="楷体_GB2312"/>
          <w:lang w:eastAsia="zh-CN"/>
        </w:rPr>
      </w:pPr>
      <w:r>
        <w:rPr>
          <w:rFonts w:eastAsia="楷体_GB2312"/>
          <w:lang w:eastAsia="zh-CN"/>
        </w:rPr>
        <w:t>除“交易文件”另有</w:t>
      </w:r>
      <w:r>
        <w:rPr>
          <w:rFonts w:eastAsia="楷体_GB2312"/>
          <w:bCs/>
          <w:lang w:eastAsia="zh-CN"/>
        </w:rPr>
        <w:t>约</w:t>
      </w:r>
      <w:r>
        <w:rPr>
          <w:rFonts w:eastAsia="楷体_GB2312"/>
          <w:lang w:eastAsia="zh-CN"/>
        </w:rPr>
        <w:t>定的以外，“委托人”已为签署和交付本合同以及履行本合同项下</w:t>
      </w:r>
      <w:r>
        <w:rPr>
          <w:rFonts w:eastAsia="楷体_GB2312"/>
          <w:bCs/>
          <w:lang w:eastAsia="zh-CN"/>
        </w:rPr>
        <w:t>约</w:t>
      </w:r>
      <w:r>
        <w:rPr>
          <w:rFonts w:eastAsia="楷体_GB2312"/>
          <w:lang w:eastAsia="zh-CN"/>
        </w:rPr>
        <w:t>定之义务取得了各项必要的确认、同意、许可、批准和授权，并已办理了各项必要的声明、申请、备案、登记、通知和报告手续；</w:t>
      </w:r>
    </w:p>
    <w:p w14:paraId="5480120D">
      <w:pPr>
        <w:tabs>
          <w:tab w:val="left" w:pos="2160"/>
        </w:tabs>
        <w:spacing w:line="360" w:lineRule="auto"/>
        <w:ind w:left="1080"/>
        <w:jc w:val="both"/>
        <w:rPr>
          <w:rFonts w:eastAsia="楷体_GB2312"/>
          <w:lang w:eastAsia="zh-CN"/>
        </w:rPr>
      </w:pPr>
    </w:p>
    <w:p w14:paraId="50415D28">
      <w:pPr>
        <w:widowControl w:val="0"/>
        <w:numPr>
          <w:ilvl w:val="0"/>
          <w:numId w:val="29"/>
        </w:numPr>
        <w:spacing w:line="360" w:lineRule="auto"/>
        <w:jc w:val="both"/>
        <w:rPr>
          <w:rFonts w:eastAsia="楷体_GB2312"/>
          <w:lang w:eastAsia="zh-CN"/>
        </w:rPr>
      </w:pPr>
      <w:r>
        <w:rPr>
          <w:rFonts w:eastAsia="楷体_GB2312"/>
          <w:lang w:eastAsia="zh-CN"/>
        </w:rPr>
        <w:t>据“委托人”所知，本合同签署之日，“委托人”签署、交付和履行本合同条款：第一，不违反或抵触适用于“委托人”的任何“法律”规定；第二，不违反“委托人”的公司章程等组织性文件；第三，不违反或不会导致“委托人”违反其作为一方或对其或其财产有约束力的任何有效协议、契据、承诺、判决或命令的规定，且不会因此导致“重大不利影响”；第四，不会构成任何该等协议、契据或承诺项下的违约事件，且不会因此导致“重大不利影响”；</w:t>
      </w:r>
    </w:p>
    <w:p w14:paraId="769F989A">
      <w:pPr>
        <w:tabs>
          <w:tab w:val="left" w:pos="2160"/>
        </w:tabs>
        <w:spacing w:line="360" w:lineRule="auto"/>
        <w:ind w:left="1080"/>
        <w:jc w:val="both"/>
        <w:rPr>
          <w:rFonts w:eastAsia="楷体_GB2312"/>
          <w:lang w:eastAsia="zh-CN"/>
        </w:rPr>
      </w:pPr>
    </w:p>
    <w:p w14:paraId="63AE3A50">
      <w:pPr>
        <w:widowControl w:val="0"/>
        <w:numPr>
          <w:ilvl w:val="0"/>
          <w:numId w:val="29"/>
        </w:numPr>
        <w:spacing w:line="360" w:lineRule="auto"/>
        <w:jc w:val="both"/>
        <w:rPr>
          <w:rFonts w:eastAsia="楷体_GB2312"/>
          <w:lang w:eastAsia="zh-CN"/>
        </w:rPr>
      </w:pPr>
      <w:r>
        <w:rPr>
          <w:rFonts w:eastAsia="楷体_GB2312"/>
          <w:lang w:eastAsia="zh-CN"/>
        </w:rPr>
        <w:t>就“委托人”所知，本合同签署之日，未出现或持续存在任何其他不利事件，也不存在任何不利状况，会构成违反“委托人”作为一方或对其或其财产有约束力的任何协议或契据项下的</w:t>
      </w:r>
      <w:r>
        <w:rPr>
          <w:rFonts w:eastAsia="楷体_GB2312"/>
          <w:bCs/>
          <w:lang w:eastAsia="zh-CN"/>
        </w:rPr>
        <w:t>约</w:t>
      </w:r>
      <w:r>
        <w:rPr>
          <w:rFonts w:eastAsia="楷体_GB2312"/>
          <w:lang w:eastAsia="zh-CN"/>
        </w:rPr>
        <w:t>定，且可能因此导致“重大不利影响”；</w:t>
      </w:r>
    </w:p>
    <w:p w14:paraId="2DFFFE55">
      <w:pPr>
        <w:tabs>
          <w:tab w:val="left" w:pos="2160"/>
        </w:tabs>
        <w:spacing w:line="360" w:lineRule="auto"/>
        <w:ind w:left="1080"/>
        <w:jc w:val="both"/>
        <w:rPr>
          <w:rFonts w:eastAsia="楷体_GB2312"/>
          <w:lang w:eastAsia="zh-CN"/>
        </w:rPr>
      </w:pPr>
    </w:p>
    <w:p w14:paraId="50CCD29A">
      <w:pPr>
        <w:widowControl w:val="0"/>
        <w:numPr>
          <w:ilvl w:val="0"/>
          <w:numId w:val="29"/>
        </w:numPr>
        <w:spacing w:line="360" w:lineRule="auto"/>
        <w:jc w:val="both"/>
        <w:rPr>
          <w:rFonts w:eastAsia="楷体_GB2312"/>
          <w:lang w:eastAsia="zh-CN"/>
        </w:rPr>
      </w:pPr>
      <w:r>
        <w:rPr>
          <w:rFonts w:eastAsia="楷体_GB2312"/>
          <w:lang w:eastAsia="zh-CN"/>
        </w:rPr>
        <w:t>就“委托人”所知，本合同签署之日，没有任何诉讼、仲裁或其他司法或是行政争端威胁、质疑本合同或根据本合同已采取或将要采取的行动的有效性，或有可能个别地或整体地导致“重大不利影响”；“委托人”没有违反任何可能导致“重大不利影响”的政府机构命令；</w:t>
      </w:r>
    </w:p>
    <w:p w14:paraId="5CB841F9">
      <w:pPr>
        <w:tabs>
          <w:tab w:val="left" w:pos="2160"/>
        </w:tabs>
        <w:spacing w:line="360" w:lineRule="auto"/>
        <w:ind w:left="1080"/>
        <w:jc w:val="both"/>
        <w:rPr>
          <w:rFonts w:eastAsia="楷体_GB2312"/>
          <w:lang w:eastAsia="zh-CN"/>
        </w:rPr>
      </w:pPr>
    </w:p>
    <w:p w14:paraId="23C7DA1B">
      <w:pPr>
        <w:widowControl w:val="0"/>
        <w:numPr>
          <w:ilvl w:val="0"/>
          <w:numId w:val="29"/>
        </w:numPr>
        <w:spacing w:line="360" w:lineRule="auto"/>
        <w:jc w:val="both"/>
        <w:rPr>
          <w:rFonts w:eastAsia="楷体_GB2312"/>
          <w:lang w:eastAsia="zh-CN"/>
        </w:rPr>
      </w:pPr>
      <w:r>
        <w:rPr>
          <w:rFonts w:eastAsia="楷体_GB2312"/>
          <w:lang w:eastAsia="zh-CN"/>
        </w:rPr>
        <w:t>“委托人”具有清偿债务的能力，在可合理预见的未来，不会因“信托”的设立、“信托财产”的转让、本合同或其他“交易文件”项下的任何其他交易而丧失清偿能力；“委托人”未发生“丧失清偿能力事件”；“委托人”未采取任何公司行动，也没有他人针对“委托人”采取其他任何不利步骤，或者开始或即将启动任何法律程序，以使其解散或就其或其全部或部分财产或收入委任接管人、清算人或类似人员；“委托人”有清偿能力能够支付其全部债务，对其不存在争议（包括但不限于不存在诉讼和仲裁）的债务不会故意迟延支付；</w:t>
      </w:r>
    </w:p>
    <w:p w14:paraId="4506FFD2">
      <w:pPr>
        <w:tabs>
          <w:tab w:val="left" w:pos="2160"/>
        </w:tabs>
        <w:spacing w:line="360" w:lineRule="auto"/>
        <w:ind w:left="1080"/>
        <w:jc w:val="both"/>
        <w:rPr>
          <w:rFonts w:eastAsia="楷体_GB2312"/>
          <w:lang w:eastAsia="zh-CN"/>
        </w:rPr>
      </w:pPr>
    </w:p>
    <w:p w14:paraId="3890F61A">
      <w:pPr>
        <w:widowControl w:val="0"/>
        <w:numPr>
          <w:ilvl w:val="0"/>
          <w:numId w:val="29"/>
        </w:numPr>
        <w:spacing w:line="360" w:lineRule="auto"/>
        <w:jc w:val="both"/>
        <w:rPr>
          <w:rFonts w:eastAsia="楷体_GB2312"/>
          <w:lang w:eastAsia="zh-CN"/>
        </w:rPr>
      </w:pPr>
      <w:r>
        <w:rPr>
          <w:rFonts w:eastAsia="楷体_GB2312"/>
          <w:lang w:eastAsia="zh-CN"/>
        </w:rPr>
        <w:t>“委托人”公布的其最近一个财务年度经审计的财务报告，能够准确地反映“委托人”在该等报告期间的财务状况；且自该等财务报告出具之日以后，亦未发生“重大不利变化”；</w:t>
      </w:r>
    </w:p>
    <w:p w14:paraId="2C3E22FB">
      <w:pPr>
        <w:tabs>
          <w:tab w:val="left" w:pos="2160"/>
        </w:tabs>
        <w:spacing w:line="360" w:lineRule="auto"/>
        <w:ind w:left="1080"/>
        <w:jc w:val="both"/>
        <w:rPr>
          <w:rFonts w:eastAsia="楷体_GB2312"/>
          <w:lang w:eastAsia="zh-CN"/>
        </w:rPr>
      </w:pPr>
    </w:p>
    <w:p w14:paraId="66D0C15C">
      <w:pPr>
        <w:widowControl w:val="0"/>
        <w:numPr>
          <w:ilvl w:val="0"/>
          <w:numId w:val="29"/>
        </w:numPr>
        <w:spacing w:line="360" w:lineRule="auto"/>
        <w:jc w:val="both"/>
        <w:rPr>
          <w:rFonts w:eastAsia="楷体_GB2312"/>
          <w:lang w:eastAsia="zh-CN"/>
        </w:rPr>
      </w:pPr>
      <w:r>
        <w:rPr>
          <w:rFonts w:eastAsia="楷体_GB2312"/>
          <w:lang w:eastAsia="zh-CN"/>
        </w:rPr>
        <w:t>“委托人”将及时报送本合同项下所有须由“委托人”报送的纳税文件，并将及时缴纳本合同项下依法应由“委托人”承担的税款、税项、摊派税款和其他经合法批准的政府收费；</w:t>
      </w:r>
    </w:p>
    <w:p w14:paraId="7196DFE1">
      <w:pPr>
        <w:tabs>
          <w:tab w:val="left" w:pos="2160"/>
        </w:tabs>
        <w:spacing w:line="360" w:lineRule="auto"/>
        <w:ind w:left="1080"/>
        <w:jc w:val="both"/>
        <w:rPr>
          <w:rFonts w:eastAsia="楷体_GB2312"/>
          <w:lang w:eastAsia="zh-CN"/>
        </w:rPr>
      </w:pPr>
    </w:p>
    <w:p w14:paraId="4417A570">
      <w:pPr>
        <w:widowControl w:val="0"/>
        <w:numPr>
          <w:ilvl w:val="0"/>
          <w:numId w:val="29"/>
        </w:numPr>
        <w:tabs>
          <w:tab w:val="clear" w:pos="1333"/>
        </w:tabs>
        <w:spacing w:line="360" w:lineRule="auto"/>
        <w:ind w:left="1418" w:hanging="482"/>
        <w:jc w:val="both"/>
        <w:rPr>
          <w:rFonts w:eastAsia="楷体_GB2312"/>
          <w:lang w:eastAsia="zh-CN"/>
        </w:rPr>
      </w:pPr>
      <w:r>
        <w:rPr>
          <w:rFonts w:eastAsia="楷体_GB2312"/>
          <w:lang w:eastAsia="zh-CN"/>
        </w:rPr>
        <w:t>本合同项下设立的“信托”，按照所适用的“中国”“法律”不可撤销、或为非法的目的而设，“委托人”进行“交易文件”项下的交易也并非出于非法的目的；</w:t>
      </w:r>
    </w:p>
    <w:p w14:paraId="5A328656">
      <w:pPr>
        <w:tabs>
          <w:tab w:val="left" w:pos="2160"/>
        </w:tabs>
        <w:spacing w:line="360" w:lineRule="auto"/>
        <w:ind w:left="1080"/>
        <w:jc w:val="both"/>
        <w:rPr>
          <w:rFonts w:eastAsia="楷体_GB2312"/>
          <w:lang w:eastAsia="zh-CN"/>
        </w:rPr>
      </w:pPr>
    </w:p>
    <w:p w14:paraId="5F588A79">
      <w:pPr>
        <w:widowControl w:val="0"/>
        <w:numPr>
          <w:ilvl w:val="0"/>
          <w:numId w:val="29"/>
        </w:numPr>
        <w:tabs>
          <w:tab w:val="clear" w:pos="1333"/>
        </w:tabs>
        <w:spacing w:line="360" w:lineRule="auto"/>
        <w:ind w:left="1418" w:hanging="482"/>
        <w:jc w:val="both"/>
        <w:rPr>
          <w:rFonts w:eastAsia="楷体_GB2312"/>
          <w:lang w:eastAsia="zh-CN"/>
        </w:rPr>
      </w:pPr>
      <w:r>
        <w:rPr>
          <w:rFonts w:eastAsia="楷体_GB2312"/>
          <w:lang w:eastAsia="zh-CN"/>
        </w:rPr>
        <w:t>就“委托人”所知，本合同签署之日，未出现任何不利事件，也不存在任何不利状况，且按照本合同以初始“基础资产”设立“信托”或运用其收益也不会导致任何不利事件或状况，而构成或被合理预期将构成任何“违约事件”、“贷款服务机构解任事件”；</w:t>
      </w:r>
    </w:p>
    <w:p w14:paraId="62C5401D">
      <w:pPr>
        <w:tabs>
          <w:tab w:val="left" w:pos="2160"/>
        </w:tabs>
        <w:spacing w:line="360" w:lineRule="auto"/>
        <w:ind w:left="1080"/>
        <w:jc w:val="both"/>
        <w:rPr>
          <w:rFonts w:eastAsia="楷体_GB2312"/>
          <w:lang w:eastAsia="zh-CN"/>
        </w:rPr>
      </w:pPr>
    </w:p>
    <w:p w14:paraId="4439718D">
      <w:pPr>
        <w:widowControl w:val="0"/>
        <w:numPr>
          <w:ilvl w:val="0"/>
          <w:numId w:val="29"/>
        </w:numPr>
        <w:tabs>
          <w:tab w:val="clear" w:pos="1333"/>
        </w:tabs>
        <w:spacing w:line="360" w:lineRule="auto"/>
        <w:ind w:left="1418" w:hanging="482"/>
        <w:jc w:val="both"/>
        <w:rPr>
          <w:rFonts w:eastAsia="楷体_GB2312"/>
          <w:lang w:eastAsia="zh-CN"/>
        </w:rPr>
      </w:pPr>
      <w:r>
        <w:rPr>
          <w:rFonts w:eastAsia="楷体_GB2312"/>
          <w:lang w:eastAsia="zh-CN"/>
        </w:rPr>
        <w:t>“委托人”在“交易文件”中（无论是作为“委托人”还是“贷款服务机构”）作出的陈述和保证，在所有重大方面均真实、完整和正确；</w:t>
      </w:r>
    </w:p>
    <w:p w14:paraId="6AC5FFF8">
      <w:pPr>
        <w:tabs>
          <w:tab w:val="left" w:pos="2160"/>
        </w:tabs>
        <w:spacing w:line="360" w:lineRule="auto"/>
        <w:jc w:val="both"/>
        <w:rPr>
          <w:rFonts w:eastAsia="楷体_GB2312"/>
          <w:lang w:eastAsia="zh-CN"/>
        </w:rPr>
      </w:pPr>
    </w:p>
    <w:p w14:paraId="48F9AD74">
      <w:pPr>
        <w:widowControl w:val="0"/>
        <w:numPr>
          <w:ilvl w:val="0"/>
          <w:numId w:val="29"/>
        </w:numPr>
        <w:tabs>
          <w:tab w:val="clear" w:pos="1333"/>
        </w:tabs>
        <w:spacing w:line="360" w:lineRule="auto"/>
        <w:ind w:left="1418" w:hanging="482"/>
        <w:jc w:val="both"/>
        <w:rPr>
          <w:rFonts w:eastAsia="楷体_GB2312"/>
          <w:lang w:eastAsia="zh-CN"/>
        </w:rPr>
      </w:pPr>
      <w:r>
        <w:rPr>
          <w:rFonts w:eastAsia="楷体_GB2312"/>
          <w:lang w:eastAsia="zh-CN"/>
        </w:rPr>
        <w:t>“委托人”为“交易文件”项下交易或与之有关的目的，在“信托财产交付日”、“持续购买日”之前提供给“受托人”、“会计顾问”、“评级机构”、“法律顾问”或“主承销商”的所有书面信息（如有，该等信息在“信托财产交付日”之前可能已被更新或补充），以及“委托人”在“信托财产交付日”、“持续购买日”之后提供给“受托人”、“评级机构”、“会计顾问”或“优先级资产支持证券持有人”的所有书面信息（如有），在该等信息陈述或确认之日在所有重大方面均真实、完整和准确；</w:t>
      </w:r>
    </w:p>
    <w:p w14:paraId="2D800565">
      <w:pPr>
        <w:tabs>
          <w:tab w:val="left" w:pos="2160"/>
        </w:tabs>
        <w:spacing w:line="360" w:lineRule="auto"/>
        <w:ind w:left="1080"/>
        <w:jc w:val="both"/>
        <w:rPr>
          <w:rFonts w:eastAsia="楷体_GB2312"/>
          <w:lang w:eastAsia="zh-CN"/>
        </w:rPr>
      </w:pPr>
    </w:p>
    <w:p w14:paraId="235BCDC2">
      <w:pPr>
        <w:widowControl w:val="0"/>
        <w:numPr>
          <w:ilvl w:val="0"/>
          <w:numId w:val="29"/>
        </w:numPr>
        <w:tabs>
          <w:tab w:val="clear" w:pos="1333"/>
        </w:tabs>
        <w:spacing w:line="360" w:lineRule="auto"/>
        <w:ind w:left="1418" w:hanging="482"/>
        <w:jc w:val="both"/>
        <w:rPr>
          <w:rFonts w:eastAsia="楷体_GB2312"/>
          <w:lang w:eastAsia="zh-CN"/>
        </w:rPr>
      </w:pPr>
      <w:r>
        <w:rPr>
          <w:rFonts w:eastAsia="楷体_GB2312"/>
          <w:lang w:eastAsia="zh-CN"/>
        </w:rPr>
        <w:t>“委托人”签署、交付和履行本合同以及根据本合同设立“信托”和转让全部“信托财产”均系商业行为，并非公共或政府行为；“委托人”及“信托财产”在“中国”“法律”项下对于法律程序文件的送达、管辖权、诉讼、仲裁、判决、仲裁裁决、抵销、反请求、强制执行判决、查封财产（无论是在诉讼或仲裁前还是之后为执行判决）以及其他法律程序均不享有任何豁免权；</w:t>
      </w:r>
    </w:p>
    <w:p w14:paraId="13F14BB1">
      <w:pPr>
        <w:tabs>
          <w:tab w:val="left" w:pos="2160"/>
        </w:tabs>
        <w:spacing w:line="360" w:lineRule="auto"/>
        <w:ind w:left="1080"/>
        <w:jc w:val="both"/>
        <w:rPr>
          <w:rFonts w:eastAsia="楷体_GB2312"/>
          <w:lang w:eastAsia="zh-CN"/>
        </w:rPr>
      </w:pPr>
    </w:p>
    <w:p w14:paraId="2AF19254">
      <w:pPr>
        <w:widowControl w:val="0"/>
        <w:numPr>
          <w:ilvl w:val="0"/>
          <w:numId w:val="29"/>
        </w:numPr>
        <w:tabs>
          <w:tab w:val="clear" w:pos="1333"/>
        </w:tabs>
        <w:spacing w:line="360" w:lineRule="auto"/>
        <w:ind w:left="1418" w:hanging="482"/>
        <w:jc w:val="both"/>
        <w:rPr>
          <w:rFonts w:eastAsia="楷体_GB2312"/>
          <w:lang w:eastAsia="zh-CN"/>
        </w:rPr>
      </w:pPr>
      <w:r>
        <w:rPr>
          <w:rFonts w:eastAsia="楷体_GB2312"/>
          <w:lang w:eastAsia="zh-CN"/>
        </w:rPr>
        <w:t>“委托人”确认，“委托人”收到的“受托人”根据本合同向“委托人”支付款项以及交付的“次级资产证券”所代表的价值不低于公允价值，并且本合同项下的交易不会对“委托人”的任何第三方债权人的任何权利和正当利益产生重大不利影响；</w:t>
      </w:r>
    </w:p>
    <w:p w14:paraId="10876FDE">
      <w:pPr>
        <w:tabs>
          <w:tab w:val="left" w:pos="2160"/>
        </w:tabs>
        <w:spacing w:line="360" w:lineRule="auto"/>
        <w:ind w:left="1080"/>
        <w:jc w:val="both"/>
        <w:rPr>
          <w:rFonts w:eastAsia="楷体_GB2312"/>
          <w:lang w:eastAsia="zh-CN"/>
        </w:rPr>
      </w:pPr>
    </w:p>
    <w:p w14:paraId="36DB58D6">
      <w:pPr>
        <w:widowControl w:val="0"/>
        <w:numPr>
          <w:ilvl w:val="0"/>
          <w:numId w:val="29"/>
        </w:numPr>
        <w:tabs>
          <w:tab w:val="clear" w:pos="1333"/>
        </w:tabs>
        <w:spacing w:line="360" w:lineRule="auto"/>
        <w:ind w:left="1418" w:hanging="482"/>
        <w:jc w:val="both"/>
        <w:rPr>
          <w:rFonts w:eastAsia="楷体_GB2312"/>
          <w:lang w:eastAsia="zh-CN"/>
        </w:rPr>
      </w:pPr>
      <w:r>
        <w:rPr>
          <w:rFonts w:eastAsia="楷体_GB2312"/>
          <w:lang w:eastAsia="zh-CN"/>
        </w:rPr>
        <w:t>“委托人”确信，在选择“资产池”过程中，未使用任何会对“资产支持证券持有人”的合法或正当利益产生“重大不利影响”的筛选程序；</w:t>
      </w:r>
    </w:p>
    <w:p w14:paraId="17EBE4A2">
      <w:pPr>
        <w:tabs>
          <w:tab w:val="left" w:pos="2160"/>
        </w:tabs>
        <w:spacing w:line="360" w:lineRule="auto"/>
        <w:ind w:left="1080"/>
        <w:jc w:val="both"/>
        <w:rPr>
          <w:rFonts w:eastAsia="楷体_GB2312"/>
          <w:lang w:eastAsia="zh-CN"/>
        </w:rPr>
      </w:pPr>
    </w:p>
    <w:p w14:paraId="4FAEDAFD">
      <w:pPr>
        <w:widowControl w:val="0"/>
        <w:numPr>
          <w:ilvl w:val="0"/>
          <w:numId w:val="29"/>
        </w:numPr>
        <w:tabs>
          <w:tab w:val="clear" w:pos="1333"/>
        </w:tabs>
        <w:spacing w:line="360" w:lineRule="auto"/>
        <w:ind w:left="1418" w:hanging="482"/>
        <w:jc w:val="both"/>
        <w:rPr>
          <w:rFonts w:eastAsia="楷体_GB2312"/>
          <w:lang w:eastAsia="zh-CN"/>
        </w:rPr>
      </w:pPr>
      <w:r>
        <w:rPr>
          <w:rFonts w:eastAsia="楷体_GB2312"/>
          <w:lang w:eastAsia="zh-CN"/>
        </w:rPr>
        <w:t>“委托人”参与的其他任何交易不会对本合同和其他“交易文件”项下所</w:t>
      </w:r>
      <w:r>
        <w:rPr>
          <w:rFonts w:eastAsia="楷体_GB2312"/>
          <w:bCs/>
          <w:lang w:eastAsia="zh-CN"/>
        </w:rPr>
        <w:t>约</w:t>
      </w:r>
      <w:r>
        <w:rPr>
          <w:rFonts w:eastAsia="楷体_GB2312"/>
          <w:lang w:eastAsia="zh-CN"/>
        </w:rPr>
        <w:t>定的交易以及“受托人”关于“信托财产”及在“交易文件”项下的权利或利益造成“重大不利影响”；</w:t>
      </w:r>
    </w:p>
    <w:p w14:paraId="02140856">
      <w:pPr>
        <w:tabs>
          <w:tab w:val="left" w:pos="2160"/>
        </w:tabs>
        <w:spacing w:line="360" w:lineRule="auto"/>
        <w:ind w:left="1080"/>
        <w:jc w:val="both"/>
        <w:rPr>
          <w:rFonts w:eastAsia="楷体_GB2312"/>
          <w:lang w:eastAsia="zh-CN"/>
        </w:rPr>
      </w:pPr>
    </w:p>
    <w:p w14:paraId="55907859">
      <w:pPr>
        <w:widowControl w:val="0"/>
        <w:numPr>
          <w:ilvl w:val="0"/>
          <w:numId w:val="29"/>
        </w:numPr>
        <w:tabs>
          <w:tab w:val="clear" w:pos="1333"/>
        </w:tabs>
        <w:spacing w:line="360" w:lineRule="auto"/>
        <w:ind w:left="1418" w:hanging="482"/>
        <w:jc w:val="both"/>
        <w:rPr>
          <w:rFonts w:eastAsia="楷体_GB2312"/>
          <w:lang w:eastAsia="zh-CN"/>
        </w:rPr>
      </w:pPr>
      <w:r>
        <w:rPr>
          <w:rFonts w:eastAsia="楷体_GB2312"/>
          <w:lang w:eastAsia="zh-CN"/>
        </w:rPr>
        <w:t>“委托人”能定期准确地依据“借款人”、“共同借款人”（如有）提供的信息产生关于“信托财产”及相关“借款人”、“共同借款人”（如有）总体履约情况的统计信息；</w:t>
      </w:r>
    </w:p>
    <w:p w14:paraId="2265D583">
      <w:pPr>
        <w:tabs>
          <w:tab w:val="left" w:pos="2160"/>
        </w:tabs>
        <w:spacing w:line="360" w:lineRule="auto"/>
        <w:ind w:left="1080"/>
        <w:jc w:val="both"/>
        <w:rPr>
          <w:rFonts w:eastAsia="楷体_GB2312"/>
          <w:lang w:eastAsia="zh-CN"/>
        </w:rPr>
      </w:pPr>
    </w:p>
    <w:p w14:paraId="37BCD1A4">
      <w:pPr>
        <w:widowControl w:val="0"/>
        <w:numPr>
          <w:ilvl w:val="0"/>
          <w:numId w:val="29"/>
        </w:numPr>
        <w:tabs>
          <w:tab w:val="clear" w:pos="1333"/>
        </w:tabs>
        <w:spacing w:line="360" w:lineRule="auto"/>
        <w:ind w:left="1418" w:hanging="482"/>
        <w:jc w:val="both"/>
        <w:rPr>
          <w:rFonts w:eastAsia="楷体_GB2312"/>
          <w:lang w:eastAsia="zh-CN"/>
        </w:rPr>
      </w:pPr>
      <w:r>
        <w:rPr>
          <w:rFonts w:eastAsia="楷体_GB2312"/>
          <w:lang w:eastAsia="zh-CN"/>
        </w:rPr>
        <w:t>“委托人”将“信托财产”信托和转让给“受托人”的行为，不违反“中国”“法律”的相关规定；</w:t>
      </w:r>
    </w:p>
    <w:p w14:paraId="61C34C41">
      <w:pPr>
        <w:tabs>
          <w:tab w:val="left" w:pos="2160"/>
        </w:tabs>
        <w:spacing w:line="360" w:lineRule="auto"/>
        <w:ind w:left="1080"/>
        <w:jc w:val="both"/>
        <w:rPr>
          <w:rFonts w:eastAsia="楷体_GB2312"/>
          <w:lang w:eastAsia="zh-CN"/>
        </w:rPr>
      </w:pPr>
    </w:p>
    <w:p w14:paraId="1C5144FD">
      <w:pPr>
        <w:widowControl w:val="0"/>
        <w:numPr>
          <w:ilvl w:val="0"/>
          <w:numId w:val="29"/>
        </w:numPr>
        <w:tabs>
          <w:tab w:val="clear" w:pos="1333"/>
        </w:tabs>
        <w:spacing w:line="360" w:lineRule="auto"/>
        <w:ind w:left="1418" w:hanging="482"/>
        <w:jc w:val="both"/>
        <w:rPr>
          <w:rFonts w:eastAsia="楷体_GB2312"/>
          <w:lang w:eastAsia="zh-CN"/>
        </w:rPr>
      </w:pPr>
      <w:r>
        <w:rPr>
          <w:rFonts w:eastAsia="楷体_GB2312"/>
          <w:lang w:eastAsia="zh-CN"/>
        </w:rPr>
        <w:t>在“信托财产交付日”（适用于初始“基础资产”），“委托人”交付的初始“基础资产”实质上不构成“委托人”在该日的全部资产；</w:t>
      </w:r>
    </w:p>
    <w:p w14:paraId="74D05C8C">
      <w:pPr>
        <w:pStyle w:val="40"/>
        <w:spacing w:line="360" w:lineRule="auto"/>
        <w:ind w:firstLine="480"/>
        <w:jc w:val="both"/>
        <w:rPr>
          <w:rFonts w:eastAsia="楷体_GB2312"/>
          <w:lang w:eastAsia="zh-CN"/>
        </w:rPr>
      </w:pPr>
    </w:p>
    <w:p w14:paraId="787B615D">
      <w:pPr>
        <w:widowControl w:val="0"/>
        <w:numPr>
          <w:ilvl w:val="0"/>
          <w:numId w:val="29"/>
        </w:numPr>
        <w:tabs>
          <w:tab w:val="clear" w:pos="1333"/>
        </w:tabs>
        <w:spacing w:line="360" w:lineRule="auto"/>
        <w:ind w:left="1418" w:hanging="482"/>
        <w:jc w:val="both"/>
        <w:rPr>
          <w:rFonts w:eastAsia="楷体_GB2312"/>
          <w:lang w:eastAsia="zh-CN"/>
        </w:rPr>
      </w:pPr>
      <w:r>
        <w:rPr>
          <w:rFonts w:eastAsia="楷体_GB2312"/>
          <w:lang w:eastAsia="zh-CN"/>
        </w:rPr>
        <w:t>“信托财产”的资产质量在重大方面不低于“委托人”所有个人汽车贷款资产质量的平均水平；</w:t>
      </w:r>
    </w:p>
    <w:p w14:paraId="30532C64">
      <w:pPr>
        <w:tabs>
          <w:tab w:val="left" w:pos="2160"/>
        </w:tabs>
        <w:spacing w:line="360" w:lineRule="auto"/>
        <w:ind w:left="1080"/>
        <w:jc w:val="both"/>
        <w:rPr>
          <w:rFonts w:eastAsia="楷体_GB2312"/>
          <w:lang w:eastAsia="zh-CN"/>
        </w:rPr>
      </w:pPr>
    </w:p>
    <w:p w14:paraId="01DAB8B2">
      <w:pPr>
        <w:widowControl w:val="0"/>
        <w:numPr>
          <w:ilvl w:val="0"/>
          <w:numId w:val="29"/>
        </w:numPr>
        <w:tabs>
          <w:tab w:val="clear" w:pos="1333"/>
        </w:tabs>
        <w:spacing w:line="360" w:lineRule="auto"/>
        <w:ind w:left="1418" w:hanging="482"/>
        <w:jc w:val="both"/>
        <w:rPr>
          <w:rFonts w:eastAsia="楷体_GB2312"/>
          <w:lang w:eastAsia="zh-CN"/>
        </w:rPr>
      </w:pPr>
      <w:r>
        <w:rPr>
          <w:rFonts w:eastAsia="楷体_GB2312"/>
          <w:lang w:eastAsia="zh-CN"/>
        </w:rPr>
        <w:t>在“信托财产交付日”（适用于初始“基础资产”），没有“违约事件”或“贷款服务机构解任事件”发生；</w:t>
      </w:r>
    </w:p>
    <w:p w14:paraId="3EEC3944">
      <w:pPr>
        <w:tabs>
          <w:tab w:val="left" w:pos="2160"/>
        </w:tabs>
        <w:spacing w:line="360" w:lineRule="auto"/>
        <w:jc w:val="both"/>
        <w:rPr>
          <w:rFonts w:eastAsia="楷体_GB2312"/>
          <w:lang w:eastAsia="zh-CN"/>
        </w:rPr>
      </w:pPr>
    </w:p>
    <w:p w14:paraId="075DACD1">
      <w:pPr>
        <w:widowControl w:val="0"/>
        <w:numPr>
          <w:ilvl w:val="0"/>
          <w:numId w:val="29"/>
        </w:numPr>
        <w:tabs>
          <w:tab w:val="clear" w:pos="1333"/>
        </w:tabs>
        <w:spacing w:line="360" w:lineRule="auto"/>
        <w:ind w:left="1418" w:hanging="482"/>
        <w:jc w:val="both"/>
        <w:rPr>
          <w:rFonts w:eastAsia="楷体_GB2312"/>
          <w:lang w:eastAsia="zh-CN"/>
        </w:rPr>
      </w:pPr>
      <w:r>
        <w:rPr>
          <w:rFonts w:eastAsia="楷体_GB2312"/>
          <w:lang w:eastAsia="zh-CN"/>
        </w:rPr>
        <w:t>“信托”的设立（适用于初始“基础资产”）不会损害任何被信托的初始“基础资产”项下可对“借款人”、“共同借款人”（如有）、“保证人”（如有）主张的权利；</w:t>
      </w:r>
    </w:p>
    <w:p w14:paraId="2FBB8081">
      <w:pPr>
        <w:tabs>
          <w:tab w:val="left" w:pos="2160"/>
        </w:tabs>
        <w:spacing w:line="360" w:lineRule="auto"/>
        <w:ind w:left="1080"/>
        <w:jc w:val="both"/>
        <w:rPr>
          <w:rFonts w:eastAsia="楷体_GB2312"/>
          <w:lang w:eastAsia="zh-CN"/>
        </w:rPr>
      </w:pPr>
    </w:p>
    <w:p w14:paraId="473D9FA4">
      <w:pPr>
        <w:widowControl w:val="0"/>
        <w:numPr>
          <w:ilvl w:val="0"/>
          <w:numId w:val="29"/>
        </w:numPr>
        <w:tabs>
          <w:tab w:val="clear" w:pos="1333"/>
        </w:tabs>
        <w:spacing w:line="360" w:lineRule="auto"/>
        <w:ind w:left="1418" w:hanging="482"/>
        <w:jc w:val="both"/>
        <w:rPr>
          <w:rFonts w:eastAsia="楷体_GB2312"/>
          <w:lang w:eastAsia="zh-CN"/>
        </w:rPr>
      </w:pPr>
      <w:r>
        <w:rPr>
          <w:rFonts w:eastAsia="楷体_GB2312"/>
          <w:lang w:eastAsia="zh-CN"/>
        </w:rPr>
        <w:t>设立“信托”的目的以及“基础资产”的转让不违反“中国”“法律”或者损害社会公共利益；以及</w:t>
      </w:r>
    </w:p>
    <w:p w14:paraId="22223B0F">
      <w:pPr>
        <w:tabs>
          <w:tab w:val="left" w:pos="2160"/>
        </w:tabs>
        <w:spacing w:line="360" w:lineRule="auto"/>
        <w:ind w:left="1080"/>
        <w:jc w:val="both"/>
        <w:rPr>
          <w:rFonts w:eastAsia="楷体_GB2312"/>
          <w:lang w:eastAsia="zh-CN"/>
        </w:rPr>
      </w:pPr>
    </w:p>
    <w:p w14:paraId="1640782E">
      <w:pPr>
        <w:widowControl w:val="0"/>
        <w:numPr>
          <w:ilvl w:val="0"/>
          <w:numId w:val="29"/>
        </w:numPr>
        <w:tabs>
          <w:tab w:val="clear" w:pos="1333"/>
        </w:tabs>
        <w:spacing w:line="360" w:lineRule="auto"/>
        <w:ind w:left="1418" w:hanging="482"/>
        <w:jc w:val="both"/>
        <w:rPr>
          <w:rFonts w:eastAsia="楷体_GB2312"/>
          <w:lang w:eastAsia="zh-CN"/>
        </w:rPr>
      </w:pPr>
      <w:r>
        <w:rPr>
          <w:rFonts w:eastAsia="楷体_GB2312"/>
          <w:lang w:eastAsia="zh-CN"/>
        </w:rPr>
        <w:t>“信托”并非专为诉讼或讨债而设立。</w:t>
      </w:r>
    </w:p>
    <w:p w14:paraId="424F4C5C">
      <w:pPr>
        <w:pStyle w:val="50"/>
        <w:spacing w:after="0" w:line="360" w:lineRule="auto"/>
        <w:ind w:left="180"/>
        <w:rPr>
          <w:rFonts w:eastAsia="楷体_GB2312"/>
          <w:lang w:eastAsia="zh-CN"/>
        </w:rPr>
      </w:pPr>
    </w:p>
    <w:p w14:paraId="7731427B">
      <w:pPr>
        <w:widowControl w:val="0"/>
        <w:numPr>
          <w:ilvl w:val="1"/>
          <w:numId w:val="8"/>
        </w:numPr>
        <w:tabs>
          <w:tab w:val="left" w:pos="900"/>
        </w:tabs>
        <w:spacing w:line="360" w:lineRule="auto"/>
        <w:jc w:val="both"/>
        <w:outlineLvl w:val="1"/>
        <w:rPr>
          <w:rFonts w:eastAsia="楷体_GB2312"/>
          <w:b/>
        </w:rPr>
      </w:pPr>
      <w:r>
        <w:rPr>
          <w:rFonts w:eastAsia="楷体_GB2312"/>
          <w:b/>
        </w:rPr>
        <w:t>资产保证</w:t>
      </w:r>
    </w:p>
    <w:p w14:paraId="37D05974">
      <w:pPr>
        <w:tabs>
          <w:tab w:val="left" w:pos="1620"/>
        </w:tabs>
        <w:spacing w:line="360" w:lineRule="auto"/>
        <w:ind w:left="850" w:leftChars="354"/>
        <w:jc w:val="both"/>
        <w:rPr>
          <w:rFonts w:eastAsia="楷体_GB2312"/>
        </w:rPr>
      </w:pPr>
      <w:r>
        <w:rPr>
          <w:rFonts w:eastAsia="楷体_GB2312"/>
          <w:b/>
          <w:i/>
          <w:color w:val="FF0000"/>
          <w:lang w:eastAsia="zh-CN"/>
        </w:rPr>
        <w:t>【注：</w:t>
      </w:r>
      <w:r>
        <w:rPr>
          <w:rFonts w:eastAsia="楷体_GB2312"/>
          <w:b/>
          <w:bCs/>
          <w:i/>
          <w:iCs/>
          <w:color w:val="FF0000"/>
          <w:lang w:eastAsia="zh-CN"/>
        </w:rPr>
        <w:t>资产保证可根据具体项目情况调整。</w:t>
      </w:r>
      <w:r>
        <w:rPr>
          <w:rFonts w:eastAsia="楷体_GB2312"/>
          <w:b/>
          <w:i/>
          <w:color w:val="FF0000"/>
          <w:lang w:eastAsia="zh-CN"/>
        </w:rPr>
        <w:t>《信托合同》中的资产保证仅针对初始基础资产，若产品设置存续期的资产持续购买，则对新增的持续购买资产的资产保证见《资产持续购买合同》】</w:t>
      </w:r>
    </w:p>
    <w:p w14:paraId="4F0478DA">
      <w:pPr>
        <w:spacing w:line="360" w:lineRule="auto"/>
        <w:ind w:left="850" w:leftChars="354"/>
        <w:jc w:val="both"/>
        <w:rPr>
          <w:rFonts w:eastAsia="楷体_GB2312"/>
          <w:lang w:eastAsia="zh-CN"/>
        </w:rPr>
      </w:pPr>
      <w:r>
        <w:rPr>
          <w:rFonts w:eastAsia="楷体_GB2312"/>
          <w:lang w:eastAsia="zh-CN"/>
        </w:rPr>
        <w:t>为本合同其他各方的利益，“委托人”于“初始起算日”和“信托财产交付日”（除非具体条款中另有明确约定）就其向“受托人”交付的每一笔初始“基础资产”的状况，作出陈述和保证如下：</w:t>
      </w:r>
    </w:p>
    <w:p w14:paraId="799D287F">
      <w:pPr>
        <w:pStyle w:val="50"/>
        <w:spacing w:after="0" w:line="360" w:lineRule="auto"/>
        <w:rPr>
          <w:rFonts w:eastAsia="楷体_GB2312"/>
          <w:lang w:eastAsia="zh-CN"/>
        </w:rPr>
      </w:pPr>
    </w:p>
    <w:p w14:paraId="1D278028">
      <w:pPr>
        <w:widowControl w:val="0"/>
        <w:numPr>
          <w:ilvl w:val="0"/>
          <w:numId w:val="30"/>
        </w:numPr>
        <w:spacing w:line="360" w:lineRule="auto"/>
        <w:jc w:val="both"/>
        <w:rPr>
          <w:rFonts w:eastAsia="楷体_GB2312"/>
          <w:lang w:eastAsia="zh-CN"/>
        </w:rPr>
      </w:pPr>
      <w:r>
        <w:rPr>
          <w:rFonts w:eastAsia="楷体_GB2312"/>
          <w:lang w:eastAsia="zh-CN"/>
        </w:rPr>
        <w:t>“委托人”(a)是每一笔“个人汽车贷款”的唯一债权人，对相关的“附属权益”拥有合法的请求权；(b)未向任何第三方转让该等权利或利益；且(c)未对该等权利或利益设定任何担保权益、抵押、质押、转让、转移或任何其他财产负担；</w:t>
      </w:r>
    </w:p>
    <w:p w14:paraId="0F6C474A">
      <w:pPr>
        <w:tabs>
          <w:tab w:val="left" w:pos="2160"/>
        </w:tabs>
        <w:spacing w:line="360" w:lineRule="auto"/>
        <w:ind w:left="1080"/>
        <w:jc w:val="both"/>
        <w:rPr>
          <w:rFonts w:eastAsia="楷体_GB2312"/>
          <w:lang w:eastAsia="zh-CN"/>
        </w:rPr>
      </w:pPr>
    </w:p>
    <w:p w14:paraId="47F7A3AB">
      <w:pPr>
        <w:widowControl w:val="0"/>
        <w:numPr>
          <w:ilvl w:val="0"/>
          <w:numId w:val="30"/>
        </w:numPr>
        <w:spacing w:line="360" w:lineRule="auto"/>
        <w:jc w:val="both"/>
        <w:rPr>
          <w:rFonts w:eastAsia="楷体_GB2312"/>
          <w:lang w:eastAsia="zh-CN"/>
        </w:rPr>
      </w:pPr>
      <w:r>
        <w:rPr>
          <w:rFonts w:eastAsia="楷体_GB2312"/>
          <w:lang w:eastAsia="zh-CN"/>
        </w:rPr>
        <w:t>据“委托人”所知，在“初始起算日”和“信托财产交付日”（对日期另有约定的从其约定），每一笔初始“基础资产”均符合“合格标准”；</w:t>
      </w:r>
    </w:p>
    <w:p w14:paraId="024EC366">
      <w:pPr>
        <w:tabs>
          <w:tab w:val="left" w:pos="2160"/>
        </w:tabs>
        <w:spacing w:line="360" w:lineRule="auto"/>
        <w:ind w:left="1080"/>
        <w:jc w:val="both"/>
        <w:rPr>
          <w:rFonts w:eastAsia="楷体_GB2312"/>
          <w:lang w:eastAsia="zh-CN"/>
        </w:rPr>
      </w:pPr>
    </w:p>
    <w:p w14:paraId="22AABF3A">
      <w:pPr>
        <w:widowControl w:val="0"/>
        <w:numPr>
          <w:ilvl w:val="0"/>
          <w:numId w:val="30"/>
        </w:numPr>
        <w:spacing w:line="360" w:lineRule="auto"/>
        <w:jc w:val="both"/>
        <w:rPr>
          <w:rFonts w:eastAsia="楷体_GB2312"/>
          <w:lang w:eastAsia="zh-CN"/>
        </w:rPr>
      </w:pPr>
      <w:r>
        <w:rPr>
          <w:rFonts w:eastAsia="楷体_GB2312"/>
          <w:lang w:eastAsia="zh-CN"/>
        </w:rPr>
        <w:t>据“委托人”所知，“委托人”向“受托人”提供的关于“委托人”转让的初始“基础资产”的必要的资料和信息，在所有可能对债权回收和担保权利的实现有重大影响的方面均真实、准确和完整；</w:t>
      </w:r>
    </w:p>
    <w:p w14:paraId="0B76DD22">
      <w:pPr>
        <w:tabs>
          <w:tab w:val="left" w:pos="2160"/>
        </w:tabs>
        <w:spacing w:line="360" w:lineRule="auto"/>
        <w:ind w:left="1080"/>
        <w:jc w:val="both"/>
        <w:rPr>
          <w:rFonts w:eastAsia="楷体_GB2312"/>
          <w:lang w:eastAsia="zh-CN"/>
        </w:rPr>
      </w:pPr>
    </w:p>
    <w:p w14:paraId="6A0E0949">
      <w:pPr>
        <w:widowControl w:val="0"/>
        <w:numPr>
          <w:ilvl w:val="0"/>
          <w:numId w:val="30"/>
        </w:numPr>
        <w:spacing w:line="360" w:lineRule="auto"/>
        <w:jc w:val="both"/>
        <w:rPr>
          <w:rFonts w:eastAsia="楷体_GB2312"/>
          <w:lang w:eastAsia="zh-CN"/>
        </w:rPr>
      </w:pPr>
      <w:r>
        <w:rPr>
          <w:rFonts w:eastAsia="楷体_GB2312"/>
          <w:lang w:eastAsia="zh-CN"/>
        </w:rPr>
        <w:t>“受托机构”将对与“信托财产”有关的任何文件、记录和数据，拥有完整的、不受妨碍和唯一合法的所有权；“发起机构”作为一方的“交易文件”项下的任何交易（包括但不限于“信托财产”的转移）均不构成欺诈性的让与；</w:t>
      </w:r>
    </w:p>
    <w:p w14:paraId="37872E9B">
      <w:pPr>
        <w:tabs>
          <w:tab w:val="left" w:pos="2160"/>
        </w:tabs>
        <w:spacing w:line="360" w:lineRule="auto"/>
        <w:ind w:left="1080"/>
        <w:jc w:val="both"/>
        <w:rPr>
          <w:rFonts w:eastAsia="楷体_GB2312"/>
          <w:lang w:eastAsia="zh-CN"/>
        </w:rPr>
      </w:pPr>
    </w:p>
    <w:p w14:paraId="5813B82A">
      <w:pPr>
        <w:widowControl w:val="0"/>
        <w:numPr>
          <w:ilvl w:val="0"/>
          <w:numId w:val="30"/>
        </w:numPr>
        <w:spacing w:line="360" w:lineRule="auto"/>
        <w:jc w:val="both"/>
        <w:rPr>
          <w:rFonts w:eastAsia="楷体_GB2312"/>
          <w:lang w:eastAsia="zh-CN"/>
        </w:rPr>
      </w:pPr>
      <w:r>
        <w:rPr>
          <w:rFonts w:eastAsia="楷体_GB2312"/>
          <w:lang w:eastAsia="zh-CN"/>
        </w:rPr>
        <w:t>每位“借款人”、“共同借款人”（如有）履行“贷款合同”项下义务的所有先决条件均已得到满足；</w:t>
      </w:r>
    </w:p>
    <w:p w14:paraId="078D0485">
      <w:pPr>
        <w:tabs>
          <w:tab w:val="left" w:pos="2160"/>
        </w:tabs>
        <w:spacing w:line="360" w:lineRule="auto"/>
        <w:ind w:left="1080"/>
        <w:jc w:val="both"/>
        <w:rPr>
          <w:rFonts w:eastAsia="楷体_GB2312"/>
          <w:lang w:eastAsia="zh-CN"/>
        </w:rPr>
      </w:pPr>
    </w:p>
    <w:p w14:paraId="47F30CF3">
      <w:pPr>
        <w:widowControl w:val="0"/>
        <w:numPr>
          <w:ilvl w:val="0"/>
          <w:numId w:val="30"/>
        </w:numPr>
        <w:spacing w:line="360" w:lineRule="auto"/>
        <w:jc w:val="both"/>
        <w:rPr>
          <w:rFonts w:eastAsia="楷体_GB2312"/>
          <w:lang w:eastAsia="zh-CN"/>
        </w:rPr>
      </w:pPr>
      <w:r>
        <w:rPr>
          <w:rFonts w:eastAsia="楷体_GB2312"/>
          <w:lang w:eastAsia="zh-CN"/>
        </w:rPr>
        <w:t>除“交易文件”约定的以外，“委托人”未就其在任何或部分“信托财产”中或与任何或部分“信托财产”有关的所有权利及相关权益，给予或同意给予任何第三方对“信托财产”的回收产生“重大不利影响”的选择权；也未处置或同意任何第三方处置其在任何或部分“信托财产”中或与任何或部分“信托财产”有关的权利及相关权益；</w:t>
      </w:r>
    </w:p>
    <w:p w14:paraId="5244ADAD">
      <w:pPr>
        <w:tabs>
          <w:tab w:val="left" w:pos="2160"/>
        </w:tabs>
        <w:spacing w:line="360" w:lineRule="auto"/>
        <w:ind w:left="1080"/>
        <w:jc w:val="both"/>
        <w:rPr>
          <w:rFonts w:eastAsia="楷体_GB2312"/>
          <w:lang w:eastAsia="zh-CN"/>
        </w:rPr>
      </w:pPr>
    </w:p>
    <w:p w14:paraId="2FC7B92A">
      <w:pPr>
        <w:widowControl w:val="0"/>
        <w:numPr>
          <w:ilvl w:val="0"/>
          <w:numId w:val="30"/>
        </w:numPr>
        <w:spacing w:line="360" w:lineRule="auto"/>
        <w:jc w:val="both"/>
        <w:rPr>
          <w:rFonts w:eastAsia="楷体_GB2312"/>
          <w:lang w:eastAsia="zh-CN"/>
        </w:rPr>
      </w:pPr>
      <w:r>
        <w:rPr>
          <w:rFonts w:eastAsia="楷体_GB2312"/>
          <w:lang w:eastAsia="zh-CN"/>
        </w:rPr>
        <w:t>“委托人”对每笔初始“基础资产”享有的权利并非是无效的或已被撤销、宣布无效或被废止，亦不能被撤销、宣布无效或被废止；</w:t>
      </w:r>
    </w:p>
    <w:p w14:paraId="1C1748A4">
      <w:pPr>
        <w:tabs>
          <w:tab w:val="left" w:pos="2160"/>
        </w:tabs>
        <w:spacing w:line="360" w:lineRule="auto"/>
        <w:ind w:left="1080"/>
        <w:jc w:val="both"/>
        <w:rPr>
          <w:rFonts w:eastAsia="楷体_GB2312"/>
          <w:lang w:eastAsia="zh-CN"/>
        </w:rPr>
      </w:pPr>
    </w:p>
    <w:p w14:paraId="444A80E3">
      <w:pPr>
        <w:widowControl w:val="0"/>
        <w:numPr>
          <w:ilvl w:val="0"/>
          <w:numId w:val="30"/>
        </w:numPr>
        <w:spacing w:line="360" w:lineRule="auto"/>
        <w:jc w:val="both"/>
        <w:rPr>
          <w:rFonts w:eastAsia="楷体_GB2312"/>
          <w:lang w:eastAsia="zh-CN"/>
        </w:rPr>
      </w:pPr>
      <w:r>
        <w:rPr>
          <w:rFonts w:eastAsia="楷体_GB2312"/>
          <w:lang w:eastAsia="zh-CN"/>
        </w:rPr>
        <w:t>任何初始“基础资产”（或其任何部分）均不是其他证券化交易的对象，且不曾被“委托人”出售、转让、质押、转移或以任何方式处置，以致使“委托人”出售、转让和转移其在“信托财产”中的权利和其他有关权益的权利受到任何禁止或限制（或该等禁止或限制已根据“中国”“法律”被消除）；</w:t>
      </w:r>
    </w:p>
    <w:p w14:paraId="793F5EFA">
      <w:pPr>
        <w:tabs>
          <w:tab w:val="left" w:pos="2160"/>
        </w:tabs>
        <w:spacing w:line="360" w:lineRule="auto"/>
        <w:ind w:left="1080"/>
        <w:jc w:val="both"/>
        <w:rPr>
          <w:rFonts w:eastAsia="楷体_GB2312"/>
          <w:lang w:eastAsia="zh-CN"/>
        </w:rPr>
      </w:pPr>
    </w:p>
    <w:p w14:paraId="0F2B86D9">
      <w:pPr>
        <w:widowControl w:val="0"/>
        <w:numPr>
          <w:ilvl w:val="0"/>
          <w:numId w:val="30"/>
        </w:numPr>
        <w:spacing w:line="360" w:lineRule="auto"/>
        <w:jc w:val="both"/>
        <w:rPr>
          <w:rFonts w:eastAsia="楷体_GB2312"/>
          <w:lang w:eastAsia="zh-CN"/>
        </w:rPr>
      </w:pPr>
      <w:r>
        <w:rPr>
          <w:rFonts w:eastAsia="楷体_GB2312"/>
          <w:lang w:eastAsia="zh-CN"/>
        </w:rPr>
        <w:t>除已取得或作出且现行有效的政府机构的批准、许可、授权、备案、登记、记录或其他手续以外，不需要其他政府机构的批准、许可、授权、备案、登记、记录或其他手续，以确保与初始“基础资产”相关的任何文件的有效性、可执行性或作为证据的可接受性；</w:t>
      </w:r>
    </w:p>
    <w:p w14:paraId="13E0E736">
      <w:pPr>
        <w:tabs>
          <w:tab w:val="left" w:pos="2160"/>
        </w:tabs>
        <w:spacing w:line="360" w:lineRule="auto"/>
        <w:ind w:left="1080"/>
        <w:jc w:val="both"/>
        <w:rPr>
          <w:rFonts w:eastAsia="楷体_GB2312"/>
          <w:lang w:eastAsia="zh-CN"/>
        </w:rPr>
      </w:pPr>
    </w:p>
    <w:p w14:paraId="3612B4D2">
      <w:pPr>
        <w:widowControl w:val="0"/>
        <w:numPr>
          <w:ilvl w:val="0"/>
          <w:numId w:val="30"/>
        </w:numPr>
        <w:tabs>
          <w:tab w:val="clear" w:pos="1333"/>
        </w:tabs>
        <w:spacing w:line="360" w:lineRule="auto"/>
        <w:ind w:left="1418" w:hanging="482"/>
        <w:jc w:val="both"/>
        <w:rPr>
          <w:rFonts w:eastAsia="楷体_GB2312"/>
          <w:lang w:eastAsia="zh-CN"/>
        </w:rPr>
      </w:pPr>
      <w:r>
        <w:rPr>
          <w:rFonts w:eastAsia="楷体_GB2312"/>
          <w:lang w:eastAsia="zh-CN"/>
        </w:rPr>
        <w:t>“个人汽车贷款”由“委托人”在其一般经营过程中，按照其标准贷款程序和所有其他可适用的与贷款业务有关的政策、实践以及程序的要求而发放；</w:t>
      </w:r>
    </w:p>
    <w:p w14:paraId="06AFAA98">
      <w:pPr>
        <w:tabs>
          <w:tab w:val="left" w:pos="2160"/>
        </w:tabs>
        <w:spacing w:line="360" w:lineRule="auto"/>
        <w:ind w:left="1080"/>
        <w:jc w:val="both"/>
        <w:rPr>
          <w:rFonts w:eastAsia="楷体_GB2312"/>
          <w:lang w:eastAsia="zh-CN"/>
        </w:rPr>
      </w:pPr>
    </w:p>
    <w:p w14:paraId="1C303594">
      <w:pPr>
        <w:widowControl w:val="0"/>
        <w:numPr>
          <w:ilvl w:val="0"/>
          <w:numId w:val="30"/>
        </w:numPr>
        <w:tabs>
          <w:tab w:val="clear" w:pos="1333"/>
        </w:tabs>
        <w:spacing w:line="360" w:lineRule="auto"/>
        <w:ind w:left="1418" w:hanging="482"/>
        <w:jc w:val="both"/>
        <w:rPr>
          <w:rFonts w:eastAsia="楷体_GB2312"/>
          <w:lang w:eastAsia="zh-CN"/>
        </w:rPr>
      </w:pPr>
      <w:r>
        <w:rPr>
          <w:rFonts w:eastAsia="楷体_GB2312"/>
          <w:lang w:eastAsia="zh-CN"/>
        </w:rPr>
        <w:t>“个人汽车贷款”的发放、相关“车辆”以及“附属权益”的设定均符合“中国”“法律”的各项要求；</w:t>
      </w:r>
    </w:p>
    <w:p w14:paraId="008436A0">
      <w:pPr>
        <w:pStyle w:val="40"/>
        <w:spacing w:line="360" w:lineRule="auto"/>
        <w:ind w:firstLine="480"/>
        <w:jc w:val="both"/>
        <w:rPr>
          <w:rFonts w:eastAsia="楷体_GB2312"/>
          <w:lang w:eastAsia="zh-CN"/>
        </w:rPr>
      </w:pPr>
    </w:p>
    <w:p w14:paraId="6B305304">
      <w:pPr>
        <w:widowControl w:val="0"/>
        <w:numPr>
          <w:ilvl w:val="0"/>
          <w:numId w:val="30"/>
        </w:numPr>
        <w:tabs>
          <w:tab w:val="clear" w:pos="1333"/>
        </w:tabs>
        <w:spacing w:line="360" w:lineRule="auto"/>
        <w:ind w:left="1418" w:hanging="482"/>
        <w:jc w:val="both"/>
        <w:rPr>
          <w:rFonts w:eastAsia="楷体_GB2312"/>
          <w:lang w:eastAsia="zh-CN"/>
        </w:rPr>
      </w:pPr>
      <w:r>
        <w:rPr>
          <w:rFonts w:eastAsia="楷体_GB2312"/>
          <w:w w:val="0"/>
          <w:lang w:eastAsia="zh-CN"/>
        </w:rPr>
        <w:t>“委托人”将每笔“个人汽车贷款”和每项“附属权益”信托和转让予“受托人”的行为，不会由于任何原因而被禁止或限制</w:t>
      </w:r>
      <w:r>
        <w:rPr>
          <w:rFonts w:eastAsia="楷体_GB2312"/>
          <w:lang w:eastAsia="zh-CN"/>
        </w:rPr>
        <w:t>，且不需要获得“借款人”、“共同借款人”（如有）、“保证人”（如有）或任何其他主体的同意；</w:t>
      </w:r>
    </w:p>
    <w:p w14:paraId="37EDB7D1">
      <w:pPr>
        <w:tabs>
          <w:tab w:val="left" w:pos="2160"/>
        </w:tabs>
        <w:spacing w:line="360" w:lineRule="auto"/>
        <w:ind w:left="1080"/>
        <w:jc w:val="both"/>
        <w:rPr>
          <w:rFonts w:eastAsia="楷体_GB2312"/>
          <w:lang w:eastAsia="zh-CN"/>
        </w:rPr>
      </w:pPr>
    </w:p>
    <w:p w14:paraId="35B19994">
      <w:pPr>
        <w:widowControl w:val="0"/>
        <w:numPr>
          <w:ilvl w:val="0"/>
          <w:numId w:val="30"/>
        </w:numPr>
        <w:tabs>
          <w:tab w:val="clear" w:pos="1333"/>
        </w:tabs>
        <w:spacing w:line="360" w:lineRule="auto"/>
        <w:ind w:left="1418" w:hanging="482"/>
        <w:jc w:val="both"/>
        <w:rPr>
          <w:rFonts w:eastAsia="楷体_GB2312"/>
          <w:lang w:eastAsia="zh-CN"/>
        </w:rPr>
      </w:pPr>
      <w:r>
        <w:rPr>
          <w:rFonts w:eastAsia="楷体_GB2312"/>
          <w:lang w:eastAsia="zh-CN"/>
        </w:rPr>
        <w:t>每笔“个人汽车贷款”是相关“借款人”、“共同借款人”（如有）、“保证人”（如有）合法、有效和有约束力的支付义务，并且可按照“贷款合同”及相关补充协议的条款对该“借款人”、“共同借款人”（如有）、“保证人”（如有）主张权利；</w:t>
      </w:r>
    </w:p>
    <w:p w14:paraId="795D95A2">
      <w:pPr>
        <w:tabs>
          <w:tab w:val="left" w:pos="2160"/>
        </w:tabs>
        <w:spacing w:line="360" w:lineRule="auto"/>
        <w:jc w:val="both"/>
        <w:rPr>
          <w:rFonts w:eastAsia="楷体_GB2312"/>
          <w:lang w:eastAsia="zh-CN"/>
        </w:rPr>
      </w:pPr>
    </w:p>
    <w:p w14:paraId="16426403">
      <w:pPr>
        <w:widowControl w:val="0"/>
        <w:numPr>
          <w:ilvl w:val="0"/>
          <w:numId w:val="30"/>
        </w:numPr>
        <w:tabs>
          <w:tab w:val="clear" w:pos="1333"/>
        </w:tabs>
        <w:spacing w:line="360" w:lineRule="auto"/>
        <w:ind w:left="1418" w:hanging="482"/>
        <w:jc w:val="both"/>
        <w:rPr>
          <w:rFonts w:eastAsia="楷体_GB2312"/>
          <w:lang w:eastAsia="zh-CN"/>
        </w:rPr>
      </w:pPr>
      <w:r>
        <w:rPr>
          <w:rFonts w:eastAsia="楷体_GB2312"/>
          <w:lang w:eastAsia="zh-CN"/>
        </w:rPr>
        <w:t>“委托人”在将初始“基础资产”信托给“受托人”时，除“交易文件”另有约定的以外，“委托人”已经履行了其他应履行的义务；</w:t>
      </w:r>
    </w:p>
    <w:p w14:paraId="0C0379D2">
      <w:pPr>
        <w:tabs>
          <w:tab w:val="left" w:pos="2160"/>
        </w:tabs>
        <w:spacing w:line="360" w:lineRule="auto"/>
        <w:ind w:left="1080"/>
        <w:jc w:val="both"/>
        <w:rPr>
          <w:rFonts w:eastAsia="楷体_GB2312"/>
          <w:lang w:eastAsia="zh-CN"/>
        </w:rPr>
      </w:pPr>
    </w:p>
    <w:p w14:paraId="7C651FA3">
      <w:pPr>
        <w:widowControl w:val="0"/>
        <w:numPr>
          <w:ilvl w:val="0"/>
          <w:numId w:val="30"/>
        </w:numPr>
        <w:tabs>
          <w:tab w:val="clear" w:pos="1333"/>
        </w:tabs>
        <w:spacing w:line="360" w:lineRule="auto"/>
        <w:ind w:left="1418" w:hanging="482"/>
        <w:jc w:val="both"/>
        <w:rPr>
          <w:rFonts w:eastAsia="楷体_GB2312"/>
          <w:lang w:eastAsia="zh-CN"/>
        </w:rPr>
      </w:pPr>
      <w:r>
        <w:rPr>
          <w:rFonts w:eastAsia="楷体_GB2312"/>
          <w:lang w:eastAsia="zh-CN"/>
        </w:rPr>
        <w:t>“信托财产交付日”之前，就每一笔初始“基础资产”而言，“委托人”持有与该笔初始“基础资产”有关的、为初始“基础资产”提供适当有效的服务和执行所必需的各项文件；</w:t>
      </w:r>
    </w:p>
    <w:p w14:paraId="4E7BB2D0">
      <w:pPr>
        <w:spacing w:line="360" w:lineRule="auto"/>
        <w:ind w:left="958"/>
        <w:jc w:val="both"/>
        <w:rPr>
          <w:rFonts w:eastAsia="楷体_GB2312"/>
          <w:lang w:eastAsia="zh-CN"/>
        </w:rPr>
      </w:pPr>
    </w:p>
    <w:p w14:paraId="7A87C67A">
      <w:pPr>
        <w:widowControl w:val="0"/>
        <w:numPr>
          <w:ilvl w:val="0"/>
          <w:numId w:val="30"/>
        </w:numPr>
        <w:tabs>
          <w:tab w:val="clear" w:pos="1333"/>
        </w:tabs>
        <w:spacing w:line="360" w:lineRule="auto"/>
        <w:ind w:left="1418" w:hanging="482"/>
        <w:jc w:val="both"/>
        <w:rPr>
          <w:rFonts w:eastAsia="楷体_GB2312"/>
          <w:lang w:eastAsia="zh-CN"/>
        </w:rPr>
      </w:pPr>
      <w:r>
        <w:rPr>
          <w:rFonts w:eastAsia="楷体_GB2312"/>
          <w:lang w:eastAsia="zh-CN"/>
        </w:rPr>
        <w:t>“委托人”将把其在每笔初始“基础资产”、每项“附属权益”和相关收入中的权利和相关权益有效地信托予“受托人”，并且“委托人”将把与上述权益有关的“账户记录”有效地转让给“受托人”；</w:t>
      </w:r>
    </w:p>
    <w:p w14:paraId="45D62C42">
      <w:pPr>
        <w:tabs>
          <w:tab w:val="left" w:pos="2160"/>
        </w:tabs>
        <w:spacing w:line="360" w:lineRule="auto"/>
        <w:ind w:left="1080"/>
        <w:jc w:val="both"/>
        <w:rPr>
          <w:rFonts w:eastAsia="楷体_GB2312"/>
          <w:lang w:eastAsia="zh-CN"/>
        </w:rPr>
      </w:pPr>
    </w:p>
    <w:p w14:paraId="446CB638">
      <w:pPr>
        <w:widowControl w:val="0"/>
        <w:numPr>
          <w:ilvl w:val="0"/>
          <w:numId w:val="30"/>
        </w:numPr>
        <w:tabs>
          <w:tab w:val="clear" w:pos="1333"/>
        </w:tabs>
        <w:spacing w:line="360" w:lineRule="auto"/>
        <w:ind w:left="1418" w:hanging="482"/>
        <w:jc w:val="both"/>
        <w:rPr>
          <w:rFonts w:eastAsia="楷体_GB2312"/>
          <w:lang w:eastAsia="zh-CN"/>
        </w:rPr>
      </w:pPr>
      <w:r>
        <w:rPr>
          <w:rFonts w:eastAsia="楷体_GB2312"/>
          <w:lang w:eastAsia="zh-CN"/>
        </w:rPr>
        <w:t>“受托人”对每笔初始“基础资产”享有能够对抗所有主体（但相关“借款人”、“共同借款人”（如有）、“保证人”、“保险人”除外）的合法的、有效的、可执行的所有者权益，该权益上未设定任何种类的担保权益或产权负担；为对抗“借款人”、“共同借款人”（如有）、“保险人”（如有）和“保证人”（如有），须根据“交易文件”发出“权利完善通知”；</w:t>
      </w:r>
    </w:p>
    <w:p w14:paraId="19975ECF">
      <w:pPr>
        <w:tabs>
          <w:tab w:val="left" w:pos="2160"/>
        </w:tabs>
        <w:spacing w:line="360" w:lineRule="auto"/>
        <w:ind w:left="1080"/>
        <w:jc w:val="both"/>
        <w:rPr>
          <w:rFonts w:eastAsia="楷体_GB2312"/>
          <w:lang w:eastAsia="zh-CN"/>
        </w:rPr>
      </w:pPr>
    </w:p>
    <w:p w14:paraId="5F1CE438">
      <w:pPr>
        <w:widowControl w:val="0"/>
        <w:numPr>
          <w:ilvl w:val="0"/>
          <w:numId w:val="30"/>
        </w:numPr>
        <w:tabs>
          <w:tab w:val="clear" w:pos="1333"/>
        </w:tabs>
        <w:spacing w:line="360" w:lineRule="auto"/>
        <w:ind w:left="1418" w:hanging="482"/>
        <w:jc w:val="both"/>
        <w:rPr>
          <w:rFonts w:eastAsia="楷体_GB2312"/>
          <w:lang w:eastAsia="zh-CN"/>
        </w:rPr>
      </w:pPr>
      <w:r>
        <w:rPr>
          <w:rFonts w:eastAsia="楷体_GB2312"/>
          <w:lang w:eastAsia="zh-CN"/>
        </w:rPr>
        <w:t>将任何初始“基础资产”设立“信托”时或之前，“委托人”无故意或过失行为损害“受托人”对该初始“基础资产”所享有的合法权利；</w:t>
      </w:r>
    </w:p>
    <w:p w14:paraId="726C1AF2">
      <w:pPr>
        <w:tabs>
          <w:tab w:val="left" w:pos="2160"/>
        </w:tabs>
        <w:spacing w:line="360" w:lineRule="auto"/>
        <w:ind w:left="1080"/>
        <w:jc w:val="both"/>
        <w:rPr>
          <w:rFonts w:eastAsia="楷体_GB2312"/>
          <w:lang w:eastAsia="zh-CN"/>
        </w:rPr>
      </w:pPr>
    </w:p>
    <w:p w14:paraId="3852B79E">
      <w:pPr>
        <w:widowControl w:val="0"/>
        <w:numPr>
          <w:ilvl w:val="0"/>
          <w:numId w:val="30"/>
        </w:numPr>
        <w:tabs>
          <w:tab w:val="clear" w:pos="1333"/>
        </w:tabs>
        <w:spacing w:line="360" w:lineRule="auto"/>
        <w:ind w:left="1418" w:hanging="482"/>
        <w:jc w:val="both"/>
        <w:rPr>
          <w:rFonts w:eastAsia="楷体_GB2312"/>
          <w:lang w:eastAsia="zh-CN"/>
        </w:rPr>
      </w:pPr>
      <w:r>
        <w:rPr>
          <w:rFonts w:eastAsia="楷体_GB2312"/>
          <w:lang w:eastAsia="zh-CN"/>
        </w:rPr>
        <w:t>每笔初始“基础资产”都能够并将始终能够为确认所有权的目的与“委托人”未委托给“受托人”的其他资产相分离；</w:t>
      </w:r>
    </w:p>
    <w:p w14:paraId="585AEC0F">
      <w:pPr>
        <w:pStyle w:val="40"/>
        <w:spacing w:line="360" w:lineRule="auto"/>
        <w:ind w:firstLine="0" w:firstLineChars="0"/>
        <w:jc w:val="both"/>
        <w:rPr>
          <w:rFonts w:eastAsia="楷体_GB2312"/>
          <w:lang w:eastAsia="zh-CN"/>
        </w:rPr>
      </w:pPr>
    </w:p>
    <w:p w14:paraId="331ED61D">
      <w:pPr>
        <w:widowControl w:val="0"/>
        <w:numPr>
          <w:ilvl w:val="0"/>
          <w:numId w:val="30"/>
        </w:numPr>
        <w:tabs>
          <w:tab w:val="clear" w:pos="1333"/>
        </w:tabs>
        <w:spacing w:line="360" w:lineRule="auto"/>
        <w:ind w:left="1418" w:hanging="482"/>
        <w:jc w:val="both"/>
        <w:rPr>
          <w:rFonts w:eastAsia="楷体_GB2312"/>
          <w:lang w:eastAsia="zh-CN"/>
        </w:rPr>
      </w:pPr>
      <w:r>
        <w:rPr>
          <w:rFonts w:eastAsia="楷体_GB2312"/>
          <w:lang w:eastAsia="zh-CN"/>
        </w:rPr>
        <w:t>没有任何一笔初始“基础资产”因要避免拖欠或违约而重新制定还款计划、减少贷款额、重组、重新融资或变更；</w:t>
      </w:r>
    </w:p>
    <w:p w14:paraId="4108E822">
      <w:pPr>
        <w:widowControl w:val="0"/>
        <w:spacing w:line="360" w:lineRule="auto"/>
        <w:ind w:left="1333"/>
        <w:jc w:val="both"/>
        <w:rPr>
          <w:rFonts w:eastAsia="楷体_GB2312"/>
          <w:lang w:eastAsia="zh-CN"/>
        </w:rPr>
      </w:pPr>
    </w:p>
    <w:p w14:paraId="0DBE32C7">
      <w:pPr>
        <w:widowControl w:val="0"/>
        <w:numPr>
          <w:ilvl w:val="0"/>
          <w:numId w:val="30"/>
        </w:numPr>
        <w:tabs>
          <w:tab w:val="clear" w:pos="1333"/>
        </w:tabs>
        <w:spacing w:line="360" w:lineRule="auto"/>
        <w:ind w:left="1418" w:hanging="482"/>
        <w:jc w:val="both"/>
        <w:rPr>
          <w:rFonts w:eastAsia="楷体_GB2312"/>
          <w:lang w:eastAsia="zh-CN"/>
        </w:rPr>
      </w:pPr>
      <w:r>
        <w:rPr>
          <w:rFonts w:eastAsia="楷体_GB2312"/>
          <w:lang w:eastAsia="zh-CN"/>
        </w:rPr>
        <w:t>“委托人”在“信托财产交付日”、“初始起算日”经合理预测，初始“基础资产”对应的现金流量足以支付“信托费用”与预期“信托利益”。</w:t>
      </w:r>
    </w:p>
    <w:p w14:paraId="54AEA846">
      <w:pPr>
        <w:spacing w:line="360" w:lineRule="auto"/>
        <w:jc w:val="both"/>
        <w:rPr>
          <w:rFonts w:eastAsia="楷体_GB2312"/>
          <w:lang w:eastAsia="zh-CN"/>
        </w:rPr>
      </w:pPr>
    </w:p>
    <w:p w14:paraId="4B7A772C">
      <w:pPr>
        <w:widowControl w:val="0"/>
        <w:numPr>
          <w:ilvl w:val="0"/>
          <w:numId w:val="8"/>
        </w:numPr>
        <w:spacing w:line="360" w:lineRule="auto"/>
        <w:jc w:val="both"/>
        <w:outlineLvl w:val="0"/>
        <w:rPr>
          <w:rFonts w:eastAsia="楷体_GB2312"/>
          <w:b/>
          <w:lang w:eastAsia="zh-CN"/>
        </w:rPr>
      </w:pPr>
      <w:bookmarkStart w:id="438" w:name="_Toc75510471"/>
      <w:bookmarkStart w:id="439" w:name="_Toc454484859"/>
      <w:bookmarkStart w:id="440" w:name="_Toc227955286"/>
      <w:bookmarkStart w:id="441" w:name="_Toc207007309"/>
      <w:bookmarkStart w:id="442" w:name="_Toc166105872"/>
      <w:bookmarkStart w:id="443" w:name="_Toc69138589"/>
      <w:r>
        <w:rPr>
          <w:rFonts w:eastAsia="楷体_GB2312"/>
          <w:b/>
          <w:lang w:eastAsia="zh-CN"/>
        </w:rPr>
        <w:t>受托人的权利、义务及陈述与保证</w:t>
      </w:r>
      <w:bookmarkEnd w:id="438"/>
      <w:bookmarkEnd w:id="439"/>
      <w:bookmarkEnd w:id="440"/>
      <w:bookmarkEnd w:id="441"/>
      <w:bookmarkEnd w:id="442"/>
      <w:bookmarkEnd w:id="443"/>
    </w:p>
    <w:p w14:paraId="343AA27C">
      <w:pPr>
        <w:spacing w:line="360" w:lineRule="auto"/>
        <w:ind w:left="480" w:leftChars="200"/>
        <w:jc w:val="both"/>
        <w:rPr>
          <w:rFonts w:eastAsia="楷体_GB2312"/>
          <w:b/>
          <w:color w:val="FF0000"/>
          <w:lang w:eastAsia="zh-CN"/>
        </w:rPr>
      </w:pPr>
      <w:r>
        <w:rPr>
          <w:rFonts w:eastAsia="楷体_GB2312"/>
          <w:b/>
          <w:bCs/>
          <w:i/>
          <w:iCs/>
          <w:color w:val="FF0000"/>
          <w:lang w:eastAsia="zh-CN"/>
        </w:rPr>
        <w:t>【注：受托人的权利、义务、陈述及保证条款可根据项目具体情况进行补充或调整。】</w:t>
      </w:r>
    </w:p>
    <w:p w14:paraId="48783E2C">
      <w:pPr>
        <w:jc w:val="both"/>
        <w:rPr>
          <w:rFonts w:eastAsia="楷体_GB2312"/>
          <w:b/>
          <w:lang w:eastAsia="zh-CN"/>
        </w:rPr>
      </w:pPr>
    </w:p>
    <w:p w14:paraId="47F5F0A1">
      <w:pPr>
        <w:widowControl w:val="0"/>
        <w:numPr>
          <w:ilvl w:val="1"/>
          <w:numId w:val="8"/>
        </w:numPr>
        <w:tabs>
          <w:tab w:val="left" w:pos="900"/>
        </w:tabs>
        <w:spacing w:line="360" w:lineRule="auto"/>
        <w:jc w:val="both"/>
        <w:outlineLvl w:val="1"/>
        <w:rPr>
          <w:rFonts w:eastAsia="楷体_GB2312"/>
          <w:b/>
        </w:rPr>
      </w:pPr>
      <w:r>
        <w:rPr>
          <w:rFonts w:eastAsia="楷体_GB2312"/>
          <w:b/>
        </w:rPr>
        <w:t>受托人的权利</w:t>
      </w:r>
    </w:p>
    <w:p w14:paraId="411D37BD">
      <w:pPr>
        <w:spacing w:line="360" w:lineRule="auto"/>
        <w:ind w:left="1080"/>
        <w:jc w:val="both"/>
        <w:rPr>
          <w:rFonts w:eastAsia="楷体_GB2312"/>
        </w:rPr>
      </w:pPr>
    </w:p>
    <w:p w14:paraId="18F0330A">
      <w:pPr>
        <w:spacing w:line="360" w:lineRule="auto"/>
        <w:ind w:left="958"/>
        <w:jc w:val="both"/>
        <w:rPr>
          <w:rFonts w:eastAsia="楷体_GB2312"/>
          <w:lang w:eastAsia="zh-CN"/>
        </w:rPr>
      </w:pPr>
      <w:r>
        <w:rPr>
          <w:rFonts w:eastAsia="楷体_GB2312"/>
          <w:lang w:eastAsia="zh-CN"/>
        </w:rPr>
        <w:t>“受托人”享有如下权利：</w:t>
      </w:r>
    </w:p>
    <w:p w14:paraId="51E2D741">
      <w:pPr>
        <w:spacing w:line="360" w:lineRule="auto"/>
        <w:jc w:val="both"/>
        <w:rPr>
          <w:rFonts w:eastAsia="楷体_GB2312"/>
          <w:lang w:eastAsia="zh-CN"/>
        </w:rPr>
      </w:pPr>
    </w:p>
    <w:p w14:paraId="0668C38A">
      <w:pPr>
        <w:widowControl w:val="0"/>
        <w:numPr>
          <w:ilvl w:val="0"/>
          <w:numId w:val="31"/>
        </w:numPr>
        <w:spacing w:line="360" w:lineRule="auto"/>
        <w:jc w:val="both"/>
        <w:rPr>
          <w:rFonts w:eastAsia="楷体_GB2312"/>
          <w:lang w:eastAsia="zh-CN"/>
        </w:rPr>
      </w:pPr>
      <w:r>
        <w:rPr>
          <w:rFonts w:eastAsia="楷体_GB2312"/>
          <w:lang w:eastAsia="zh-CN"/>
        </w:rPr>
        <w:t>“受托人”有权发行“资产支持证券”。</w:t>
      </w:r>
    </w:p>
    <w:p w14:paraId="7C224053">
      <w:pPr>
        <w:tabs>
          <w:tab w:val="left" w:pos="2160"/>
        </w:tabs>
        <w:spacing w:line="360" w:lineRule="auto"/>
        <w:ind w:left="1080"/>
        <w:jc w:val="both"/>
        <w:rPr>
          <w:rFonts w:eastAsia="楷体_GB2312"/>
          <w:lang w:eastAsia="zh-CN"/>
        </w:rPr>
      </w:pPr>
    </w:p>
    <w:p w14:paraId="490A9D06">
      <w:pPr>
        <w:widowControl w:val="0"/>
        <w:numPr>
          <w:ilvl w:val="0"/>
          <w:numId w:val="31"/>
        </w:numPr>
        <w:spacing w:line="360" w:lineRule="auto"/>
        <w:jc w:val="both"/>
        <w:rPr>
          <w:rFonts w:eastAsia="楷体_GB2312"/>
          <w:lang w:eastAsia="zh-CN"/>
        </w:rPr>
      </w:pPr>
      <w:r>
        <w:rPr>
          <w:rFonts w:eastAsia="楷体_GB2312"/>
          <w:lang w:eastAsia="zh-CN"/>
        </w:rPr>
        <w:t>“受托人”有权依据本合同的约定获得“服务报酬”。</w:t>
      </w:r>
    </w:p>
    <w:p w14:paraId="3736C62C">
      <w:pPr>
        <w:spacing w:line="360" w:lineRule="auto"/>
        <w:jc w:val="both"/>
        <w:rPr>
          <w:rFonts w:eastAsia="楷体_GB2312"/>
          <w:lang w:eastAsia="zh-CN"/>
        </w:rPr>
      </w:pPr>
    </w:p>
    <w:p w14:paraId="4B5D5B67">
      <w:pPr>
        <w:widowControl w:val="0"/>
        <w:numPr>
          <w:ilvl w:val="0"/>
          <w:numId w:val="31"/>
        </w:numPr>
        <w:spacing w:line="360" w:lineRule="auto"/>
        <w:jc w:val="both"/>
        <w:rPr>
          <w:rFonts w:eastAsia="楷体_GB2312"/>
          <w:lang w:eastAsia="zh-CN"/>
        </w:rPr>
      </w:pPr>
      <w:r>
        <w:rPr>
          <w:rFonts w:eastAsia="楷体_GB2312"/>
          <w:lang w:eastAsia="zh-CN"/>
        </w:rPr>
        <w:t>“受托人”在其认为必要时，有权提议召开“资产支持证券持有人大会”，对涉及信托事务的重大事项进行表决并按照表决结果处理信托事务。</w:t>
      </w:r>
    </w:p>
    <w:p w14:paraId="57885AF4">
      <w:pPr>
        <w:tabs>
          <w:tab w:val="left" w:pos="2160"/>
        </w:tabs>
        <w:spacing w:line="360" w:lineRule="auto"/>
        <w:ind w:left="1080"/>
        <w:jc w:val="both"/>
        <w:rPr>
          <w:rFonts w:eastAsia="楷体_GB2312"/>
          <w:lang w:eastAsia="zh-CN"/>
        </w:rPr>
      </w:pPr>
    </w:p>
    <w:p w14:paraId="251628FF">
      <w:pPr>
        <w:widowControl w:val="0"/>
        <w:numPr>
          <w:ilvl w:val="0"/>
          <w:numId w:val="31"/>
        </w:numPr>
        <w:spacing w:line="360" w:lineRule="auto"/>
        <w:jc w:val="both"/>
        <w:rPr>
          <w:rFonts w:eastAsia="楷体_GB2312"/>
          <w:lang w:eastAsia="zh-CN"/>
        </w:rPr>
      </w:pPr>
      <w:r>
        <w:rPr>
          <w:rFonts w:eastAsia="楷体_GB2312"/>
          <w:lang w:eastAsia="zh-CN"/>
        </w:rPr>
        <w:t>“受托人”依据本合同约定的方式，有权管理、运用、处分本合同约定的“信托财产”。</w:t>
      </w:r>
    </w:p>
    <w:p w14:paraId="5E2F76C2">
      <w:pPr>
        <w:tabs>
          <w:tab w:val="left" w:pos="2160"/>
        </w:tabs>
        <w:spacing w:line="360" w:lineRule="auto"/>
        <w:ind w:left="1080"/>
        <w:jc w:val="both"/>
        <w:rPr>
          <w:rFonts w:eastAsia="楷体_GB2312"/>
          <w:lang w:eastAsia="zh-CN"/>
        </w:rPr>
      </w:pPr>
    </w:p>
    <w:p w14:paraId="5DEBCC30">
      <w:pPr>
        <w:widowControl w:val="0"/>
        <w:numPr>
          <w:ilvl w:val="0"/>
          <w:numId w:val="31"/>
        </w:numPr>
        <w:spacing w:line="360" w:lineRule="auto"/>
        <w:jc w:val="both"/>
        <w:rPr>
          <w:rFonts w:eastAsia="楷体_GB2312"/>
          <w:lang w:eastAsia="zh-CN"/>
        </w:rPr>
      </w:pPr>
      <w:r>
        <w:rPr>
          <w:rFonts w:eastAsia="楷体_GB2312"/>
          <w:lang w:eastAsia="zh-CN"/>
        </w:rPr>
        <w:t>“受托人”在有利于信托目的实现的前提下，有权根据本合同的约定委托“贷款服务机构”</w:t>
      </w:r>
      <w:r>
        <w:rPr>
          <w:rStyle w:val="70"/>
          <w:rFonts w:eastAsia="楷体_GB2312"/>
          <w:color w:val="auto"/>
          <w:w w:val="0"/>
          <w:u w:val="none"/>
          <w:lang w:eastAsia="zh-CN"/>
        </w:rPr>
        <w:t>、“资金保管机构”、“评级机构”、“审计师”等机构</w:t>
      </w:r>
      <w:r>
        <w:rPr>
          <w:rFonts w:eastAsia="楷体_GB2312"/>
          <w:lang w:eastAsia="zh-CN"/>
        </w:rPr>
        <w:t>代为处理相关的信托事务。</w:t>
      </w:r>
    </w:p>
    <w:p w14:paraId="3A0533DD">
      <w:pPr>
        <w:tabs>
          <w:tab w:val="left" w:pos="2160"/>
        </w:tabs>
        <w:spacing w:line="360" w:lineRule="auto"/>
        <w:jc w:val="both"/>
        <w:rPr>
          <w:rFonts w:eastAsia="楷体_GB2312"/>
          <w:b/>
          <w:bCs/>
          <w:lang w:eastAsia="zh-CN"/>
        </w:rPr>
      </w:pPr>
    </w:p>
    <w:p w14:paraId="74A38ABC">
      <w:pPr>
        <w:widowControl w:val="0"/>
        <w:numPr>
          <w:ilvl w:val="0"/>
          <w:numId w:val="31"/>
        </w:numPr>
        <w:spacing w:line="360" w:lineRule="auto"/>
        <w:jc w:val="both"/>
        <w:rPr>
          <w:rFonts w:eastAsia="楷体_GB2312"/>
          <w:lang w:eastAsia="zh-CN"/>
        </w:rPr>
      </w:pPr>
      <w:r>
        <w:rPr>
          <w:rFonts w:eastAsia="楷体_GB2312"/>
          <w:lang w:eastAsia="zh-CN"/>
        </w:rPr>
        <w:t>“受托人”有权</w:t>
      </w:r>
      <w:r>
        <w:rPr>
          <w:rStyle w:val="70"/>
          <w:rFonts w:eastAsia="楷体_GB2312"/>
          <w:color w:val="auto"/>
          <w:w w:val="0"/>
          <w:u w:val="none"/>
          <w:lang w:eastAsia="zh-CN"/>
        </w:rPr>
        <w:t>根据本合同的约定</w:t>
      </w:r>
      <w:r>
        <w:rPr>
          <w:rFonts w:eastAsia="楷体_GB2312"/>
          <w:lang w:eastAsia="zh-CN"/>
        </w:rPr>
        <w:t>委托“登记托管机构”和“支付代理机构”提供“资产支持证券”的登记托管和本息兑付服务。</w:t>
      </w:r>
    </w:p>
    <w:p w14:paraId="410E4C40">
      <w:pPr>
        <w:tabs>
          <w:tab w:val="left" w:pos="2160"/>
        </w:tabs>
        <w:spacing w:line="360" w:lineRule="auto"/>
        <w:ind w:left="1080"/>
        <w:jc w:val="both"/>
        <w:rPr>
          <w:rFonts w:eastAsia="楷体_GB2312"/>
          <w:lang w:eastAsia="zh-CN"/>
        </w:rPr>
      </w:pPr>
    </w:p>
    <w:p w14:paraId="5C901A20">
      <w:pPr>
        <w:widowControl w:val="0"/>
        <w:numPr>
          <w:ilvl w:val="0"/>
          <w:numId w:val="31"/>
        </w:numPr>
        <w:spacing w:line="360" w:lineRule="auto"/>
        <w:jc w:val="both"/>
        <w:rPr>
          <w:rFonts w:eastAsia="楷体_GB2312"/>
          <w:lang w:eastAsia="zh-CN"/>
        </w:rPr>
      </w:pPr>
      <w:r>
        <w:rPr>
          <w:rFonts w:eastAsia="楷体_GB2312"/>
          <w:lang w:eastAsia="zh-CN"/>
        </w:rPr>
        <w:t>“受托人”有权享有“法律”规定和本合同约定的其他与“信托财产”相关的权利。</w:t>
      </w:r>
    </w:p>
    <w:p w14:paraId="1F472687">
      <w:pPr>
        <w:tabs>
          <w:tab w:val="left" w:pos="2160"/>
        </w:tabs>
        <w:spacing w:line="360" w:lineRule="auto"/>
        <w:ind w:left="1080"/>
        <w:jc w:val="both"/>
        <w:rPr>
          <w:rFonts w:eastAsia="楷体_GB2312"/>
          <w:lang w:eastAsia="zh-CN"/>
        </w:rPr>
      </w:pPr>
    </w:p>
    <w:p w14:paraId="079DC7E9">
      <w:pPr>
        <w:widowControl w:val="0"/>
        <w:numPr>
          <w:ilvl w:val="0"/>
          <w:numId w:val="31"/>
        </w:numPr>
        <w:spacing w:line="360" w:lineRule="auto"/>
        <w:jc w:val="both"/>
        <w:rPr>
          <w:rFonts w:eastAsia="楷体_GB2312"/>
          <w:lang w:eastAsia="zh-CN"/>
        </w:rPr>
      </w:pPr>
      <w:r>
        <w:rPr>
          <w:rFonts w:eastAsia="楷体_GB2312"/>
          <w:lang w:eastAsia="zh-CN"/>
        </w:rPr>
        <w:t>“受托人”根据“中国”“法律”的规定和本合同、“《服务合同》”等“交易文件”的约定有权参与和了解初始“基础资产”筛选、确定、证券化方案的制定等“信托”设立前期全部过程，有权获取相关资料和信息。</w:t>
      </w:r>
    </w:p>
    <w:p w14:paraId="4B0AF855">
      <w:pPr>
        <w:widowControl w:val="0"/>
        <w:spacing w:line="360" w:lineRule="auto"/>
        <w:ind w:left="1333"/>
        <w:jc w:val="both"/>
        <w:rPr>
          <w:rFonts w:eastAsia="楷体_GB2312"/>
          <w:b/>
          <w:lang w:eastAsia="zh-CN"/>
        </w:rPr>
      </w:pPr>
    </w:p>
    <w:p w14:paraId="7EE5A1AD">
      <w:pPr>
        <w:widowControl w:val="0"/>
        <w:numPr>
          <w:ilvl w:val="0"/>
          <w:numId w:val="31"/>
        </w:numPr>
        <w:spacing w:line="360" w:lineRule="auto"/>
        <w:jc w:val="both"/>
        <w:rPr>
          <w:rFonts w:eastAsia="楷体_GB2312"/>
          <w:lang w:eastAsia="zh-CN"/>
        </w:rPr>
      </w:pPr>
      <w:r>
        <w:rPr>
          <w:rFonts w:eastAsia="楷体_GB2312"/>
          <w:lang w:eastAsia="zh-CN"/>
        </w:rPr>
        <w:t>“受托人”有权要求“贷款服务机构”、“资金保管机构”及其他相关机构提供关于“信托财产”的信息资料，用于但不限于“信托财产”的一般管理、会计处理及对外信息披露等。</w:t>
      </w:r>
    </w:p>
    <w:p w14:paraId="4A787105">
      <w:pPr>
        <w:tabs>
          <w:tab w:val="left" w:pos="2160"/>
        </w:tabs>
        <w:spacing w:line="360" w:lineRule="auto"/>
        <w:jc w:val="both"/>
        <w:rPr>
          <w:rFonts w:eastAsia="楷体_GB2312"/>
          <w:lang w:eastAsia="zh-CN"/>
        </w:rPr>
      </w:pPr>
    </w:p>
    <w:p w14:paraId="09949A5F">
      <w:pPr>
        <w:widowControl w:val="0"/>
        <w:numPr>
          <w:ilvl w:val="0"/>
          <w:numId w:val="31"/>
        </w:numPr>
        <w:tabs>
          <w:tab w:val="left" w:pos="1560"/>
          <w:tab w:val="clear" w:pos="1333"/>
        </w:tabs>
        <w:spacing w:line="360" w:lineRule="auto"/>
        <w:ind w:left="1418" w:hanging="482"/>
        <w:jc w:val="both"/>
        <w:rPr>
          <w:rFonts w:eastAsia="楷体_GB2312"/>
          <w:lang w:eastAsia="zh-CN"/>
        </w:rPr>
      </w:pPr>
      <w:r>
        <w:rPr>
          <w:rFonts w:eastAsia="楷体_GB2312"/>
          <w:lang w:eastAsia="zh-CN"/>
        </w:rPr>
        <w:t>“受托人”有权要求“贷款服务机构”、“资金保管机构”及其他相关机构配合“受托人”委任的“审计师”进行关于“信托财产”方面的审计工作。</w:t>
      </w:r>
    </w:p>
    <w:p w14:paraId="24F2E1EA">
      <w:pPr>
        <w:tabs>
          <w:tab w:val="left" w:pos="2160"/>
        </w:tabs>
        <w:spacing w:line="360" w:lineRule="auto"/>
        <w:jc w:val="both"/>
        <w:rPr>
          <w:rFonts w:eastAsia="楷体_GB2312"/>
          <w:lang w:eastAsia="zh-CN"/>
        </w:rPr>
      </w:pPr>
    </w:p>
    <w:p w14:paraId="14D198B7">
      <w:pPr>
        <w:widowControl w:val="0"/>
        <w:numPr>
          <w:ilvl w:val="0"/>
          <w:numId w:val="31"/>
        </w:numPr>
        <w:tabs>
          <w:tab w:val="left" w:pos="1560"/>
          <w:tab w:val="clear" w:pos="1333"/>
        </w:tabs>
        <w:spacing w:line="360" w:lineRule="auto"/>
        <w:ind w:left="1418" w:hanging="482"/>
        <w:jc w:val="both"/>
        <w:rPr>
          <w:rFonts w:eastAsia="楷体_GB2312"/>
          <w:lang w:eastAsia="zh-CN"/>
        </w:rPr>
      </w:pPr>
      <w:r>
        <w:rPr>
          <w:rFonts w:eastAsia="楷体_GB2312"/>
          <w:lang w:eastAsia="zh-CN"/>
        </w:rPr>
        <w:t>“受托人”有权要求“贷款服务机构”、“资金保管机构”及其他相关机构配合“受托人”委任的“评级机构”进行关于“优先级资产支持证券”的持续跟踪评级工作。</w:t>
      </w:r>
    </w:p>
    <w:p w14:paraId="47DC5BA1">
      <w:pPr>
        <w:tabs>
          <w:tab w:val="left" w:pos="2160"/>
        </w:tabs>
        <w:spacing w:line="360" w:lineRule="auto"/>
        <w:jc w:val="both"/>
        <w:rPr>
          <w:rFonts w:eastAsia="楷体_GB2312"/>
          <w:lang w:eastAsia="zh-CN"/>
        </w:rPr>
      </w:pPr>
    </w:p>
    <w:p w14:paraId="6BB3FD56">
      <w:pPr>
        <w:widowControl w:val="0"/>
        <w:numPr>
          <w:ilvl w:val="0"/>
          <w:numId w:val="31"/>
        </w:numPr>
        <w:tabs>
          <w:tab w:val="left" w:pos="1560"/>
          <w:tab w:val="clear" w:pos="1333"/>
        </w:tabs>
        <w:spacing w:line="360" w:lineRule="auto"/>
        <w:ind w:left="1418" w:hanging="482"/>
        <w:jc w:val="both"/>
        <w:rPr>
          <w:rFonts w:eastAsia="楷体_GB2312"/>
          <w:lang w:eastAsia="zh-CN"/>
        </w:rPr>
      </w:pPr>
      <w:r>
        <w:rPr>
          <w:rFonts w:eastAsia="楷体_GB2312"/>
          <w:lang w:eastAsia="zh-CN"/>
        </w:rPr>
        <w:t>“受托人”应当自己处理信托事务，但本合同另有约定或者有不得已事由的，“受托人”可以委托他人代为处理。</w:t>
      </w:r>
    </w:p>
    <w:p w14:paraId="730AC1E0">
      <w:pPr>
        <w:tabs>
          <w:tab w:val="left" w:pos="2160"/>
        </w:tabs>
        <w:spacing w:line="360" w:lineRule="auto"/>
        <w:jc w:val="both"/>
        <w:rPr>
          <w:rFonts w:eastAsia="楷体_GB2312"/>
          <w:lang w:eastAsia="zh-CN"/>
        </w:rPr>
      </w:pPr>
    </w:p>
    <w:p w14:paraId="7EBCB578">
      <w:pPr>
        <w:widowControl w:val="0"/>
        <w:numPr>
          <w:ilvl w:val="0"/>
          <w:numId w:val="31"/>
        </w:numPr>
        <w:tabs>
          <w:tab w:val="left" w:pos="1560"/>
          <w:tab w:val="clear" w:pos="1333"/>
        </w:tabs>
        <w:spacing w:line="360" w:lineRule="auto"/>
        <w:ind w:left="1418" w:hanging="482"/>
        <w:jc w:val="both"/>
        <w:rPr>
          <w:rFonts w:eastAsia="楷体_GB2312"/>
          <w:lang w:eastAsia="zh-CN"/>
        </w:rPr>
      </w:pPr>
      <w:r>
        <w:rPr>
          <w:rFonts w:eastAsia="楷体_GB2312"/>
          <w:lang w:eastAsia="zh-CN"/>
        </w:rPr>
        <w:t>“受托人”因处理信托事务所支出的费用、对第三人所负债务，以“信托财产”承担。“受托人”以其固有财产垫付的，就垫付的金额，按照本合同的约定由“信托财产”予以偿还。</w:t>
      </w:r>
    </w:p>
    <w:p w14:paraId="288AA99E">
      <w:pPr>
        <w:spacing w:line="360" w:lineRule="auto"/>
        <w:jc w:val="both"/>
        <w:rPr>
          <w:rFonts w:eastAsia="楷体_GB2312"/>
          <w:lang w:eastAsia="zh-CN"/>
        </w:rPr>
      </w:pPr>
    </w:p>
    <w:p w14:paraId="6A99D0F6">
      <w:pPr>
        <w:widowControl w:val="0"/>
        <w:numPr>
          <w:ilvl w:val="0"/>
          <w:numId w:val="31"/>
        </w:numPr>
        <w:tabs>
          <w:tab w:val="left" w:pos="1560"/>
          <w:tab w:val="clear" w:pos="1333"/>
        </w:tabs>
        <w:spacing w:line="360" w:lineRule="auto"/>
        <w:ind w:left="1418" w:hanging="482"/>
        <w:jc w:val="both"/>
        <w:rPr>
          <w:rFonts w:eastAsia="楷体_GB2312"/>
          <w:lang w:eastAsia="zh-CN"/>
        </w:rPr>
      </w:pPr>
      <w:r>
        <w:rPr>
          <w:rFonts w:eastAsia="楷体_GB2312"/>
          <w:lang w:eastAsia="zh-CN"/>
        </w:rPr>
        <w:t>“中国”“法律”规定以及本合同约定的其他权利。</w:t>
      </w:r>
    </w:p>
    <w:p w14:paraId="29F260E9">
      <w:pPr>
        <w:tabs>
          <w:tab w:val="left" w:pos="2160"/>
        </w:tabs>
        <w:spacing w:line="360" w:lineRule="auto"/>
        <w:jc w:val="both"/>
        <w:rPr>
          <w:rFonts w:eastAsia="楷体_GB2312"/>
          <w:lang w:eastAsia="zh-CN"/>
        </w:rPr>
      </w:pPr>
    </w:p>
    <w:p w14:paraId="527C8191">
      <w:pPr>
        <w:widowControl w:val="0"/>
        <w:numPr>
          <w:ilvl w:val="1"/>
          <w:numId w:val="8"/>
        </w:numPr>
        <w:tabs>
          <w:tab w:val="left" w:pos="900"/>
        </w:tabs>
        <w:spacing w:line="360" w:lineRule="auto"/>
        <w:jc w:val="both"/>
        <w:outlineLvl w:val="1"/>
        <w:rPr>
          <w:rFonts w:eastAsia="楷体_GB2312"/>
          <w:b/>
        </w:rPr>
      </w:pPr>
      <w:r>
        <w:rPr>
          <w:rFonts w:eastAsia="楷体_GB2312"/>
          <w:b/>
        </w:rPr>
        <w:t>受托人的义务</w:t>
      </w:r>
    </w:p>
    <w:p w14:paraId="0D8376FD">
      <w:pPr>
        <w:spacing w:line="360" w:lineRule="auto"/>
        <w:ind w:left="1080"/>
        <w:jc w:val="both"/>
        <w:rPr>
          <w:rFonts w:eastAsia="楷体_GB2312"/>
        </w:rPr>
      </w:pPr>
    </w:p>
    <w:p w14:paraId="07787D30">
      <w:pPr>
        <w:spacing w:line="360" w:lineRule="auto"/>
        <w:ind w:left="840"/>
        <w:jc w:val="both"/>
        <w:rPr>
          <w:rFonts w:eastAsia="楷体_GB2312"/>
          <w:lang w:eastAsia="zh-CN"/>
        </w:rPr>
      </w:pPr>
      <w:r>
        <w:rPr>
          <w:rFonts w:eastAsia="楷体_GB2312"/>
          <w:lang w:eastAsia="zh-CN"/>
        </w:rPr>
        <w:t>“受托人”负有如下义务：</w:t>
      </w:r>
    </w:p>
    <w:p w14:paraId="34675389">
      <w:pPr>
        <w:widowControl w:val="0"/>
        <w:numPr>
          <w:ilvl w:val="255"/>
          <w:numId w:val="0"/>
        </w:numPr>
        <w:spacing w:line="360" w:lineRule="auto"/>
        <w:jc w:val="both"/>
        <w:rPr>
          <w:rFonts w:eastAsia="楷体_GB2312"/>
          <w:lang w:eastAsia="zh-CN"/>
        </w:rPr>
      </w:pPr>
    </w:p>
    <w:p w14:paraId="7AFC71FA">
      <w:pPr>
        <w:widowControl w:val="0"/>
        <w:numPr>
          <w:ilvl w:val="0"/>
          <w:numId w:val="32"/>
        </w:numPr>
        <w:spacing w:line="360" w:lineRule="auto"/>
        <w:jc w:val="both"/>
        <w:rPr>
          <w:rFonts w:eastAsia="楷体_GB2312"/>
          <w:lang w:eastAsia="zh-CN"/>
        </w:rPr>
      </w:pPr>
      <w:r>
        <w:rPr>
          <w:rFonts w:eastAsia="楷体_GB2312"/>
          <w:lang w:eastAsia="zh-CN"/>
        </w:rPr>
        <w:t>“受托人”将按照本合同约定将“资产支持证券募集资金净额”支付给“委托人”。</w:t>
      </w:r>
    </w:p>
    <w:p w14:paraId="41AD8166">
      <w:pPr>
        <w:tabs>
          <w:tab w:val="left" w:pos="2160"/>
        </w:tabs>
        <w:spacing w:line="360" w:lineRule="auto"/>
        <w:ind w:left="1080"/>
        <w:jc w:val="both"/>
        <w:rPr>
          <w:rFonts w:eastAsia="楷体_GB2312"/>
          <w:lang w:eastAsia="zh-CN"/>
        </w:rPr>
      </w:pPr>
    </w:p>
    <w:p w14:paraId="384A1061">
      <w:pPr>
        <w:widowControl w:val="0"/>
        <w:numPr>
          <w:ilvl w:val="0"/>
          <w:numId w:val="32"/>
        </w:numPr>
        <w:spacing w:line="360" w:lineRule="auto"/>
        <w:jc w:val="both"/>
        <w:rPr>
          <w:rFonts w:eastAsia="楷体_GB2312"/>
          <w:lang w:eastAsia="zh-CN"/>
        </w:rPr>
      </w:pPr>
      <w:r>
        <w:rPr>
          <w:rFonts w:eastAsia="楷体_GB2312"/>
          <w:lang w:eastAsia="zh-CN"/>
        </w:rPr>
        <w:t>根据本合同的约定，“受托人”应妥善保存“资产支持证券持有人”名单。</w:t>
      </w:r>
    </w:p>
    <w:p w14:paraId="0C63296A">
      <w:pPr>
        <w:tabs>
          <w:tab w:val="left" w:pos="2160"/>
        </w:tabs>
        <w:spacing w:line="360" w:lineRule="auto"/>
        <w:ind w:left="1080"/>
        <w:jc w:val="both"/>
        <w:rPr>
          <w:rFonts w:eastAsia="楷体_GB2312"/>
          <w:lang w:eastAsia="zh-CN"/>
        </w:rPr>
      </w:pPr>
    </w:p>
    <w:p w14:paraId="5338889F">
      <w:pPr>
        <w:widowControl w:val="0"/>
        <w:numPr>
          <w:ilvl w:val="0"/>
          <w:numId w:val="32"/>
        </w:numPr>
        <w:spacing w:line="360" w:lineRule="auto"/>
        <w:jc w:val="both"/>
        <w:rPr>
          <w:rFonts w:eastAsia="楷体_GB2312"/>
          <w:lang w:eastAsia="zh-CN"/>
        </w:rPr>
      </w:pPr>
      <w:r>
        <w:rPr>
          <w:rFonts w:eastAsia="楷体_GB2312"/>
          <w:lang w:eastAsia="zh-CN"/>
        </w:rPr>
        <w:t>“受托人”应根据有关规定，对“信托”进行会计核算和报告。</w:t>
      </w:r>
    </w:p>
    <w:p w14:paraId="3ADE0FAF">
      <w:pPr>
        <w:widowControl w:val="0"/>
        <w:spacing w:line="360" w:lineRule="auto"/>
        <w:ind w:left="958"/>
        <w:jc w:val="both"/>
        <w:rPr>
          <w:rFonts w:eastAsia="楷体_GB2312"/>
          <w:lang w:eastAsia="zh-CN"/>
        </w:rPr>
      </w:pPr>
    </w:p>
    <w:p w14:paraId="740C70D5">
      <w:pPr>
        <w:widowControl w:val="0"/>
        <w:numPr>
          <w:ilvl w:val="0"/>
          <w:numId w:val="32"/>
        </w:numPr>
        <w:spacing w:line="360" w:lineRule="auto"/>
        <w:jc w:val="both"/>
        <w:rPr>
          <w:rFonts w:eastAsia="楷体_GB2312"/>
          <w:lang w:eastAsia="zh-CN"/>
        </w:rPr>
      </w:pPr>
      <w:r>
        <w:rPr>
          <w:rFonts w:eastAsia="楷体_GB2312"/>
          <w:lang w:eastAsia="zh-CN"/>
        </w:rPr>
        <w:t>“受托人”应聘请“【评级机构2简称】”对“优先级资产支持证券”进行初级评级及跟踪评级。“【评级机构2简称】”的初始评级及跟踪评级报酬由“信托财产”承担。</w:t>
      </w:r>
    </w:p>
    <w:p w14:paraId="1C51876E">
      <w:pPr>
        <w:tabs>
          <w:tab w:val="left" w:pos="2160"/>
        </w:tabs>
        <w:spacing w:line="360" w:lineRule="auto"/>
        <w:ind w:left="1080"/>
        <w:jc w:val="both"/>
        <w:rPr>
          <w:rFonts w:eastAsia="楷体_GB2312"/>
          <w:lang w:eastAsia="zh-CN"/>
        </w:rPr>
      </w:pPr>
    </w:p>
    <w:p w14:paraId="7EC537BC">
      <w:pPr>
        <w:widowControl w:val="0"/>
        <w:numPr>
          <w:ilvl w:val="0"/>
          <w:numId w:val="32"/>
        </w:numPr>
        <w:spacing w:line="360" w:lineRule="auto"/>
        <w:jc w:val="both"/>
        <w:rPr>
          <w:rFonts w:eastAsia="楷体_GB2312"/>
          <w:lang w:eastAsia="zh-CN"/>
        </w:rPr>
      </w:pPr>
      <w:r>
        <w:rPr>
          <w:rFonts w:eastAsia="楷体_GB2312"/>
          <w:lang w:eastAsia="zh-CN"/>
        </w:rPr>
        <w:t>“受托人”应委托有资质的商业银行担任“信托财产”“资金保管机构”，并依照本合同分别委托其他有业务资格的机构履行“基础资产”管理等其他受托职责。</w:t>
      </w:r>
    </w:p>
    <w:p w14:paraId="6EF83103">
      <w:pPr>
        <w:tabs>
          <w:tab w:val="left" w:pos="2160"/>
        </w:tabs>
        <w:spacing w:line="360" w:lineRule="auto"/>
        <w:ind w:left="1080"/>
        <w:jc w:val="both"/>
        <w:rPr>
          <w:rFonts w:eastAsia="楷体_GB2312"/>
          <w:lang w:eastAsia="zh-CN"/>
        </w:rPr>
      </w:pPr>
    </w:p>
    <w:p w14:paraId="427D3AE6">
      <w:pPr>
        <w:widowControl w:val="0"/>
        <w:numPr>
          <w:ilvl w:val="0"/>
          <w:numId w:val="32"/>
        </w:numPr>
        <w:spacing w:line="360" w:lineRule="auto"/>
        <w:jc w:val="both"/>
        <w:rPr>
          <w:rFonts w:eastAsia="楷体_GB2312"/>
          <w:lang w:eastAsia="zh-CN"/>
        </w:rPr>
      </w:pPr>
      <w:r>
        <w:rPr>
          <w:rFonts w:eastAsia="楷体_GB2312"/>
          <w:lang w:eastAsia="zh-CN"/>
        </w:rPr>
        <w:t>除本合同或其他“交易文件”另有约定属于“贷款服务机构”处理的“资产池”管理或“资金保管机构”处理的信托资金保管职责范围的事务外，“受托人”应亲自处理信托事务，非经本合同约定或“资产支持证券持有人大会”的同意，不得变更本合同项下所确定的“贷款服务机构”、“资金保管机构”。</w:t>
      </w:r>
    </w:p>
    <w:p w14:paraId="5949584E">
      <w:pPr>
        <w:tabs>
          <w:tab w:val="left" w:pos="2160"/>
        </w:tabs>
        <w:spacing w:line="360" w:lineRule="auto"/>
        <w:ind w:left="1080"/>
        <w:jc w:val="both"/>
        <w:rPr>
          <w:rFonts w:eastAsia="楷体_GB2312"/>
          <w:lang w:eastAsia="zh-CN"/>
        </w:rPr>
      </w:pPr>
    </w:p>
    <w:p w14:paraId="6DCD7E80">
      <w:pPr>
        <w:widowControl w:val="0"/>
        <w:numPr>
          <w:ilvl w:val="0"/>
          <w:numId w:val="32"/>
        </w:numPr>
        <w:spacing w:line="360" w:lineRule="auto"/>
        <w:jc w:val="both"/>
        <w:rPr>
          <w:rFonts w:eastAsia="楷体_GB2312"/>
          <w:lang w:eastAsia="zh-CN"/>
        </w:rPr>
      </w:pPr>
      <w:r>
        <w:rPr>
          <w:rFonts w:eastAsia="楷体_GB2312"/>
          <w:lang w:eastAsia="zh-CN"/>
        </w:rPr>
        <w:t>“受托人”从事信托活动，应当遵守“中国”“法律”规定和本合同的约定，不得损害国家利益、社会公众利益和他人的合法权益。</w:t>
      </w:r>
    </w:p>
    <w:p w14:paraId="7F7AF05A">
      <w:pPr>
        <w:tabs>
          <w:tab w:val="left" w:pos="2160"/>
        </w:tabs>
        <w:spacing w:line="360" w:lineRule="auto"/>
        <w:ind w:left="1080"/>
        <w:jc w:val="both"/>
        <w:rPr>
          <w:rFonts w:eastAsia="楷体_GB2312"/>
          <w:lang w:eastAsia="zh-CN"/>
        </w:rPr>
      </w:pPr>
    </w:p>
    <w:p w14:paraId="2A63B6A4">
      <w:pPr>
        <w:widowControl w:val="0"/>
        <w:numPr>
          <w:ilvl w:val="0"/>
          <w:numId w:val="32"/>
        </w:numPr>
        <w:spacing w:line="360" w:lineRule="auto"/>
        <w:jc w:val="both"/>
        <w:rPr>
          <w:rFonts w:eastAsia="楷体_GB2312"/>
          <w:lang w:eastAsia="zh-CN"/>
        </w:rPr>
      </w:pPr>
      <w:r>
        <w:rPr>
          <w:rFonts w:eastAsia="楷体_GB2312"/>
          <w:lang w:eastAsia="zh-CN"/>
        </w:rPr>
        <w:t>“受托人”管理、处分“信托财产”所产生的债权，不得与“受托人”固有财产产生的债务相抵销；“受托人”管理、处分不同信托的信托财产所产生的债权债务，不得相互抵销。</w:t>
      </w:r>
    </w:p>
    <w:p w14:paraId="4E62747D">
      <w:pPr>
        <w:tabs>
          <w:tab w:val="left" w:pos="2160"/>
        </w:tabs>
        <w:spacing w:line="360" w:lineRule="auto"/>
        <w:ind w:left="1080"/>
        <w:jc w:val="both"/>
        <w:rPr>
          <w:rFonts w:eastAsia="楷体_GB2312"/>
          <w:lang w:eastAsia="zh-CN"/>
        </w:rPr>
      </w:pPr>
    </w:p>
    <w:p w14:paraId="321BC11E">
      <w:pPr>
        <w:widowControl w:val="0"/>
        <w:numPr>
          <w:ilvl w:val="0"/>
          <w:numId w:val="32"/>
        </w:numPr>
        <w:spacing w:line="360" w:lineRule="auto"/>
        <w:jc w:val="both"/>
        <w:rPr>
          <w:rFonts w:eastAsia="楷体_GB2312"/>
          <w:lang w:eastAsia="zh-CN"/>
        </w:rPr>
      </w:pPr>
      <w:r>
        <w:rPr>
          <w:rFonts w:eastAsia="楷体_GB2312"/>
          <w:lang w:eastAsia="zh-CN"/>
        </w:rPr>
        <w:t>“受托人”在管理、处分“信托财产”时，不得违反信托目的或者违背管理职责。因“受托人”违背管理职责或处理信托事务不当，</w:t>
      </w:r>
      <w:r>
        <w:rPr>
          <w:rStyle w:val="70"/>
          <w:rFonts w:eastAsia="楷体_GB2312"/>
          <w:color w:val="auto"/>
          <w:w w:val="0"/>
          <w:u w:val="none"/>
          <w:lang w:eastAsia="zh-CN"/>
        </w:rPr>
        <w:t>导致“信托财产”损失的，“受托人”以其固有财产承担赔偿责任；因“受托人”违背管理职责或处理信托事务不当而</w:t>
      </w:r>
      <w:r>
        <w:rPr>
          <w:rFonts w:eastAsia="楷体_GB2312"/>
          <w:lang w:eastAsia="zh-CN"/>
        </w:rPr>
        <w:t>对第三人所负债务应当以固有财产承担。</w:t>
      </w:r>
    </w:p>
    <w:p w14:paraId="6DCC7057">
      <w:pPr>
        <w:tabs>
          <w:tab w:val="left" w:pos="2160"/>
        </w:tabs>
        <w:spacing w:line="360" w:lineRule="auto"/>
        <w:ind w:left="1080"/>
        <w:jc w:val="both"/>
        <w:rPr>
          <w:rFonts w:eastAsia="楷体_GB2312"/>
          <w:lang w:eastAsia="zh-CN"/>
        </w:rPr>
      </w:pPr>
    </w:p>
    <w:p w14:paraId="56FEAEA4">
      <w:pPr>
        <w:widowControl w:val="0"/>
        <w:numPr>
          <w:ilvl w:val="0"/>
          <w:numId w:val="32"/>
        </w:numPr>
        <w:tabs>
          <w:tab w:val="left" w:pos="1418"/>
          <w:tab w:val="clear" w:pos="1333"/>
        </w:tabs>
        <w:spacing w:line="360" w:lineRule="auto"/>
        <w:ind w:left="1418" w:hanging="482"/>
        <w:jc w:val="both"/>
        <w:rPr>
          <w:rFonts w:eastAsia="楷体_GB2312"/>
          <w:lang w:eastAsia="zh-CN"/>
        </w:rPr>
      </w:pPr>
      <w:r>
        <w:rPr>
          <w:rFonts w:eastAsia="楷体_GB2312"/>
          <w:lang w:eastAsia="zh-CN"/>
        </w:rPr>
        <w:t>“受托人”应当遵守本合同的约定，本着忠实于“受益人”最大利益的原则处理信托事务；“受托人”管理“信托财产”，必须恪尽职守，履行诚实、信用、谨慎管理的义务。</w:t>
      </w:r>
    </w:p>
    <w:p w14:paraId="037EBF4B">
      <w:pPr>
        <w:tabs>
          <w:tab w:val="left" w:pos="2160"/>
        </w:tabs>
        <w:spacing w:line="360" w:lineRule="auto"/>
        <w:ind w:left="1080"/>
        <w:jc w:val="both"/>
        <w:rPr>
          <w:rFonts w:eastAsia="楷体_GB2312"/>
          <w:lang w:eastAsia="zh-CN"/>
        </w:rPr>
      </w:pPr>
    </w:p>
    <w:p w14:paraId="307D616F">
      <w:pPr>
        <w:widowControl w:val="0"/>
        <w:numPr>
          <w:ilvl w:val="0"/>
          <w:numId w:val="32"/>
        </w:numPr>
        <w:tabs>
          <w:tab w:val="left" w:pos="1418"/>
          <w:tab w:val="clear" w:pos="1333"/>
        </w:tabs>
        <w:spacing w:line="360" w:lineRule="auto"/>
        <w:ind w:left="1418" w:hanging="482"/>
        <w:jc w:val="both"/>
        <w:rPr>
          <w:rFonts w:eastAsia="楷体_GB2312"/>
          <w:lang w:eastAsia="zh-CN"/>
        </w:rPr>
      </w:pPr>
      <w:r>
        <w:rPr>
          <w:rFonts w:eastAsia="楷体_GB2312"/>
          <w:lang w:eastAsia="zh-CN"/>
        </w:rPr>
        <w:t>“受托人”不得将“信托财产”转为其固有财产；“受托人”将“信托财产”转为其固有财产的，必须恢复该“信托财产”的原状；造成“信托财产”损失的，应当承担赔偿责任。</w:t>
      </w:r>
    </w:p>
    <w:p w14:paraId="550FBA36">
      <w:pPr>
        <w:spacing w:line="360" w:lineRule="auto"/>
        <w:ind w:left="958"/>
        <w:jc w:val="both"/>
        <w:rPr>
          <w:rFonts w:eastAsia="楷体_GB2312"/>
          <w:lang w:eastAsia="zh-CN"/>
        </w:rPr>
      </w:pPr>
    </w:p>
    <w:p w14:paraId="5767901E">
      <w:pPr>
        <w:widowControl w:val="0"/>
        <w:numPr>
          <w:ilvl w:val="0"/>
          <w:numId w:val="32"/>
        </w:numPr>
        <w:tabs>
          <w:tab w:val="left" w:pos="1418"/>
          <w:tab w:val="clear" w:pos="1333"/>
        </w:tabs>
        <w:spacing w:line="360" w:lineRule="auto"/>
        <w:ind w:left="1418" w:hanging="482"/>
        <w:jc w:val="both"/>
        <w:rPr>
          <w:rFonts w:eastAsia="楷体_GB2312"/>
          <w:lang w:eastAsia="zh-CN"/>
        </w:rPr>
      </w:pPr>
      <w:r>
        <w:rPr>
          <w:rFonts w:eastAsia="楷体_GB2312"/>
          <w:lang w:eastAsia="zh-CN"/>
        </w:rPr>
        <w:t>“受托人”除依照本合同的约定取得“服务报酬”外，不得利用“信托财产”为自己谋取利益，“受托人”利用“信托财产”为自己谋取利益的，所得利益归入“信托财产”。</w:t>
      </w:r>
    </w:p>
    <w:p w14:paraId="3B10BB52">
      <w:pPr>
        <w:tabs>
          <w:tab w:val="left" w:pos="2160"/>
        </w:tabs>
        <w:spacing w:line="360" w:lineRule="auto"/>
        <w:ind w:left="1080"/>
        <w:jc w:val="both"/>
        <w:rPr>
          <w:rFonts w:eastAsia="楷体_GB2312"/>
          <w:lang w:eastAsia="zh-CN"/>
        </w:rPr>
      </w:pPr>
    </w:p>
    <w:p w14:paraId="0BEF0C43">
      <w:pPr>
        <w:widowControl w:val="0"/>
        <w:numPr>
          <w:ilvl w:val="0"/>
          <w:numId w:val="32"/>
        </w:numPr>
        <w:tabs>
          <w:tab w:val="left" w:pos="1418"/>
          <w:tab w:val="clear" w:pos="1333"/>
        </w:tabs>
        <w:spacing w:line="360" w:lineRule="auto"/>
        <w:ind w:left="1418" w:hanging="482"/>
        <w:jc w:val="both"/>
        <w:rPr>
          <w:rFonts w:eastAsia="楷体_GB2312"/>
          <w:lang w:eastAsia="zh-CN"/>
        </w:rPr>
      </w:pPr>
      <w:r>
        <w:rPr>
          <w:rFonts w:eastAsia="楷体_GB2312"/>
          <w:lang w:eastAsia="zh-CN"/>
        </w:rPr>
        <w:t>除非在“违约事件”发生后或取得“资产支持证券持有人大会”的批准并通知“评级机构”，不得出售、转让全部或部分“信托财产”（根据本合同第</w:t>
      </w:r>
      <w:r>
        <w:rPr>
          <w:rFonts w:eastAsia="楷体_GB2312"/>
        </w:rPr>
        <w:fldChar w:fldCharType="begin"/>
      </w:r>
      <w:r>
        <w:rPr>
          <w:rFonts w:eastAsia="楷体_GB2312"/>
          <w:lang w:eastAsia="zh-CN"/>
        </w:rPr>
        <w:instrText xml:space="preserve"> REF _Ref332299735 \r \h  \* MERGEFORMAT </w:instrText>
      </w:r>
      <w:r>
        <w:rPr>
          <w:rFonts w:eastAsia="楷体_GB2312"/>
        </w:rPr>
        <w:fldChar w:fldCharType="separate"/>
      </w:r>
      <w:r>
        <w:rPr>
          <w:rFonts w:eastAsia="楷体_GB2312"/>
          <w:lang w:eastAsia="zh-CN"/>
        </w:rPr>
        <w:t>4</w:t>
      </w:r>
      <w:r>
        <w:rPr>
          <w:rFonts w:eastAsia="楷体_GB2312"/>
        </w:rPr>
        <w:fldChar w:fldCharType="end"/>
      </w:r>
      <w:r>
        <w:rPr>
          <w:rFonts w:eastAsia="楷体_GB2312"/>
          <w:lang w:eastAsia="zh-CN"/>
        </w:rPr>
        <w:t>条和第</w:t>
      </w:r>
      <w:r>
        <w:rPr>
          <w:rFonts w:eastAsia="楷体_GB2312"/>
        </w:rPr>
        <w:fldChar w:fldCharType="begin"/>
      </w:r>
      <w:r>
        <w:rPr>
          <w:rFonts w:eastAsia="楷体_GB2312"/>
          <w:lang w:eastAsia="zh-CN"/>
        </w:rPr>
        <w:instrText xml:space="preserve"> REF _Ref201647090 \r \h  \* MERGEFORMAT </w:instrText>
      </w:r>
      <w:r>
        <w:rPr>
          <w:rFonts w:eastAsia="楷体_GB2312"/>
        </w:rPr>
        <w:fldChar w:fldCharType="separate"/>
      </w:r>
      <w:r>
        <w:rPr>
          <w:rFonts w:eastAsia="楷体_GB2312"/>
          <w:lang w:eastAsia="zh-CN"/>
        </w:rPr>
        <w:t>5</w:t>
      </w:r>
      <w:r>
        <w:rPr>
          <w:rFonts w:eastAsia="楷体_GB2312"/>
        </w:rPr>
        <w:fldChar w:fldCharType="end"/>
      </w:r>
      <w:r>
        <w:rPr>
          <w:rFonts w:eastAsia="楷体_GB2312"/>
          <w:lang w:eastAsia="zh-CN"/>
        </w:rPr>
        <w:t>条要求“委托人”赎回“不合格资产”和接受“委托人”“清仓回购”的除外）。</w:t>
      </w:r>
    </w:p>
    <w:p w14:paraId="6CB62727">
      <w:pPr>
        <w:tabs>
          <w:tab w:val="left" w:pos="2160"/>
        </w:tabs>
        <w:spacing w:line="360" w:lineRule="auto"/>
        <w:ind w:left="1080"/>
        <w:jc w:val="both"/>
        <w:rPr>
          <w:rFonts w:eastAsia="楷体_GB2312"/>
          <w:lang w:eastAsia="zh-CN"/>
        </w:rPr>
      </w:pPr>
    </w:p>
    <w:p w14:paraId="2308E194">
      <w:pPr>
        <w:widowControl w:val="0"/>
        <w:numPr>
          <w:ilvl w:val="0"/>
          <w:numId w:val="32"/>
        </w:numPr>
        <w:tabs>
          <w:tab w:val="left" w:pos="1418"/>
          <w:tab w:val="clear" w:pos="1333"/>
        </w:tabs>
        <w:spacing w:line="360" w:lineRule="auto"/>
        <w:ind w:left="1418" w:hanging="482"/>
        <w:jc w:val="both"/>
        <w:rPr>
          <w:rFonts w:eastAsia="楷体_GB2312"/>
          <w:lang w:eastAsia="zh-CN"/>
        </w:rPr>
      </w:pPr>
      <w:r>
        <w:rPr>
          <w:rFonts w:eastAsia="楷体_GB2312"/>
          <w:lang w:eastAsia="zh-CN"/>
        </w:rPr>
        <w:t>除非在“信托终止日”后取得“资产支持证券持有人大会”的批准并通知“评级机构”，并且以公平的市场价格进行交易，“受托人”不得将其固有财产与“信托财产”进行交易或者将不同信托的信托财产与本合同项下的“信托财产”相互交易。</w:t>
      </w:r>
    </w:p>
    <w:p w14:paraId="26C2BF83">
      <w:pPr>
        <w:tabs>
          <w:tab w:val="left" w:pos="2160"/>
        </w:tabs>
        <w:spacing w:line="360" w:lineRule="auto"/>
        <w:ind w:left="1080"/>
        <w:jc w:val="both"/>
        <w:rPr>
          <w:rFonts w:eastAsia="楷体_GB2312"/>
          <w:lang w:eastAsia="zh-CN"/>
        </w:rPr>
      </w:pPr>
    </w:p>
    <w:p w14:paraId="1839C8C7">
      <w:pPr>
        <w:widowControl w:val="0"/>
        <w:numPr>
          <w:ilvl w:val="0"/>
          <w:numId w:val="32"/>
        </w:numPr>
        <w:tabs>
          <w:tab w:val="left" w:pos="1418"/>
          <w:tab w:val="clear" w:pos="1333"/>
        </w:tabs>
        <w:spacing w:line="360" w:lineRule="auto"/>
        <w:ind w:left="1418" w:hanging="482"/>
        <w:jc w:val="both"/>
        <w:rPr>
          <w:rFonts w:eastAsia="楷体_GB2312"/>
          <w:lang w:eastAsia="zh-CN"/>
        </w:rPr>
      </w:pPr>
      <w:r>
        <w:rPr>
          <w:rFonts w:eastAsia="楷体_GB2312"/>
          <w:lang w:eastAsia="zh-CN"/>
        </w:rPr>
        <w:t>不得以“信托账户”、“信托财产”和/或相关“账户记录”提供任何形式的担保。</w:t>
      </w:r>
    </w:p>
    <w:p w14:paraId="7BD83901">
      <w:pPr>
        <w:spacing w:line="360" w:lineRule="auto"/>
        <w:jc w:val="both"/>
        <w:rPr>
          <w:rFonts w:eastAsia="楷体_GB2312"/>
          <w:lang w:eastAsia="zh-CN"/>
        </w:rPr>
      </w:pPr>
    </w:p>
    <w:p w14:paraId="310FDCD7">
      <w:pPr>
        <w:widowControl w:val="0"/>
        <w:numPr>
          <w:ilvl w:val="0"/>
          <w:numId w:val="32"/>
        </w:numPr>
        <w:tabs>
          <w:tab w:val="left" w:pos="1418"/>
          <w:tab w:val="clear" w:pos="1333"/>
        </w:tabs>
        <w:spacing w:line="360" w:lineRule="auto"/>
        <w:ind w:left="1418" w:hanging="482"/>
        <w:jc w:val="both"/>
        <w:rPr>
          <w:rFonts w:eastAsia="楷体_GB2312"/>
          <w:lang w:eastAsia="zh-CN"/>
        </w:rPr>
      </w:pPr>
      <w:r>
        <w:rPr>
          <w:rFonts w:eastAsia="楷体_GB2312"/>
          <w:lang w:eastAsia="zh-CN"/>
        </w:rPr>
        <w:t>“受托人”应将“信托财产”与其固有财产分开管理，并将不同信托的财产分别记账。</w:t>
      </w:r>
    </w:p>
    <w:p w14:paraId="4897F926">
      <w:pPr>
        <w:tabs>
          <w:tab w:val="left" w:pos="2160"/>
        </w:tabs>
        <w:spacing w:line="360" w:lineRule="auto"/>
        <w:ind w:left="1080"/>
        <w:jc w:val="both"/>
        <w:rPr>
          <w:rFonts w:eastAsia="楷体_GB2312"/>
          <w:lang w:eastAsia="zh-CN"/>
        </w:rPr>
      </w:pPr>
    </w:p>
    <w:p w14:paraId="093E06DE">
      <w:pPr>
        <w:widowControl w:val="0"/>
        <w:numPr>
          <w:ilvl w:val="0"/>
          <w:numId w:val="32"/>
        </w:numPr>
        <w:tabs>
          <w:tab w:val="left" w:pos="1418"/>
          <w:tab w:val="clear" w:pos="1333"/>
        </w:tabs>
        <w:spacing w:line="360" w:lineRule="auto"/>
        <w:ind w:left="1418" w:hanging="482"/>
        <w:jc w:val="both"/>
        <w:rPr>
          <w:rFonts w:eastAsia="楷体_GB2312"/>
          <w:lang w:eastAsia="zh-CN"/>
        </w:rPr>
      </w:pPr>
      <w:r>
        <w:rPr>
          <w:rFonts w:eastAsia="楷体_GB2312"/>
          <w:lang w:eastAsia="zh-CN"/>
        </w:rPr>
        <w:t>“受托人”应妥为保存处理信托事务的完整记录，保存期限自“信托终止日”起不得少于十五年。</w:t>
      </w:r>
    </w:p>
    <w:p w14:paraId="2B9A20E1">
      <w:pPr>
        <w:tabs>
          <w:tab w:val="left" w:pos="2160"/>
        </w:tabs>
        <w:spacing w:line="360" w:lineRule="auto"/>
        <w:ind w:left="1080"/>
        <w:jc w:val="both"/>
        <w:rPr>
          <w:rFonts w:eastAsia="楷体_GB2312"/>
          <w:lang w:eastAsia="zh-CN"/>
        </w:rPr>
      </w:pPr>
    </w:p>
    <w:p w14:paraId="52EC3459">
      <w:pPr>
        <w:widowControl w:val="0"/>
        <w:numPr>
          <w:ilvl w:val="0"/>
          <w:numId w:val="32"/>
        </w:numPr>
        <w:tabs>
          <w:tab w:val="left" w:pos="1418"/>
          <w:tab w:val="clear" w:pos="1333"/>
        </w:tabs>
        <w:spacing w:line="360" w:lineRule="auto"/>
        <w:ind w:left="1418" w:hanging="482"/>
        <w:jc w:val="both"/>
        <w:rPr>
          <w:rFonts w:eastAsia="楷体_GB2312"/>
          <w:lang w:eastAsia="zh-CN"/>
        </w:rPr>
      </w:pPr>
      <w:r>
        <w:rPr>
          <w:rFonts w:eastAsia="楷体_GB2312"/>
          <w:lang w:eastAsia="zh-CN"/>
        </w:rPr>
        <w:t>“受托人”应当按照“中国”“法律”的相关规定和本合同的约定持续披露有关“信托财产”和“资产支持证券”的信息；在“委托人”</w:t>
      </w:r>
      <w:r>
        <w:rPr>
          <w:rFonts w:hint="eastAsia" w:eastAsia="楷体_GB2312"/>
          <w:lang w:eastAsia="zh-CN"/>
        </w:rPr>
        <w:t>依据</w:t>
      </w:r>
      <w:r>
        <w:rPr>
          <w:rFonts w:eastAsia="楷体_GB2312"/>
          <w:lang w:eastAsia="zh-CN"/>
        </w:rPr>
        <w:t>本合同的约定向其了解“信托财产”的相关情况时，“受托人”应积极配合并做出相应的说明。</w:t>
      </w:r>
    </w:p>
    <w:p w14:paraId="4AA127A7">
      <w:pPr>
        <w:spacing w:line="360" w:lineRule="auto"/>
        <w:ind w:left="1080"/>
        <w:jc w:val="both"/>
        <w:rPr>
          <w:rFonts w:eastAsia="楷体_GB2312"/>
          <w:lang w:eastAsia="zh-CN"/>
        </w:rPr>
      </w:pPr>
    </w:p>
    <w:p w14:paraId="237B0C09">
      <w:pPr>
        <w:widowControl w:val="0"/>
        <w:numPr>
          <w:ilvl w:val="0"/>
          <w:numId w:val="32"/>
        </w:numPr>
        <w:tabs>
          <w:tab w:val="left" w:pos="1418"/>
          <w:tab w:val="clear" w:pos="1333"/>
        </w:tabs>
        <w:spacing w:line="360" w:lineRule="auto"/>
        <w:ind w:left="1418" w:hanging="482"/>
        <w:jc w:val="both"/>
        <w:rPr>
          <w:rFonts w:eastAsia="楷体_GB2312"/>
          <w:lang w:eastAsia="zh-CN"/>
        </w:rPr>
      </w:pPr>
      <w:r>
        <w:rPr>
          <w:rFonts w:eastAsia="楷体_GB2312"/>
          <w:lang w:eastAsia="zh-CN"/>
        </w:rPr>
        <w:t>“受托人”应监督和督促其委托或聘请的“贷款服务机构”、“资金保管机构”及其他中介服务机构恪尽职守地履行其各自的职能和义务。</w:t>
      </w:r>
    </w:p>
    <w:p w14:paraId="42896AFE">
      <w:pPr>
        <w:tabs>
          <w:tab w:val="left" w:pos="2160"/>
        </w:tabs>
        <w:spacing w:line="360" w:lineRule="auto"/>
        <w:ind w:left="1080"/>
        <w:jc w:val="both"/>
        <w:rPr>
          <w:rFonts w:eastAsia="楷体_GB2312"/>
          <w:lang w:eastAsia="zh-CN"/>
        </w:rPr>
      </w:pPr>
    </w:p>
    <w:p w14:paraId="2CDA752E">
      <w:pPr>
        <w:widowControl w:val="0"/>
        <w:numPr>
          <w:ilvl w:val="0"/>
          <w:numId w:val="32"/>
        </w:numPr>
        <w:tabs>
          <w:tab w:val="left" w:pos="1418"/>
          <w:tab w:val="clear" w:pos="1333"/>
        </w:tabs>
        <w:spacing w:line="360" w:lineRule="auto"/>
        <w:ind w:left="1418" w:hanging="482"/>
        <w:jc w:val="both"/>
        <w:rPr>
          <w:rFonts w:eastAsia="楷体_GB2312"/>
          <w:lang w:eastAsia="zh-CN"/>
        </w:rPr>
      </w:pPr>
      <w:r>
        <w:rPr>
          <w:rFonts w:eastAsia="楷体_GB2312"/>
          <w:lang w:eastAsia="zh-CN"/>
        </w:rPr>
        <w:t>在“信托期限内”，如“受托人”职责终止，“受托人”应妥善保管与“信托”相关的全部资料，并及时向新的“受托人”办理移交手续。</w:t>
      </w:r>
    </w:p>
    <w:p w14:paraId="53CE368F">
      <w:pPr>
        <w:tabs>
          <w:tab w:val="left" w:pos="2160"/>
        </w:tabs>
        <w:spacing w:line="360" w:lineRule="auto"/>
        <w:jc w:val="both"/>
        <w:rPr>
          <w:rFonts w:eastAsia="楷体_GB2312"/>
          <w:lang w:eastAsia="zh-CN"/>
        </w:rPr>
      </w:pPr>
    </w:p>
    <w:p w14:paraId="290FE56A">
      <w:pPr>
        <w:widowControl w:val="0"/>
        <w:numPr>
          <w:ilvl w:val="0"/>
          <w:numId w:val="32"/>
        </w:numPr>
        <w:tabs>
          <w:tab w:val="left" w:pos="1418"/>
          <w:tab w:val="clear" w:pos="1333"/>
        </w:tabs>
        <w:spacing w:line="360" w:lineRule="auto"/>
        <w:ind w:left="1418" w:hanging="482"/>
        <w:jc w:val="both"/>
        <w:rPr>
          <w:rFonts w:eastAsia="楷体_GB2312"/>
          <w:lang w:eastAsia="zh-CN"/>
        </w:rPr>
      </w:pPr>
      <w:r>
        <w:rPr>
          <w:rFonts w:eastAsia="楷体_GB2312"/>
          <w:lang w:eastAsia="zh-CN"/>
        </w:rPr>
        <w:t>“中国”“法律”规定以及本合同约定的其他义务。</w:t>
      </w:r>
    </w:p>
    <w:p w14:paraId="61E0E8B3">
      <w:pPr>
        <w:tabs>
          <w:tab w:val="left" w:pos="2160"/>
        </w:tabs>
        <w:spacing w:line="360" w:lineRule="auto"/>
        <w:jc w:val="both"/>
        <w:rPr>
          <w:rFonts w:eastAsia="楷体_GB2312"/>
          <w:b/>
          <w:lang w:eastAsia="zh-CN"/>
        </w:rPr>
      </w:pPr>
    </w:p>
    <w:p w14:paraId="0C4C0907">
      <w:pPr>
        <w:widowControl w:val="0"/>
        <w:numPr>
          <w:ilvl w:val="1"/>
          <w:numId w:val="8"/>
        </w:numPr>
        <w:tabs>
          <w:tab w:val="left" w:pos="900"/>
        </w:tabs>
        <w:spacing w:line="360" w:lineRule="auto"/>
        <w:jc w:val="both"/>
        <w:outlineLvl w:val="1"/>
        <w:rPr>
          <w:rFonts w:eastAsia="楷体_GB2312"/>
          <w:b/>
        </w:rPr>
      </w:pPr>
      <w:r>
        <w:rPr>
          <w:rFonts w:eastAsia="楷体_GB2312"/>
          <w:b/>
        </w:rPr>
        <w:t>受托人的陈述和保证</w:t>
      </w:r>
    </w:p>
    <w:p w14:paraId="5C02F788">
      <w:pPr>
        <w:spacing w:line="360" w:lineRule="auto"/>
        <w:jc w:val="both"/>
        <w:rPr>
          <w:rFonts w:eastAsia="楷体_GB2312"/>
        </w:rPr>
      </w:pPr>
    </w:p>
    <w:p w14:paraId="78DEF9C4">
      <w:pPr>
        <w:spacing w:line="360" w:lineRule="auto"/>
        <w:ind w:left="850" w:leftChars="354"/>
        <w:jc w:val="both"/>
        <w:rPr>
          <w:rFonts w:eastAsia="楷体_GB2312"/>
          <w:lang w:eastAsia="zh-CN"/>
        </w:rPr>
      </w:pPr>
      <w:r>
        <w:rPr>
          <w:rFonts w:eastAsia="楷体_GB2312"/>
          <w:lang w:eastAsia="zh-CN"/>
        </w:rPr>
        <w:t>在本合同签署之日以及“信托财产交付日”（就初始“基础资产”而言），“受托人”为本合同各方的利益陈述和保证如下：</w:t>
      </w:r>
    </w:p>
    <w:p w14:paraId="1D20BA7C">
      <w:pPr>
        <w:pStyle w:val="50"/>
        <w:spacing w:after="0" w:line="360" w:lineRule="auto"/>
        <w:ind w:left="420"/>
        <w:rPr>
          <w:rFonts w:eastAsia="楷体_GB2312"/>
          <w:lang w:eastAsia="zh-CN"/>
        </w:rPr>
      </w:pPr>
    </w:p>
    <w:p w14:paraId="0B9ED847">
      <w:pPr>
        <w:widowControl w:val="0"/>
        <w:numPr>
          <w:ilvl w:val="0"/>
          <w:numId w:val="33"/>
        </w:numPr>
        <w:spacing w:line="360" w:lineRule="auto"/>
        <w:jc w:val="both"/>
        <w:rPr>
          <w:rFonts w:eastAsia="楷体_GB2312"/>
          <w:lang w:eastAsia="zh-CN"/>
        </w:rPr>
      </w:pPr>
      <w:r>
        <w:rPr>
          <w:rFonts w:eastAsia="楷体_GB2312"/>
          <w:lang w:eastAsia="zh-CN"/>
        </w:rPr>
        <w:t>“受托人”按照“中国”“法律”正式注册成立并有效存续，具有全部的权利和授权，以继续进行其正在进行之业务以及享有本合同和其作为一方的其他“交易文件”项下的权利，并履行本合同和其作为一方的其他“交易文件”项下的义务。</w:t>
      </w:r>
    </w:p>
    <w:p w14:paraId="67DBDC3B">
      <w:pPr>
        <w:tabs>
          <w:tab w:val="left" w:pos="2160"/>
        </w:tabs>
        <w:spacing w:line="360" w:lineRule="auto"/>
        <w:ind w:left="1080"/>
        <w:jc w:val="both"/>
        <w:rPr>
          <w:rFonts w:eastAsia="楷体_GB2312"/>
          <w:lang w:eastAsia="zh-CN"/>
        </w:rPr>
      </w:pPr>
    </w:p>
    <w:p w14:paraId="789CA55D">
      <w:pPr>
        <w:widowControl w:val="0"/>
        <w:numPr>
          <w:ilvl w:val="0"/>
          <w:numId w:val="33"/>
        </w:numPr>
        <w:spacing w:line="360" w:lineRule="auto"/>
        <w:jc w:val="both"/>
        <w:rPr>
          <w:rFonts w:eastAsia="楷体_GB2312"/>
          <w:lang w:eastAsia="zh-CN"/>
        </w:rPr>
      </w:pPr>
      <w:r>
        <w:rPr>
          <w:rFonts w:eastAsia="楷体_GB2312"/>
          <w:lang w:eastAsia="zh-CN"/>
        </w:rPr>
        <w:t>“受托人”已履行一切必要的内部程序获取授权以签署并履行本合同以及其作为一方的其他“交易文件”，本合同以及其作为一方的其他“交易文件”构成“受托人”合法的、有效的和有约束力的义务，并可按照前述协议的条款对其主张权利（除非该等权利的主张受到现时或未来有效并涉及影响债权人的权利和救济的破产清算、重整、和解或其他类似法律的限制），本合同以及其作为一方的其他“交易文件”不会导致“受托人”触犯或违反任何“中国”“法律”、其作为一方或对其或其财产有约束力的任何协议、承诺、判决或命令；“受托人”签署、交付和履行本合同以及其作为一方的其他“交易文件”以及完成本合同和该等“交易文件”项下的交易不会引发任何该等违法或违约行为。</w:t>
      </w:r>
    </w:p>
    <w:p w14:paraId="2C80CA23">
      <w:pPr>
        <w:tabs>
          <w:tab w:val="left" w:pos="2160"/>
        </w:tabs>
        <w:spacing w:line="360" w:lineRule="auto"/>
        <w:ind w:left="1080"/>
        <w:jc w:val="both"/>
        <w:rPr>
          <w:rFonts w:eastAsia="楷体_GB2312"/>
          <w:lang w:eastAsia="zh-CN"/>
        </w:rPr>
      </w:pPr>
    </w:p>
    <w:p w14:paraId="63D7632D">
      <w:pPr>
        <w:widowControl w:val="0"/>
        <w:numPr>
          <w:ilvl w:val="0"/>
          <w:numId w:val="33"/>
        </w:numPr>
        <w:spacing w:line="360" w:lineRule="auto"/>
        <w:jc w:val="both"/>
        <w:rPr>
          <w:rFonts w:eastAsia="楷体_GB2312"/>
          <w:lang w:eastAsia="zh-CN"/>
        </w:rPr>
      </w:pPr>
      <w:r>
        <w:rPr>
          <w:rFonts w:eastAsia="楷体_GB2312"/>
          <w:lang w:eastAsia="zh-CN"/>
        </w:rPr>
        <w:t>“受托人”已为签署和交付本合同以及其作为一方的其他“交易文件”并履行本合同和该等“交易文件”项下的义务取得了全部必要的同意、许可或批准，并已办理了全部必要的备案、登记和通知手续。</w:t>
      </w:r>
    </w:p>
    <w:p w14:paraId="5904939B">
      <w:pPr>
        <w:tabs>
          <w:tab w:val="left" w:pos="2160"/>
        </w:tabs>
        <w:spacing w:line="360" w:lineRule="auto"/>
        <w:ind w:left="1080"/>
        <w:jc w:val="both"/>
        <w:rPr>
          <w:rFonts w:eastAsia="楷体_GB2312"/>
          <w:lang w:eastAsia="zh-CN"/>
        </w:rPr>
      </w:pPr>
    </w:p>
    <w:p w14:paraId="1F9F8E7B">
      <w:pPr>
        <w:widowControl w:val="0"/>
        <w:numPr>
          <w:ilvl w:val="0"/>
          <w:numId w:val="33"/>
        </w:numPr>
        <w:spacing w:line="360" w:lineRule="auto"/>
        <w:jc w:val="both"/>
        <w:rPr>
          <w:rFonts w:eastAsia="楷体_GB2312"/>
          <w:lang w:eastAsia="zh-CN"/>
        </w:rPr>
      </w:pPr>
      <w:r>
        <w:rPr>
          <w:rFonts w:eastAsia="楷体_GB2312"/>
          <w:lang w:eastAsia="zh-CN"/>
        </w:rPr>
        <w:t>就“受托人”所知，本合同签署之日，“受托人”签署、交付和履行本合同以及其作为一方的其他“交易文件”：第一，不违反或抵触适用于“受托人”的任何“法律”的规定或其他政府机构的指令，而无论该等政府机构的指令是否具有法律强制力；第二，不违反“受托人”的公司章程等组织性文件；第三，不违反或导致“受托人”违反其作为一方或对其或其财产有约束力的任何协议或契据的</w:t>
      </w:r>
      <w:r>
        <w:rPr>
          <w:rFonts w:eastAsia="楷体_GB2312"/>
          <w:bCs/>
          <w:lang w:eastAsia="zh-CN"/>
        </w:rPr>
        <w:t>约</w:t>
      </w:r>
      <w:r>
        <w:rPr>
          <w:rFonts w:eastAsia="楷体_GB2312"/>
          <w:lang w:eastAsia="zh-CN"/>
        </w:rPr>
        <w:t>定；第四，不会构成违约或因通知、时间的流逝即会在任何该等协议或契据项下构成违约的事件。</w:t>
      </w:r>
    </w:p>
    <w:p w14:paraId="4729D11C">
      <w:pPr>
        <w:tabs>
          <w:tab w:val="left" w:pos="2160"/>
        </w:tabs>
        <w:spacing w:line="360" w:lineRule="auto"/>
        <w:ind w:left="1080"/>
        <w:jc w:val="both"/>
        <w:rPr>
          <w:rFonts w:eastAsia="楷体_GB2312"/>
          <w:lang w:eastAsia="zh-CN"/>
        </w:rPr>
      </w:pPr>
    </w:p>
    <w:p w14:paraId="2A480381">
      <w:pPr>
        <w:widowControl w:val="0"/>
        <w:numPr>
          <w:ilvl w:val="0"/>
          <w:numId w:val="33"/>
        </w:numPr>
        <w:spacing w:line="360" w:lineRule="auto"/>
        <w:jc w:val="both"/>
        <w:rPr>
          <w:rFonts w:eastAsia="楷体_GB2312"/>
          <w:lang w:eastAsia="zh-CN"/>
        </w:rPr>
      </w:pPr>
      <w:r>
        <w:rPr>
          <w:rFonts w:eastAsia="楷体_GB2312"/>
          <w:lang w:eastAsia="zh-CN"/>
        </w:rPr>
        <w:t>就“受托人”所知，本合同签署之日，没有任何未决的或拟将进行的诉讼、仲裁及任何政府机构的行为、程序或调查，质疑本合同、“受托人”作为一方的其他“交易文件”或根据本合同或其他任何“交易文件”已采取或将要采取的行动的有效性，或很可能导致“受托人”的业务、经营、事务、财务和其他状况、财产或资产发生任何“重大不利变化”。</w:t>
      </w:r>
    </w:p>
    <w:p w14:paraId="27BB27A8">
      <w:pPr>
        <w:tabs>
          <w:tab w:val="left" w:pos="2160"/>
        </w:tabs>
        <w:spacing w:line="360" w:lineRule="auto"/>
        <w:ind w:left="1080"/>
        <w:jc w:val="both"/>
        <w:rPr>
          <w:rFonts w:eastAsia="楷体_GB2312"/>
          <w:lang w:eastAsia="zh-CN"/>
        </w:rPr>
      </w:pPr>
    </w:p>
    <w:p w14:paraId="51ED2FEC">
      <w:pPr>
        <w:widowControl w:val="0"/>
        <w:numPr>
          <w:ilvl w:val="0"/>
          <w:numId w:val="33"/>
        </w:numPr>
        <w:spacing w:line="360" w:lineRule="auto"/>
        <w:jc w:val="both"/>
        <w:rPr>
          <w:rFonts w:eastAsia="楷体_GB2312"/>
          <w:lang w:eastAsia="zh-CN"/>
        </w:rPr>
      </w:pPr>
      <w:r>
        <w:rPr>
          <w:rFonts w:eastAsia="楷体_GB2312"/>
          <w:lang w:eastAsia="zh-CN"/>
        </w:rPr>
        <w:t>就“受托人”所知，本合同签署之日，未出现或持续存在任何事件，也不存在任何状况，且完成本合同以及“受托人”作为一方的其他“交易文件”项下的交易也不会导致任何事件或状况，构成违反或被合理预期构成或导致违反“受托人”作为一方或对其或其财产有约束力的任何协议或契据的任何条款，或构成“受托人解任事件”。</w:t>
      </w:r>
    </w:p>
    <w:p w14:paraId="13544D0D">
      <w:pPr>
        <w:tabs>
          <w:tab w:val="left" w:pos="2160"/>
        </w:tabs>
        <w:spacing w:line="360" w:lineRule="auto"/>
        <w:ind w:left="1080"/>
        <w:jc w:val="both"/>
        <w:rPr>
          <w:rFonts w:eastAsia="楷体_GB2312"/>
          <w:lang w:eastAsia="zh-CN"/>
        </w:rPr>
      </w:pPr>
    </w:p>
    <w:p w14:paraId="241C96CF">
      <w:pPr>
        <w:widowControl w:val="0"/>
        <w:numPr>
          <w:ilvl w:val="0"/>
          <w:numId w:val="33"/>
        </w:numPr>
        <w:spacing w:line="360" w:lineRule="auto"/>
        <w:jc w:val="both"/>
        <w:rPr>
          <w:rFonts w:eastAsia="楷体_GB2312"/>
          <w:lang w:eastAsia="zh-CN"/>
        </w:rPr>
      </w:pPr>
      <w:r>
        <w:rPr>
          <w:rFonts w:eastAsia="楷体_GB2312"/>
          <w:lang w:eastAsia="zh-CN"/>
        </w:rPr>
        <w:t>“受托人”未曾采取任何行动，导致在“信托财产”和相关“账户记录”上设定任何担保。</w:t>
      </w:r>
    </w:p>
    <w:p w14:paraId="77D247AE">
      <w:pPr>
        <w:tabs>
          <w:tab w:val="left" w:pos="2160"/>
        </w:tabs>
        <w:spacing w:line="360" w:lineRule="auto"/>
        <w:ind w:left="1080"/>
        <w:jc w:val="both"/>
        <w:rPr>
          <w:rFonts w:eastAsia="楷体_GB2312"/>
          <w:lang w:eastAsia="zh-CN"/>
        </w:rPr>
      </w:pPr>
    </w:p>
    <w:p w14:paraId="5914DF29">
      <w:pPr>
        <w:widowControl w:val="0"/>
        <w:numPr>
          <w:ilvl w:val="0"/>
          <w:numId w:val="33"/>
        </w:numPr>
        <w:spacing w:line="360" w:lineRule="auto"/>
        <w:jc w:val="both"/>
        <w:rPr>
          <w:rFonts w:eastAsia="楷体_GB2312"/>
          <w:lang w:eastAsia="zh-CN"/>
        </w:rPr>
      </w:pPr>
      <w:r>
        <w:rPr>
          <w:rFonts w:eastAsia="楷体_GB2312"/>
          <w:lang w:eastAsia="zh-CN"/>
        </w:rPr>
        <w:t>“信托受益权”构成“受托人”作为本合同项下“受托人”的有效的、合法的、有约束力的支付义务（以“信托财产”为限），并可按照其条款和本合同的条款对其主张权利。</w:t>
      </w:r>
    </w:p>
    <w:p w14:paraId="10C218F7">
      <w:pPr>
        <w:tabs>
          <w:tab w:val="left" w:pos="2160"/>
        </w:tabs>
        <w:spacing w:line="360" w:lineRule="auto"/>
        <w:jc w:val="both"/>
        <w:rPr>
          <w:rFonts w:eastAsia="楷体_GB2312"/>
          <w:lang w:eastAsia="zh-CN"/>
        </w:rPr>
      </w:pPr>
    </w:p>
    <w:p w14:paraId="014472E2">
      <w:pPr>
        <w:widowControl w:val="0"/>
        <w:numPr>
          <w:ilvl w:val="0"/>
          <w:numId w:val="33"/>
        </w:numPr>
        <w:spacing w:line="360" w:lineRule="auto"/>
        <w:jc w:val="both"/>
        <w:rPr>
          <w:rFonts w:eastAsia="楷体_GB2312"/>
          <w:lang w:eastAsia="zh-CN"/>
        </w:rPr>
      </w:pPr>
      <w:r>
        <w:rPr>
          <w:rFonts w:eastAsia="楷体_GB2312"/>
          <w:lang w:eastAsia="zh-CN"/>
        </w:rPr>
        <w:t>“受托人”在“交易文件”中（无论是作为“受托人”还是“发行人”）作出的陈述和保证，在所有重大方面均真实、完整和正确。</w:t>
      </w:r>
    </w:p>
    <w:p w14:paraId="39F7EF97">
      <w:pPr>
        <w:tabs>
          <w:tab w:val="left" w:pos="1800"/>
          <w:tab w:val="left" w:pos="1980"/>
        </w:tabs>
        <w:spacing w:line="360" w:lineRule="auto"/>
        <w:ind w:left="425"/>
        <w:jc w:val="both"/>
        <w:rPr>
          <w:rFonts w:eastAsia="楷体_GB2312"/>
          <w:lang w:eastAsia="zh-CN"/>
        </w:rPr>
      </w:pPr>
    </w:p>
    <w:p w14:paraId="77AF4321">
      <w:pPr>
        <w:widowControl w:val="0"/>
        <w:numPr>
          <w:ilvl w:val="0"/>
          <w:numId w:val="8"/>
        </w:numPr>
        <w:spacing w:line="360" w:lineRule="auto"/>
        <w:jc w:val="both"/>
        <w:outlineLvl w:val="0"/>
        <w:rPr>
          <w:rFonts w:eastAsia="楷体_GB2312"/>
          <w:b/>
        </w:rPr>
      </w:pPr>
      <w:bookmarkStart w:id="444" w:name="_Toc110370665"/>
      <w:bookmarkEnd w:id="444"/>
      <w:bookmarkStart w:id="445" w:name="_Toc110370867"/>
      <w:bookmarkEnd w:id="445"/>
      <w:bookmarkStart w:id="446" w:name="_Toc173776303"/>
      <w:bookmarkStart w:id="447" w:name="_Toc110153433"/>
      <w:bookmarkStart w:id="448" w:name="_Toc111281783"/>
      <w:bookmarkStart w:id="449" w:name="_Toc75510472"/>
      <w:bookmarkStart w:id="450" w:name="_Toc69138590"/>
      <w:bookmarkStart w:id="451" w:name="_Toc227955287"/>
      <w:bookmarkStart w:id="452" w:name="_Toc454484860"/>
      <w:bookmarkStart w:id="453" w:name="_Toc166105873"/>
      <w:bookmarkStart w:id="454" w:name="_Toc111281800"/>
      <w:bookmarkStart w:id="455" w:name="_Toc201569426"/>
      <w:bookmarkStart w:id="456" w:name="_Toc110153443"/>
      <w:bookmarkStart w:id="457" w:name="_Toc207007310"/>
      <w:r>
        <w:rPr>
          <w:rFonts w:eastAsia="楷体_GB2312"/>
          <w:b/>
        </w:rPr>
        <w:t>受</w:t>
      </w:r>
      <w:bookmarkStart w:id="458" w:name="_Toc92612919"/>
      <w:r>
        <w:rPr>
          <w:rFonts w:eastAsia="楷体_GB2312"/>
          <w:b/>
        </w:rPr>
        <w:t>益人</w:t>
      </w:r>
      <w:bookmarkEnd w:id="446"/>
      <w:bookmarkEnd w:id="447"/>
      <w:bookmarkEnd w:id="448"/>
      <w:r>
        <w:rPr>
          <w:rFonts w:eastAsia="楷体_GB2312"/>
          <w:b/>
          <w:lang w:eastAsia="zh-CN"/>
        </w:rPr>
        <w:t>的权利与义务</w:t>
      </w:r>
      <w:bookmarkEnd w:id="449"/>
      <w:bookmarkEnd w:id="450"/>
      <w:bookmarkEnd w:id="451"/>
      <w:bookmarkEnd w:id="452"/>
      <w:bookmarkEnd w:id="453"/>
    </w:p>
    <w:bookmarkEnd w:id="458"/>
    <w:p w14:paraId="19AF350A">
      <w:pPr>
        <w:spacing w:line="360" w:lineRule="auto"/>
        <w:ind w:left="425"/>
        <w:jc w:val="both"/>
        <w:rPr>
          <w:rFonts w:eastAsia="楷体_GB2312"/>
          <w:b/>
          <w:bCs/>
          <w:i/>
          <w:iCs/>
          <w:color w:val="FF0000"/>
          <w:lang w:eastAsia="zh-CN"/>
        </w:rPr>
      </w:pPr>
      <w:r>
        <w:rPr>
          <w:rFonts w:eastAsia="楷体_GB2312"/>
          <w:b/>
          <w:bCs/>
          <w:i/>
          <w:iCs/>
          <w:color w:val="FF0000"/>
        </w:rPr>
        <w:t>【注：受益人的权利、义务条款可根据项目具体情况进行补充或调整。】</w:t>
      </w:r>
    </w:p>
    <w:p w14:paraId="71927169">
      <w:pPr>
        <w:spacing w:line="380" w:lineRule="atLeast"/>
        <w:jc w:val="both"/>
        <w:rPr>
          <w:rFonts w:eastAsia="楷体_GB2312"/>
          <w:lang w:eastAsia="zh-CN"/>
        </w:rPr>
      </w:pPr>
    </w:p>
    <w:p w14:paraId="1A15AC81">
      <w:pPr>
        <w:widowControl w:val="0"/>
        <w:numPr>
          <w:ilvl w:val="1"/>
          <w:numId w:val="8"/>
        </w:numPr>
        <w:tabs>
          <w:tab w:val="left" w:pos="900"/>
        </w:tabs>
        <w:spacing w:line="360" w:lineRule="auto"/>
        <w:jc w:val="both"/>
        <w:outlineLvl w:val="1"/>
        <w:rPr>
          <w:rFonts w:eastAsia="楷体_GB2312"/>
          <w:b/>
        </w:rPr>
      </w:pPr>
      <w:bookmarkStart w:id="459" w:name="_Toc110153434"/>
      <w:bookmarkStart w:id="460" w:name="_Toc111281784"/>
      <w:bookmarkStart w:id="461" w:name="_Toc173776304"/>
      <w:r>
        <w:rPr>
          <w:rFonts w:eastAsia="楷体_GB2312"/>
          <w:b/>
        </w:rPr>
        <w:t>受</w:t>
      </w:r>
      <w:bookmarkStart w:id="462" w:name="_Toc92612920"/>
      <w:r>
        <w:rPr>
          <w:rFonts w:eastAsia="楷体_GB2312"/>
          <w:b/>
        </w:rPr>
        <w:t>益人的权利</w:t>
      </w:r>
      <w:bookmarkEnd w:id="459"/>
      <w:bookmarkEnd w:id="460"/>
      <w:bookmarkEnd w:id="461"/>
    </w:p>
    <w:bookmarkEnd w:id="462"/>
    <w:p w14:paraId="4C877EF2">
      <w:pPr>
        <w:spacing w:line="380" w:lineRule="atLeast"/>
        <w:jc w:val="both"/>
        <w:rPr>
          <w:rFonts w:eastAsia="楷体_GB2312"/>
        </w:rPr>
      </w:pPr>
    </w:p>
    <w:p w14:paraId="051DD898">
      <w:pPr>
        <w:widowControl w:val="0"/>
        <w:numPr>
          <w:ilvl w:val="0"/>
          <w:numId w:val="34"/>
        </w:numPr>
        <w:spacing w:line="360" w:lineRule="auto"/>
        <w:jc w:val="both"/>
        <w:rPr>
          <w:rFonts w:eastAsia="楷体_GB2312"/>
          <w:lang w:eastAsia="zh-CN"/>
        </w:rPr>
      </w:pPr>
      <w:r>
        <w:rPr>
          <w:rFonts w:eastAsia="楷体_GB2312"/>
          <w:lang w:eastAsia="zh-CN"/>
        </w:rPr>
        <w:t>“资产支持证券持有人”有权按本合同约定享有与其持有“资产支持证券”类别和数额对应的“信托受益权”，并参与相关“信托利益”的分配，有权按照本合同的约定参加“资产支持证券持有人大会”，行使相应的权利。</w:t>
      </w:r>
    </w:p>
    <w:p w14:paraId="650AE80E">
      <w:pPr>
        <w:tabs>
          <w:tab w:val="left" w:pos="2160"/>
        </w:tabs>
        <w:spacing w:line="380" w:lineRule="atLeast"/>
        <w:jc w:val="both"/>
        <w:rPr>
          <w:rFonts w:eastAsia="楷体_GB2312"/>
          <w:b/>
          <w:bCs/>
          <w:u w:val="single"/>
          <w:lang w:eastAsia="zh-CN"/>
        </w:rPr>
      </w:pPr>
    </w:p>
    <w:p w14:paraId="6E753AB3">
      <w:pPr>
        <w:widowControl w:val="0"/>
        <w:numPr>
          <w:ilvl w:val="0"/>
          <w:numId w:val="34"/>
        </w:numPr>
        <w:spacing w:line="360" w:lineRule="auto"/>
        <w:jc w:val="both"/>
        <w:rPr>
          <w:rFonts w:eastAsia="楷体_GB2312"/>
          <w:lang w:eastAsia="zh-CN"/>
        </w:rPr>
      </w:pPr>
      <w:r>
        <w:rPr>
          <w:rFonts w:eastAsia="楷体_GB2312"/>
          <w:lang w:eastAsia="zh-CN"/>
        </w:rPr>
        <w:t>在“信托期限”内，“优先级资产支持证券持有人”可以根据本合同的约定、“中国”“法律”的规定及相关市场规则，依法转让其所持有的“优先级资产支持证券”。</w:t>
      </w:r>
    </w:p>
    <w:p w14:paraId="2259C829">
      <w:pPr>
        <w:tabs>
          <w:tab w:val="left" w:pos="2160"/>
        </w:tabs>
        <w:spacing w:line="380" w:lineRule="atLeast"/>
        <w:jc w:val="both"/>
        <w:rPr>
          <w:rFonts w:eastAsia="楷体_GB2312"/>
          <w:b/>
          <w:lang w:eastAsia="zh-CN"/>
        </w:rPr>
      </w:pPr>
    </w:p>
    <w:p w14:paraId="69608C5B">
      <w:pPr>
        <w:widowControl w:val="0"/>
        <w:numPr>
          <w:ilvl w:val="0"/>
          <w:numId w:val="34"/>
        </w:numPr>
        <w:spacing w:line="360" w:lineRule="auto"/>
        <w:jc w:val="both"/>
        <w:rPr>
          <w:rFonts w:eastAsia="楷体_GB2312"/>
          <w:lang w:eastAsia="zh-CN"/>
        </w:rPr>
      </w:pPr>
      <w:r>
        <w:rPr>
          <w:rFonts w:eastAsia="楷体_GB2312"/>
          <w:lang w:eastAsia="zh-CN"/>
        </w:rPr>
        <w:t>“受益人”有权按照本合同约定向“受托人”了解“信托财产”的管理、处分及收支情况。</w:t>
      </w:r>
    </w:p>
    <w:p w14:paraId="37F5797E">
      <w:pPr>
        <w:tabs>
          <w:tab w:val="left" w:pos="2160"/>
        </w:tabs>
        <w:spacing w:line="380" w:lineRule="atLeast"/>
        <w:ind w:left="1080"/>
        <w:jc w:val="both"/>
        <w:rPr>
          <w:rFonts w:eastAsia="楷体_GB2312"/>
          <w:lang w:eastAsia="zh-CN"/>
        </w:rPr>
      </w:pPr>
    </w:p>
    <w:p w14:paraId="5F42A8F8">
      <w:pPr>
        <w:widowControl w:val="0"/>
        <w:numPr>
          <w:ilvl w:val="0"/>
          <w:numId w:val="34"/>
        </w:numPr>
        <w:spacing w:line="360" w:lineRule="auto"/>
        <w:jc w:val="both"/>
        <w:rPr>
          <w:rFonts w:eastAsia="楷体_GB2312"/>
          <w:lang w:eastAsia="zh-CN"/>
        </w:rPr>
      </w:pPr>
      <w:r>
        <w:rPr>
          <w:rFonts w:eastAsia="楷体_GB2312"/>
          <w:lang w:eastAsia="zh-CN"/>
        </w:rPr>
        <w:t>“资产支持证券持有人”有权依法查阅或者复制公开披露的“信托财产”和“资产支持证券”信息资料。</w:t>
      </w:r>
    </w:p>
    <w:p w14:paraId="1B5915E7">
      <w:pPr>
        <w:tabs>
          <w:tab w:val="left" w:pos="2160"/>
        </w:tabs>
        <w:spacing w:line="380" w:lineRule="atLeast"/>
        <w:ind w:left="1080"/>
        <w:jc w:val="both"/>
        <w:rPr>
          <w:rFonts w:eastAsia="楷体_GB2312"/>
          <w:lang w:eastAsia="zh-CN"/>
        </w:rPr>
      </w:pPr>
    </w:p>
    <w:p w14:paraId="43A9F04C">
      <w:pPr>
        <w:widowControl w:val="0"/>
        <w:numPr>
          <w:ilvl w:val="0"/>
          <w:numId w:val="34"/>
        </w:numPr>
        <w:spacing w:line="360" w:lineRule="auto"/>
        <w:jc w:val="both"/>
        <w:rPr>
          <w:rFonts w:eastAsia="楷体_GB2312"/>
          <w:lang w:eastAsia="zh-CN"/>
        </w:rPr>
      </w:pPr>
      <w:r>
        <w:rPr>
          <w:rFonts w:eastAsia="楷体_GB2312"/>
          <w:lang w:eastAsia="zh-CN"/>
        </w:rPr>
        <w:t>在发生“受托人”或各相关服务机构（包括“贷款服务机构”及“资金保管机构”）违反信托目的处分“信托财产”或者因违背管理职责、处理信托事务不当致使“信托财产”受到损失的情形下，“资产支持证券持有人”有权通过“资产支持证券持有人大会”申请人民法院撤销该处分行为，并有权要求受托人、各相关服务机构（包括“贷款服务机构”及“资金保管机构”）恢复“信托财产”的原状或者予以合理赔偿。“资产支持证券持有人”的撤销权自“资产支持证券持有人”知道或者应当知道撤销原因之日起一年内不行使的，归于消灭。</w:t>
      </w:r>
    </w:p>
    <w:p w14:paraId="697461FB">
      <w:pPr>
        <w:tabs>
          <w:tab w:val="left" w:pos="1571"/>
        </w:tabs>
        <w:spacing w:line="380" w:lineRule="atLeast"/>
        <w:ind w:left="1620" w:hanging="769"/>
        <w:jc w:val="both"/>
        <w:rPr>
          <w:rFonts w:eastAsia="楷体_GB2312"/>
          <w:lang w:eastAsia="zh-CN"/>
        </w:rPr>
      </w:pPr>
    </w:p>
    <w:p w14:paraId="30DFDA3D">
      <w:pPr>
        <w:widowControl w:val="0"/>
        <w:numPr>
          <w:ilvl w:val="0"/>
          <w:numId w:val="34"/>
        </w:numPr>
        <w:spacing w:line="360" w:lineRule="auto"/>
        <w:jc w:val="both"/>
        <w:rPr>
          <w:rFonts w:eastAsia="楷体_GB2312"/>
          <w:lang w:eastAsia="zh-CN"/>
        </w:rPr>
      </w:pPr>
      <w:r>
        <w:rPr>
          <w:rFonts w:eastAsia="楷体_GB2312"/>
          <w:lang w:eastAsia="zh-CN"/>
        </w:rPr>
        <w:t>在发生“受托人”或各相关服务机构（包括“贷款服务机构”及“资金保管机构”）违反信托目的处分“信托财产”或者管理、处分“信托财产”有重大过失的情形下，“资产支持证券持有人”有权通过“资产支持证券持有人大会”，按照本合同的</w:t>
      </w:r>
      <w:r>
        <w:rPr>
          <w:rFonts w:eastAsia="楷体_GB2312"/>
          <w:bCs/>
          <w:lang w:eastAsia="zh-CN"/>
        </w:rPr>
        <w:t>约</w:t>
      </w:r>
      <w:r>
        <w:rPr>
          <w:rFonts w:eastAsia="楷体_GB2312"/>
          <w:lang w:eastAsia="zh-CN"/>
        </w:rPr>
        <w:t>定解任“受托人”、各相关服务机构（包括“贷款服务机构”及“资金保管机构”）。</w:t>
      </w:r>
    </w:p>
    <w:p w14:paraId="16C419E6">
      <w:pPr>
        <w:tabs>
          <w:tab w:val="left" w:pos="2160"/>
        </w:tabs>
        <w:spacing w:line="380" w:lineRule="atLeast"/>
        <w:ind w:left="1080"/>
        <w:jc w:val="both"/>
        <w:rPr>
          <w:rFonts w:eastAsia="楷体_GB2312"/>
          <w:lang w:eastAsia="zh-CN"/>
        </w:rPr>
      </w:pPr>
    </w:p>
    <w:p w14:paraId="7C2247D2">
      <w:pPr>
        <w:widowControl w:val="0"/>
        <w:numPr>
          <w:ilvl w:val="0"/>
          <w:numId w:val="34"/>
        </w:numPr>
        <w:spacing w:line="360" w:lineRule="auto"/>
        <w:jc w:val="both"/>
        <w:rPr>
          <w:rFonts w:eastAsia="楷体_GB2312"/>
          <w:lang w:eastAsia="zh-CN"/>
        </w:rPr>
      </w:pPr>
      <w:r>
        <w:rPr>
          <w:rFonts w:eastAsia="楷体_GB2312"/>
          <w:lang w:eastAsia="zh-CN"/>
        </w:rPr>
        <w:t>“资产支持证券持有人”有权按照本合同约定提议召开或者自行召开“资产支持证券持有人大会”。</w:t>
      </w:r>
    </w:p>
    <w:p w14:paraId="4A2A3721">
      <w:pPr>
        <w:tabs>
          <w:tab w:val="left" w:pos="2160"/>
        </w:tabs>
        <w:spacing w:line="380" w:lineRule="atLeast"/>
        <w:ind w:left="1080"/>
        <w:jc w:val="both"/>
        <w:rPr>
          <w:rFonts w:eastAsia="楷体_GB2312"/>
          <w:lang w:eastAsia="zh-CN"/>
        </w:rPr>
      </w:pPr>
    </w:p>
    <w:p w14:paraId="5091BFEF">
      <w:pPr>
        <w:widowControl w:val="0"/>
        <w:numPr>
          <w:ilvl w:val="0"/>
          <w:numId w:val="34"/>
        </w:numPr>
        <w:spacing w:line="360" w:lineRule="auto"/>
        <w:jc w:val="both"/>
        <w:rPr>
          <w:rFonts w:eastAsia="楷体_GB2312"/>
          <w:lang w:eastAsia="zh-CN"/>
        </w:rPr>
      </w:pPr>
      <w:r>
        <w:rPr>
          <w:rFonts w:eastAsia="楷体_GB2312"/>
          <w:lang w:eastAsia="zh-CN"/>
        </w:rPr>
        <w:t>“资产支持证券持有人”有权享有“中国”“法律”规定和本合同约定的与本“信托”相关的其他权利。</w:t>
      </w:r>
    </w:p>
    <w:p w14:paraId="027D1097">
      <w:pPr>
        <w:spacing w:line="380" w:lineRule="atLeast"/>
        <w:ind w:firstLine="480"/>
        <w:jc w:val="both"/>
        <w:rPr>
          <w:rFonts w:eastAsia="楷体_GB2312"/>
          <w:lang w:eastAsia="zh-CN"/>
        </w:rPr>
      </w:pPr>
    </w:p>
    <w:p w14:paraId="12F21F64">
      <w:pPr>
        <w:widowControl w:val="0"/>
        <w:numPr>
          <w:ilvl w:val="1"/>
          <w:numId w:val="8"/>
        </w:numPr>
        <w:tabs>
          <w:tab w:val="left" w:pos="900"/>
        </w:tabs>
        <w:spacing w:line="360" w:lineRule="auto"/>
        <w:jc w:val="both"/>
        <w:outlineLvl w:val="1"/>
        <w:rPr>
          <w:rFonts w:eastAsia="楷体_GB2312"/>
          <w:b/>
        </w:rPr>
      </w:pPr>
      <w:bookmarkStart w:id="463" w:name="_Toc110153435"/>
      <w:bookmarkStart w:id="464" w:name="_Toc173776305"/>
      <w:bookmarkStart w:id="465" w:name="_Toc111281785"/>
      <w:r>
        <w:rPr>
          <w:rFonts w:eastAsia="楷体_GB2312"/>
          <w:b/>
        </w:rPr>
        <w:t>受</w:t>
      </w:r>
      <w:bookmarkStart w:id="466" w:name="_Toc92612921"/>
      <w:r>
        <w:rPr>
          <w:rFonts w:eastAsia="楷体_GB2312"/>
          <w:b/>
        </w:rPr>
        <w:t>益人的义务</w:t>
      </w:r>
      <w:bookmarkEnd w:id="463"/>
      <w:bookmarkEnd w:id="464"/>
      <w:bookmarkEnd w:id="465"/>
    </w:p>
    <w:bookmarkEnd w:id="466"/>
    <w:p w14:paraId="6DAAEB16">
      <w:pPr>
        <w:spacing w:line="380" w:lineRule="atLeast"/>
        <w:jc w:val="both"/>
        <w:rPr>
          <w:rFonts w:eastAsia="楷体_GB2312"/>
          <w:b/>
        </w:rPr>
      </w:pPr>
    </w:p>
    <w:p w14:paraId="51099ED5">
      <w:pPr>
        <w:widowControl w:val="0"/>
        <w:numPr>
          <w:ilvl w:val="0"/>
          <w:numId w:val="35"/>
        </w:numPr>
        <w:spacing w:line="360" w:lineRule="auto"/>
        <w:jc w:val="both"/>
        <w:rPr>
          <w:rFonts w:eastAsia="楷体_GB2312"/>
          <w:lang w:eastAsia="zh-CN"/>
        </w:rPr>
      </w:pPr>
      <w:r>
        <w:rPr>
          <w:rFonts w:eastAsia="楷体_GB2312"/>
          <w:lang w:eastAsia="zh-CN"/>
        </w:rPr>
        <w:t>“受益人”应按照本合同的</w:t>
      </w:r>
      <w:r>
        <w:rPr>
          <w:rFonts w:eastAsia="楷体_GB2312"/>
          <w:bCs/>
          <w:lang w:eastAsia="zh-CN"/>
        </w:rPr>
        <w:t>约</w:t>
      </w:r>
      <w:r>
        <w:rPr>
          <w:rFonts w:eastAsia="楷体_GB2312"/>
          <w:lang w:eastAsia="zh-CN"/>
        </w:rPr>
        <w:t>定合理善意行使“受益人”的权利，不得损害其他方或其</w:t>
      </w:r>
      <w:r>
        <w:rPr>
          <w:rFonts w:hint="eastAsia" w:eastAsia="楷体_GB2312"/>
          <w:lang w:eastAsia="zh-CN"/>
        </w:rPr>
        <w:t>他</w:t>
      </w:r>
      <w:r>
        <w:rPr>
          <w:rFonts w:eastAsia="楷体_GB2312"/>
          <w:lang w:eastAsia="zh-CN"/>
        </w:rPr>
        <w:t>类别“受益人”的合法权利和利益。</w:t>
      </w:r>
    </w:p>
    <w:p w14:paraId="791F2452">
      <w:pPr>
        <w:tabs>
          <w:tab w:val="left" w:pos="2160"/>
        </w:tabs>
        <w:spacing w:line="380" w:lineRule="atLeast"/>
        <w:ind w:left="1080"/>
        <w:jc w:val="both"/>
        <w:rPr>
          <w:rFonts w:eastAsia="楷体_GB2312"/>
          <w:lang w:eastAsia="zh-CN"/>
        </w:rPr>
      </w:pPr>
    </w:p>
    <w:p w14:paraId="3AC160EA">
      <w:pPr>
        <w:widowControl w:val="0"/>
        <w:numPr>
          <w:ilvl w:val="0"/>
          <w:numId w:val="35"/>
        </w:numPr>
        <w:spacing w:line="360" w:lineRule="auto"/>
        <w:jc w:val="both"/>
        <w:rPr>
          <w:rFonts w:eastAsia="楷体_GB2312"/>
          <w:lang w:eastAsia="zh-CN"/>
        </w:rPr>
      </w:pPr>
      <w:r>
        <w:rPr>
          <w:rFonts w:eastAsia="楷体_GB2312"/>
          <w:lang w:eastAsia="zh-CN"/>
        </w:rPr>
        <w:t>“受益人”对依本合同约定获得的有关本“信托”的所有非公开的信息负有保密义务。</w:t>
      </w:r>
    </w:p>
    <w:p w14:paraId="27AFC60E">
      <w:pPr>
        <w:tabs>
          <w:tab w:val="left" w:pos="2160"/>
        </w:tabs>
        <w:spacing w:line="380" w:lineRule="atLeast"/>
        <w:ind w:left="1080"/>
        <w:jc w:val="both"/>
        <w:rPr>
          <w:rFonts w:eastAsia="楷体_GB2312"/>
          <w:lang w:eastAsia="zh-CN"/>
        </w:rPr>
      </w:pPr>
    </w:p>
    <w:p w14:paraId="1D4DC0C8">
      <w:pPr>
        <w:widowControl w:val="0"/>
        <w:numPr>
          <w:ilvl w:val="0"/>
          <w:numId w:val="35"/>
        </w:numPr>
        <w:spacing w:line="360" w:lineRule="auto"/>
        <w:jc w:val="both"/>
        <w:rPr>
          <w:rFonts w:eastAsia="楷体_GB2312"/>
          <w:lang w:eastAsia="zh-CN"/>
        </w:rPr>
      </w:pPr>
      <w:r>
        <w:rPr>
          <w:rFonts w:eastAsia="楷体_GB2312"/>
          <w:lang w:eastAsia="zh-CN"/>
        </w:rPr>
        <w:t>“受益人”负有“中国”“法律”规定和本合同约定的其他与本信托相关的义务。</w:t>
      </w:r>
    </w:p>
    <w:p w14:paraId="4AE98D40">
      <w:pPr>
        <w:jc w:val="both"/>
        <w:rPr>
          <w:rFonts w:eastAsia="楷体_GB2312"/>
          <w:b/>
          <w:bCs/>
          <w:lang w:eastAsia="zh-CN"/>
        </w:rPr>
      </w:pPr>
    </w:p>
    <w:p w14:paraId="7CDCACDC">
      <w:pPr>
        <w:widowControl w:val="0"/>
        <w:numPr>
          <w:ilvl w:val="0"/>
          <w:numId w:val="8"/>
        </w:numPr>
        <w:spacing w:line="360" w:lineRule="auto"/>
        <w:jc w:val="both"/>
        <w:outlineLvl w:val="0"/>
        <w:rPr>
          <w:rFonts w:eastAsia="楷体_GB2312"/>
          <w:b/>
          <w:bCs/>
        </w:rPr>
      </w:pPr>
      <w:bookmarkStart w:id="467" w:name="_Toc454484861"/>
      <w:bookmarkStart w:id="468" w:name="_Toc75510473"/>
      <w:bookmarkStart w:id="469" w:name="_Toc227955288"/>
      <w:bookmarkStart w:id="470" w:name="_Toc69138591"/>
      <w:bookmarkStart w:id="471" w:name="_Toc166105874"/>
      <w:r>
        <w:rPr>
          <w:rFonts w:eastAsia="楷体_GB2312"/>
          <w:b/>
          <w:bCs/>
        </w:rPr>
        <w:t>信</w:t>
      </w:r>
      <w:bookmarkStart w:id="472" w:name="_Toc92612931"/>
      <w:r>
        <w:rPr>
          <w:rFonts w:eastAsia="楷体_GB2312"/>
          <w:b/>
          <w:bCs/>
        </w:rPr>
        <w:t>托财产的</w:t>
      </w:r>
      <w:r>
        <w:rPr>
          <w:rFonts w:eastAsia="楷体_GB2312"/>
          <w:b/>
        </w:rPr>
        <w:t>管理</w:t>
      </w:r>
      <w:bookmarkEnd w:id="454"/>
      <w:bookmarkEnd w:id="455"/>
      <w:bookmarkEnd w:id="456"/>
      <w:r>
        <w:rPr>
          <w:rFonts w:eastAsia="楷体_GB2312"/>
          <w:b/>
        </w:rPr>
        <w:t>与保管</w:t>
      </w:r>
      <w:bookmarkEnd w:id="457"/>
      <w:bookmarkEnd w:id="467"/>
      <w:bookmarkEnd w:id="468"/>
      <w:bookmarkEnd w:id="469"/>
      <w:bookmarkEnd w:id="470"/>
      <w:bookmarkEnd w:id="471"/>
    </w:p>
    <w:bookmarkEnd w:id="472"/>
    <w:p w14:paraId="38E0613E">
      <w:pPr>
        <w:spacing w:line="360" w:lineRule="auto"/>
        <w:jc w:val="both"/>
        <w:rPr>
          <w:rFonts w:eastAsia="楷体_GB2312"/>
        </w:rPr>
      </w:pPr>
    </w:p>
    <w:p w14:paraId="12FF61F7">
      <w:pPr>
        <w:widowControl w:val="0"/>
        <w:numPr>
          <w:ilvl w:val="1"/>
          <w:numId w:val="8"/>
        </w:numPr>
        <w:spacing w:line="360" w:lineRule="auto"/>
        <w:jc w:val="both"/>
        <w:outlineLvl w:val="1"/>
        <w:rPr>
          <w:rFonts w:eastAsia="楷体_GB2312"/>
          <w:b/>
        </w:rPr>
      </w:pPr>
      <w:r>
        <w:rPr>
          <w:rFonts w:eastAsia="楷体_GB2312"/>
          <w:b/>
          <w:lang w:eastAsia="zh-CN"/>
        </w:rPr>
        <w:t>资产池</w:t>
      </w:r>
      <w:r>
        <w:rPr>
          <w:rFonts w:eastAsia="楷体_GB2312"/>
          <w:b/>
        </w:rPr>
        <w:t>的</w:t>
      </w:r>
      <w:r>
        <w:rPr>
          <w:rFonts w:eastAsia="楷体_GB2312"/>
          <w:b/>
          <w:lang w:eastAsia="zh-CN"/>
        </w:rPr>
        <w:t>管理</w:t>
      </w:r>
    </w:p>
    <w:p w14:paraId="6A5DFD6C">
      <w:pPr>
        <w:spacing w:line="360" w:lineRule="auto"/>
        <w:jc w:val="both"/>
        <w:rPr>
          <w:rFonts w:eastAsia="楷体_GB2312"/>
        </w:rPr>
      </w:pPr>
    </w:p>
    <w:p w14:paraId="32CFF705">
      <w:pPr>
        <w:spacing w:line="360" w:lineRule="auto"/>
        <w:ind w:left="991" w:leftChars="413"/>
        <w:jc w:val="both"/>
        <w:rPr>
          <w:rFonts w:eastAsia="楷体_GB2312"/>
          <w:lang w:eastAsia="zh-CN"/>
        </w:rPr>
      </w:pPr>
      <w:r>
        <w:rPr>
          <w:rFonts w:eastAsia="楷体_GB2312"/>
          <w:lang w:eastAsia="zh-CN"/>
        </w:rPr>
        <w:t>“受托人”应委托“【</w:t>
      </w:r>
      <w:r>
        <w:rPr>
          <w:rFonts w:hint="eastAsia" w:eastAsia="楷体_GB2312"/>
          <w:lang w:eastAsia="zh-CN"/>
        </w:rPr>
        <w:t>贷款服务机构全称</w:t>
      </w:r>
      <w:r>
        <w:rPr>
          <w:rFonts w:eastAsia="楷体_GB2312"/>
          <w:lang w:eastAsia="zh-CN"/>
        </w:rPr>
        <w:t>】”担任“贷款服务机构”提供与“资产池”相关的“服务”。“资产池”管理的具体事宜，由“受托人”与“贷款服务机构”另行签署“《服务合同》”予以约定。在发生“贷款服务机构解任事件”时，应更换“贷款服务机构”。更换“贷款服务机构”的具体程序由“受托人”和“贷款服务机构”在“《服务合同》”中具体约定。</w:t>
      </w:r>
    </w:p>
    <w:p w14:paraId="6F444C09">
      <w:pPr>
        <w:spacing w:line="360" w:lineRule="auto"/>
        <w:ind w:left="2340" w:hanging="1064"/>
        <w:jc w:val="both"/>
        <w:rPr>
          <w:rFonts w:eastAsia="楷体_GB2312"/>
          <w:lang w:eastAsia="zh-CN"/>
        </w:rPr>
      </w:pPr>
    </w:p>
    <w:p w14:paraId="2A25F194">
      <w:pPr>
        <w:widowControl w:val="0"/>
        <w:numPr>
          <w:ilvl w:val="1"/>
          <w:numId w:val="8"/>
        </w:numPr>
        <w:spacing w:line="360" w:lineRule="auto"/>
        <w:jc w:val="both"/>
        <w:outlineLvl w:val="1"/>
        <w:rPr>
          <w:rFonts w:eastAsia="楷体_GB2312"/>
          <w:b/>
        </w:rPr>
      </w:pPr>
      <w:bookmarkStart w:id="473" w:name="_Toc201569429"/>
      <w:bookmarkStart w:id="474" w:name="_Toc111281803"/>
      <w:bookmarkStart w:id="475" w:name="_Toc110153446"/>
      <w:r>
        <w:rPr>
          <w:rFonts w:eastAsia="楷体_GB2312"/>
          <w:b/>
          <w:lang w:eastAsia="zh-CN"/>
        </w:rPr>
        <w:t>货币类</w:t>
      </w:r>
      <w:r>
        <w:rPr>
          <w:rFonts w:eastAsia="楷体_GB2312"/>
          <w:b/>
        </w:rPr>
        <w:t>信托财产的保管</w:t>
      </w:r>
      <w:bookmarkEnd w:id="473"/>
      <w:bookmarkEnd w:id="474"/>
      <w:bookmarkEnd w:id="475"/>
    </w:p>
    <w:p w14:paraId="0CB17B6F">
      <w:pPr>
        <w:spacing w:line="360" w:lineRule="auto"/>
        <w:jc w:val="both"/>
        <w:rPr>
          <w:rFonts w:eastAsia="楷体_GB2312"/>
          <w:b/>
        </w:rPr>
      </w:pPr>
    </w:p>
    <w:p w14:paraId="0FD8FB70">
      <w:pPr>
        <w:spacing w:line="360" w:lineRule="auto"/>
        <w:ind w:left="991" w:leftChars="413"/>
        <w:jc w:val="both"/>
        <w:rPr>
          <w:rFonts w:eastAsia="楷体_GB2312"/>
          <w:lang w:eastAsia="zh-CN"/>
        </w:rPr>
      </w:pPr>
      <w:r>
        <w:rPr>
          <w:rFonts w:eastAsia="楷体_GB2312"/>
          <w:lang w:eastAsia="zh-CN"/>
        </w:rPr>
        <w:t>“受托人”应当在“资金保管机构”开立“信托账户”，并委托“资金保管机构”对该账户内的资金进行保管。“受托人”与“资金保管机构”应当就资金保管事宜另行签订“《资金保管合同》”，由“资金保管机构”负责监督“信托账户”内资金的使用。在“资金保管机构”发生“资金保管机构解任事件”时，应更换“资金保管机构”。更换“资金保管机构”的具体程序由“受托人”和“资金保管机构”在“《资金保管合同》”中具体约定。</w:t>
      </w:r>
    </w:p>
    <w:p w14:paraId="1232AE50">
      <w:pPr>
        <w:spacing w:line="360" w:lineRule="auto"/>
        <w:ind w:left="991" w:leftChars="413"/>
        <w:jc w:val="both"/>
        <w:rPr>
          <w:rFonts w:eastAsia="楷体_GB2312"/>
          <w:lang w:eastAsia="zh-CN"/>
        </w:rPr>
      </w:pPr>
    </w:p>
    <w:p w14:paraId="3D55F680">
      <w:pPr>
        <w:widowControl w:val="0"/>
        <w:numPr>
          <w:ilvl w:val="1"/>
          <w:numId w:val="8"/>
        </w:numPr>
        <w:tabs>
          <w:tab w:val="left" w:pos="0"/>
          <w:tab w:val="left" w:pos="1571"/>
          <w:tab w:val="left" w:pos="1620"/>
        </w:tabs>
        <w:spacing w:line="360" w:lineRule="auto"/>
        <w:jc w:val="both"/>
        <w:outlineLvl w:val="1"/>
        <w:rPr>
          <w:rFonts w:eastAsia="楷体_GB2312"/>
          <w:b/>
          <w:lang w:eastAsia="zh-CN"/>
        </w:rPr>
      </w:pPr>
      <w:r>
        <w:rPr>
          <w:rFonts w:eastAsia="楷体_GB2312"/>
          <w:b/>
          <w:lang w:eastAsia="zh-CN"/>
        </w:rPr>
        <w:t>其他机构的职责</w:t>
      </w:r>
    </w:p>
    <w:p w14:paraId="25DE5243">
      <w:pPr>
        <w:rPr>
          <w:bCs/>
          <w:i/>
          <w:iCs/>
          <w:color w:val="FF0000"/>
          <w:lang w:eastAsia="zh-CN"/>
        </w:rPr>
      </w:pPr>
    </w:p>
    <w:p w14:paraId="5D068BEF">
      <w:pPr>
        <w:pStyle w:val="40"/>
        <w:widowControl w:val="0"/>
        <w:spacing w:line="360" w:lineRule="auto"/>
        <w:ind w:left="993" w:firstLine="0" w:firstLineChars="0"/>
        <w:jc w:val="both"/>
        <w:rPr>
          <w:rFonts w:eastAsia="楷体_GB2312"/>
          <w:color w:val="FF0000"/>
          <w:lang w:eastAsia="zh-CN"/>
        </w:rPr>
      </w:pPr>
      <w:r>
        <w:rPr>
          <w:rFonts w:eastAsia="楷体_GB2312"/>
          <w:b/>
          <w:bCs/>
          <w:i/>
          <w:iCs/>
          <w:color w:val="FF0000"/>
          <w:lang w:eastAsia="zh-CN"/>
        </w:rPr>
        <w:t>【注：接受受托机构委托代理信托事务的机构的职责可以结合项目实际情况补充或调整。】</w:t>
      </w:r>
    </w:p>
    <w:p w14:paraId="5F33477C">
      <w:pPr>
        <w:spacing w:line="360" w:lineRule="auto"/>
        <w:jc w:val="both"/>
        <w:rPr>
          <w:rFonts w:eastAsia="楷体_GB2312"/>
          <w:b/>
          <w:lang w:eastAsia="zh-CN"/>
        </w:rPr>
      </w:pPr>
    </w:p>
    <w:p w14:paraId="4D4A3CF5">
      <w:pPr>
        <w:widowControl w:val="0"/>
        <w:numPr>
          <w:ilvl w:val="0"/>
          <w:numId w:val="8"/>
        </w:numPr>
        <w:spacing w:line="360" w:lineRule="auto"/>
        <w:jc w:val="both"/>
        <w:outlineLvl w:val="0"/>
        <w:rPr>
          <w:rFonts w:eastAsia="楷体_GB2312"/>
          <w:b/>
        </w:rPr>
      </w:pPr>
      <w:bookmarkStart w:id="476" w:name="_Toc227955289"/>
      <w:bookmarkStart w:id="477" w:name="_Toc201569430"/>
      <w:bookmarkStart w:id="478" w:name="_Toc207007311"/>
      <w:bookmarkStart w:id="479" w:name="_Toc110153447"/>
      <w:bookmarkStart w:id="480" w:name="_Toc75510474"/>
      <w:bookmarkStart w:id="481" w:name="_Toc111281804"/>
      <w:bookmarkStart w:id="482" w:name="_Toc166105875"/>
      <w:bookmarkStart w:id="483" w:name="_Toc454484862"/>
      <w:bookmarkStart w:id="484" w:name="_Toc69138592"/>
      <w:r>
        <w:rPr>
          <w:rFonts w:eastAsia="楷体_GB2312"/>
          <w:b/>
        </w:rPr>
        <w:t>受</w:t>
      </w:r>
      <w:bookmarkStart w:id="485" w:name="_Toc106417387"/>
      <w:bookmarkEnd w:id="485"/>
      <w:bookmarkStart w:id="486" w:name="_Toc106417388"/>
      <w:bookmarkEnd w:id="486"/>
      <w:bookmarkStart w:id="487" w:name="_Toc106417389"/>
      <w:bookmarkEnd w:id="487"/>
      <w:bookmarkStart w:id="488" w:name="_Toc106417386"/>
      <w:bookmarkEnd w:id="488"/>
      <w:bookmarkStart w:id="489" w:name="_Toc92612934"/>
      <w:r>
        <w:rPr>
          <w:rFonts w:eastAsia="楷体_GB2312"/>
          <w:b/>
        </w:rPr>
        <w:t>托人的更换</w:t>
      </w:r>
      <w:bookmarkEnd w:id="476"/>
      <w:bookmarkEnd w:id="477"/>
      <w:bookmarkEnd w:id="478"/>
      <w:bookmarkEnd w:id="479"/>
      <w:bookmarkEnd w:id="480"/>
      <w:bookmarkEnd w:id="481"/>
      <w:bookmarkEnd w:id="482"/>
      <w:bookmarkEnd w:id="483"/>
      <w:bookmarkEnd w:id="484"/>
    </w:p>
    <w:bookmarkEnd w:id="489"/>
    <w:p w14:paraId="341165D6">
      <w:pPr>
        <w:spacing w:line="360" w:lineRule="auto"/>
        <w:jc w:val="both"/>
        <w:rPr>
          <w:rFonts w:eastAsia="楷体_GB2312"/>
          <w:b/>
        </w:rPr>
      </w:pPr>
      <w:bookmarkStart w:id="490" w:name="_Ref110227113"/>
    </w:p>
    <w:p w14:paraId="1A7C8CA0">
      <w:pPr>
        <w:widowControl w:val="0"/>
        <w:numPr>
          <w:ilvl w:val="1"/>
          <w:numId w:val="8"/>
        </w:numPr>
        <w:spacing w:line="360" w:lineRule="auto"/>
        <w:jc w:val="both"/>
        <w:outlineLvl w:val="1"/>
        <w:rPr>
          <w:rFonts w:eastAsia="楷体_GB2312"/>
          <w:b/>
        </w:rPr>
      </w:pPr>
      <w:bookmarkStart w:id="491" w:name="_Toc152168182"/>
      <w:bookmarkStart w:id="492" w:name="_Toc151554347"/>
      <w:bookmarkStart w:id="493" w:name="_Ref182904705"/>
      <w:bookmarkStart w:id="494" w:name="_Toc152168738"/>
      <w:r>
        <w:rPr>
          <w:rFonts w:eastAsia="楷体_GB2312"/>
          <w:b/>
        </w:rPr>
        <w:t>受托人的辞任</w:t>
      </w:r>
      <w:bookmarkEnd w:id="491"/>
      <w:bookmarkEnd w:id="492"/>
      <w:bookmarkEnd w:id="493"/>
      <w:bookmarkEnd w:id="494"/>
    </w:p>
    <w:p w14:paraId="372B8D59">
      <w:pPr>
        <w:spacing w:line="360" w:lineRule="auto"/>
        <w:jc w:val="both"/>
        <w:rPr>
          <w:rFonts w:eastAsia="楷体_GB2312"/>
          <w:w w:val="0"/>
          <w:lang w:val="en-GB"/>
        </w:rPr>
      </w:pPr>
    </w:p>
    <w:p w14:paraId="1CDA6427">
      <w:pPr>
        <w:spacing w:line="360" w:lineRule="auto"/>
        <w:ind w:left="1080"/>
        <w:jc w:val="both"/>
        <w:rPr>
          <w:rFonts w:eastAsia="楷体_GB2312"/>
          <w:w w:val="0"/>
          <w:lang w:val="en-GB" w:eastAsia="zh-CN"/>
        </w:rPr>
      </w:pPr>
      <w:r>
        <w:rPr>
          <w:rFonts w:eastAsia="楷体_GB2312"/>
          <w:lang w:eastAsia="zh-CN"/>
        </w:rPr>
        <w:t>除非“中国”“法律”或“交易文件”另有</w:t>
      </w:r>
      <w:r>
        <w:rPr>
          <w:rFonts w:eastAsia="楷体_GB2312"/>
          <w:bCs/>
          <w:lang w:eastAsia="zh-CN"/>
        </w:rPr>
        <w:t>约</w:t>
      </w:r>
      <w:r>
        <w:rPr>
          <w:rFonts w:eastAsia="楷体_GB2312"/>
          <w:lang w:eastAsia="zh-CN"/>
        </w:rPr>
        <w:t>定，“受托人”可于任何时候</w:t>
      </w:r>
      <w:r>
        <w:rPr>
          <w:rFonts w:eastAsia="楷体_GB2312"/>
          <w:w w:val="0"/>
          <w:lang w:val="en-GB" w:eastAsia="zh-CN"/>
        </w:rPr>
        <w:t>按照本合同</w:t>
      </w:r>
      <w:r>
        <w:rPr>
          <w:rFonts w:eastAsia="楷体_GB2312"/>
          <w:bCs/>
          <w:lang w:eastAsia="zh-CN"/>
        </w:rPr>
        <w:t>约</w:t>
      </w:r>
      <w:r>
        <w:rPr>
          <w:rFonts w:eastAsia="楷体_GB2312"/>
          <w:w w:val="0"/>
          <w:lang w:val="en-GB" w:eastAsia="zh-CN"/>
        </w:rPr>
        <w:t>定书面通知本合同其他各方以及“评级机构”提出辞任，但应符合如下条件：(1)该辞任须经“委托人”书面同意和“资产支持证券持有人大会”批准；(2)“受托人”已推荐了符合“受托人合格标准”并愿意按照本合同的条款担任“受托人”的继任机构，并且“资产支持证券持有人大会”已经书面批准对该继任“受托人”的任命。</w:t>
      </w:r>
    </w:p>
    <w:p w14:paraId="0140F753">
      <w:pPr>
        <w:spacing w:line="360" w:lineRule="auto"/>
        <w:ind w:left="1133" w:leftChars="472"/>
        <w:jc w:val="both"/>
        <w:rPr>
          <w:rFonts w:eastAsia="楷体_GB2312"/>
          <w:b/>
          <w:bCs/>
          <w:i/>
          <w:iCs/>
          <w:color w:val="FF0000"/>
        </w:rPr>
      </w:pPr>
      <w:r>
        <w:rPr>
          <w:rFonts w:eastAsia="楷体_GB2312"/>
          <w:b/>
          <w:bCs/>
          <w:i/>
          <w:iCs/>
          <w:color w:val="FF0000"/>
        </w:rPr>
        <w:t>【注：受托人辞任的条件可以根据项目实际情况调整。】</w:t>
      </w:r>
    </w:p>
    <w:p w14:paraId="345CE5BF">
      <w:pPr>
        <w:spacing w:line="360" w:lineRule="auto"/>
        <w:jc w:val="both"/>
        <w:rPr>
          <w:rFonts w:eastAsia="楷体_GB2312"/>
          <w:b/>
          <w:lang w:val="en-GB" w:eastAsia="zh-CN"/>
        </w:rPr>
      </w:pPr>
    </w:p>
    <w:p w14:paraId="6AE6ABDF">
      <w:pPr>
        <w:widowControl w:val="0"/>
        <w:numPr>
          <w:ilvl w:val="1"/>
          <w:numId w:val="8"/>
        </w:numPr>
        <w:spacing w:line="360" w:lineRule="auto"/>
        <w:jc w:val="both"/>
        <w:outlineLvl w:val="1"/>
        <w:rPr>
          <w:rFonts w:eastAsia="楷体_GB2312"/>
          <w:b/>
        </w:rPr>
      </w:pPr>
      <w:bookmarkStart w:id="495" w:name="_Ref182904582"/>
      <w:bookmarkStart w:id="496" w:name="_Ref182904708"/>
      <w:r>
        <w:rPr>
          <w:rFonts w:eastAsia="楷体_GB2312"/>
          <w:b/>
        </w:rPr>
        <w:t>受托人的解任</w:t>
      </w:r>
      <w:bookmarkEnd w:id="495"/>
      <w:bookmarkEnd w:id="496"/>
    </w:p>
    <w:p w14:paraId="2E5C8D66">
      <w:pPr>
        <w:tabs>
          <w:tab w:val="left" w:pos="2356"/>
        </w:tabs>
        <w:spacing w:line="360" w:lineRule="auto"/>
        <w:ind w:left="425"/>
        <w:jc w:val="both"/>
        <w:rPr>
          <w:rFonts w:eastAsia="楷体_GB2312"/>
          <w:b/>
        </w:rPr>
      </w:pPr>
    </w:p>
    <w:p w14:paraId="2FA95C32">
      <w:pPr>
        <w:spacing w:line="360" w:lineRule="auto"/>
        <w:ind w:left="1080"/>
        <w:jc w:val="both"/>
        <w:rPr>
          <w:rFonts w:eastAsia="楷体_GB2312"/>
          <w:w w:val="0"/>
          <w:lang w:val="en-GB" w:eastAsia="zh-CN"/>
        </w:rPr>
      </w:pPr>
      <w:r>
        <w:rPr>
          <w:rFonts w:eastAsia="楷体_GB2312"/>
          <w:w w:val="0"/>
          <w:lang w:val="en-GB" w:eastAsia="zh-CN"/>
        </w:rPr>
        <w:t>如发生“受托人解任事件”，“受托人”应立即书面通知本合同其他各方、“评级机构”以及全体“资产支持证券持有人”，“资产支持证券持有人大会”有权解任“受托人”并书面通知“受托人”，同时抄送“委托人”、“评级机构”，该解任通知自继任“受托人”向“资产支持证券持有人大会”提交其接受委任的书面文件之日起生效。</w:t>
      </w:r>
    </w:p>
    <w:p w14:paraId="0F42B159">
      <w:pPr>
        <w:spacing w:line="360" w:lineRule="auto"/>
        <w:ind w:left="1133" w:leftChars="472"/>
        <w:jc w:val="both"/>
        <w:rPr>
          <w:rFonts w:eastAsia="楷体_GB2312"/>
          <w:b/>
          <w:bCs/>
          <w:i/>
          <w:iCs/>
          <w:color w:val="FF0000"/>
          <w:lang w:eastAsia="zh-CN"/>
        </w:rPr>
      </w:pPr>
      <w:r>
        <w:rPr>
          <w:rFonts w:eastAsia="楷体_GB2312"/>
          <w:b/>
          <w:bCs/>
          <w:i/>
          <w:iCs/>
          <w:color w:val="FF0000"/>
        </w:rPr>
        <w:t>【注：受托人解任的程序可以根据项目实际情况调整。】</w:t>
      </w:r>
    </w:p>
    <w:p w14:paraId="0C9A6C3E">
      <w:pPr>
        <w:spacing w:line="380" w:lineRule="atLeast"/>
        <w:ind w:firstLine="723" w:firstLineChars="300"/>
        <w:jc w:val="both"/>
        <w:rPr>
          <w:rFonts w:eastAsia="楷体_GB2312"/>
          <w:b/>
          <w:bCs/>
          <w:i/>
          <w:iCs/>
          <w:color w:val="FF0000"/>
          <w:lang w:eastAsia="zh-CN"/>
        </w:rPr>
      </w:pPr>
    </w:p>
    <w:p w14:paraId="1B372FE3">
      <w:pPr>
        <w:widowControl w:val="0"/>
        <w:numPr>
          <w:ilvl w:val="1"/>
          <w:numId w:val="8"/>
        </w:numPr>
        <w:spacing w:line="360" w:lineRule="auto"/>
        <w:jc w:val="both"/>
        <w:outlineLvl w:val="1"/>
        <w:rPr>
          <w:rFonts w:eastAsia="楷体_GB2312"/>
          <w:b/>
        </w:rPr>
      </w:pPr>
      <w:r>
        <w:rPr>
          <w:rFonts w:eastAsia="楷体_GB2312"/>
          <w:b/>
        </w:rPr>
        <w:t>继任受托人的委任</w:t>
      </w:r>
    </w:p>
    <w:p w14:paraId="2F34D522">
      <w:pPr>
        <w:tabs>
          <w:tab w:val="left" w:pos="1571"/>
        </w:tabs>
        <w:spacing w:line="360" w:lineRule="auto"/>
        <w:ind w:left="425"/>
        <w:jc w:val="both"/>
        <w:rPr>
          <w:rFonts w:eastAsia="楷体_GB2312"/>
        </w:rPr>
      </w:pPr>
    </w:p>
    <w:p w14:paraId="18E13FA3">
      <w:pPr>
        <w:widowControl w:val="0"/>
        <w:numPr>
          <w:ilvl w:val="2"/>
          <w:numId w:val="8"/>
        </w:numPr>
        <w:tabs>
          <w:tab w:val="left" w:pos="1620"/>
        </w:tabs>
        <w:spacing w:line="360" w:lineRule="auto"/>
        <w:ind w:left="1620" w:hanging="769"/>
        <w:jc w:val="both"/>
        <w:rPr>
          <w:rFonts w:eastAsia="楷体_GB2312"/>
          <w:w w:val="0"/>
          <w:lang w:eastAsia="zh-CN"/>
        </w:rPr>
      </w:pPr>
      <w:bookmarkStart w:id="497" w:name="_Ref182904633"/>
      <w:r>
        <w:rPr>
          <w:rFonts w:eastAsia="楷体_GB2312"/>
          <w:lang w:eastAsia="zh-CN"/>
        </w:rPr>
        <w:t>根据</w:t>
      </w:r>
      <w:r>
        <w:rPr>
          <w:rFonts w:eastAsia="楷体_GB2312"/>
          <w:w w:val="0"/>
          <w:lang w:eastAsia="zh-CN"/>
        </w:rPr>
        <w:t>上述第</w:t>
      </w:r>
      <w:r>
        <w:rPr>
          <w:rFonts w:eastAsia="楷体_GB2312"/>
        </w:rPr>
        <w:fldChar w:fldCharType="begin"/>
      </w:r>
      <w:r>
        <w:rPr>
          <w:rFonts w:eastAsia="楷体_GB2312"/>
          <w:lang w:eastAsia="zh-CN"/>
        </w:rPr>
        <w:instrText xml:space="preserve"> REF _Ref182904582 \r \h  \* MERGEFORMAT </w:instrText>
      </w:r>
      <w:r>
        <w:rPr>
          <w:rFonts w:eastAsia="楷体_GB2312"/>
        </w:rPr>
        <w:fldChar w:fldCharType="separate"/>
      </w:r>
      <w:r>
        <w:rPr>
          <w:rFonts w:eastAsia="楷体_GB2312"/>
          <w:w w:val="0"/>
          <w:lang w:eastAsia="zh-CN"/>
        </w:rPr>
        <w:t>15.2</w:t>
      </w:r>
      <w:r>
        <w:rPr>
          <w:rFonts w:eastAsia="楷体_GB2312"/>
        </w:rPr>
        <w:fldChar w:fldCharType="end"/>
      </w:r>
      <w:r>
        <w:rPr>
          <w:rFonts w:eastAsia="楷体_GB2312"/>
          <w:w w:val="0"/>
          <w:lang w:eastAsia="zh-CN"/>
        </w:rPr>
        <w:t>款的</w:t>
      </w:r>
      <w:r>
        <w:rPr>
          <w:rFonts w:eastAsia="楷体_GB2312"/>
          <w:bCs/>
          <w:lang w:eastAsia="zh-CN"/>
        </w:rPr>
        <w:t>约</w:t>
      </w:r>
      <w:r>
        <w:rPr>
          <w:rFonts w:eastAsia="楷体_GB2312"/>
          <w:w w:val="0"/>
          <w:lang w:eastAsia="zh-CN"/>
        </w:rPr>
        <w:t>定解任“受托人”的同时，“资产支持证券持有人大会”应立即任命符合“受托人合格标准”并愿意担任“受托人”的继任“受托人”，并将对该继任“受托人”的任命通知“委托人”、“受托人”、“资产支持证券持有人”以及“评级机构”。在继任“受托人”接受该任命之前，“受托人”的任何辞任或解任均不得生效。</w:t>
      </w:r>
      <w:bookmarkEnd w:id="497"/>
    </w:p>
    <w:p w14:paraId="1453123B">
      <w:pPr>
        <w:spacing w:line="360" w:lineRule="auto"/>
        <w:ind w:left="851"/>
        <w:jc w:val="both"/>
        <w:rPr>
          <w:rFonts w:eastAsia="楷体_GB2312"/>
          <w:w w:val="0"/>
          <w:lang w:eastAsia="zh-CN"/>
        </w:rPr>
      </w:pPr>
    </w:p>
    <w:p w14:paraId="51EF15E2">
      <w:pPr>
        <w:widowControl w:val="0"/>
        <w:numPr>
          <w:ilvl w:val="2"/>
          <w:numId w:val="8"/>
        </w:numPr>
        <w:tabs>
          <w:tab w:val="left" w:pos="1620"/>
        </w:tabs>
        <w:spacing w:line="360" w:lineRule="auto"/>
        <w:ind w:left="1620" w:hanging="769"/>
        <w:jc w:val="both"/>
        <w:rPr>
          <w:rFonts w:eastAsia="楷体_GB2312"/>
          <w:w w:val="0"/>
          <w:lang w:eastAsia="zh-CN"/>
        </w:rPr>
      </w:pPr>
      <w:bookmarkStart w:id="498" w:name="_DV_M532"/>
      <w:bookmarkEnd w:id="498"/>
      <w:r>
        <w:rPr>
          <w:rFonts w:eastAsia="楷体_GB2312"/>
          <w:lang w:eastAsia="zh-CN"/>
        </w:rPr>
        <w:t>如果</w:t>
      </w:r>
      <w:r>
        <w:rPr>
          <w:rFonts w:eastAsia="楷体_GB2312"/>
          <w:w w:val="0"/>
          <w:lang w:eastAsia="zh-CN"/>
        </w:rPr>
        <w:t>因“受托人”发生任何“丧失清偿能力事件”中的任何一项或丧失“受托人合格标准”而解任“受托人”的，在根据上述第</w:t>
      </w:r>
      <w:r>
        <w:rPr>
          <w:rFonts w:eastAsia="楷体_GB2312"/>
        </w:rPr>
        <w:fldChar w:fldCharType="begin"/>
      </w:r>
      <w:r>
        <w:rPr>
          <w:rFonts w:eastAsia="楷体_GB2312"/>
          <w:lang w:eastAsia="zh-CN"/>
        </w:rPr>
        <w:instrText xml:space="preserve"> REF _Ref182904633 \r \h  \* MERGEFORMAT </w:instrText>
      </w:r>
      <w:r>
        <w:rPr>
          <w:rFonts w:eastAsia="楷体_GB2312"/>
        </w:rPr>
        <w:fldChar w:fldCharType="separate"/>
      </w:r>
      <w:r>
        <w:rPr>
          <w:rFonts w:eastAsia="楷体_GB2312"/>
          <w:w w:val="0"/>
          <w:lang w:eastAsia="zh-CN"/>
        </w:rPr>
        <w:t>15.3.1</w:t>
      </w:r>
      <w:r>
        <w:rPr>
          <w:rFonts w:eastAsia="楷体_GB2312"/>
        </w:rPr>
        <w:fldChar w:fldCharType="end"/>
      </w:r>
      <w:r>
        <w:rPr>
          <w:rFonts w:eastAsia="楷体_GB2312"/>
          <w:w w:val="0"/>
          <w:lang w:eastAsia="zh-CN"/>
        </w:rPr>
        <w:t>款的约定任命继任“受托人”以前，由届时“</w:t>
      </w:r>
      <w:r>
        <w:rPr>
          <w:rFonts w:eastAsia="楷体_GB2312"/>
          <w:lang w:eastAsia="zh-CN"/>
        </w:rPr>
        <w:t>金融监管总局</w:t>
      </w:r>
      <w:r>
        <w:rPr>
          <w:rFonts w:eastAsia="楷体_GB2312"/>
          <w:w w:val="0"/>
          <w:lang w:eastAsia="zh-CN"/>
        </w:rPr>
        <w:t>”指定的临时“受托人”（如有），代为履行“受托人”在“《信托合同》”及其他“交易文件”项下的职责</w:t>
      </w:r>
      <w:r>
        <w:rPr>
          <w:rFonts w:eastAsia="楷体_GB2312"/>
          <w:bCs/>
          <w:w w:val="0"/>
          <w:lang w:eastAsia="zh-CN"/>
        </w:rPr>
        <w:t>。</w:t>
      </w:r>
    </w:p>
    <w:p w14:paraId="5C275EA2">
      <w:pPr>
        <w:spacing w:line="360" w:lineRule="auto"/>
        <w:ind w:left="851"/>
        <w:jc w:val="both"/>
        <w:rPr>
          <w:rFonts w:eastAsia="楷体_GB2312"/>
          <w:w w:val="0"/>
          <w:lang w:eastAsia="zh-CN"/>
        </w:rPr>
      </w:pPr>
      <w:bookmarkStart w:id="499" w:name="_DV_M533"/>
      <w:bookmarkEnd w:id="499"/>
    </w:p>
    <w:p w14:paraId="6D665D64">
      <w:pPr>
        <w:widowControl w:val="0"/>
        <w:numPr>
          <w:ilvl w:val="2"/>
          <w:numId w:val="8"/>
        </w:numPr>
        <w:tabs>
          <w:tab w:val="left" w:pos="1620"/>
        </w:tabs>
        <w:spacing w:line="360" w:lineRule="auto"/>
        <w:ind w:left="1620" w:hanging="769"/>
        <w:jc w:val="both"/>
        <w:rPr>
          <w:rFonts w:eastAsia="楷体_GB2312"/>
          <w:w w:val="0"/>
          <w:lang w:eastAsia="zh-CN"/>
        </w:rPr>
      </w:pPr>
      <w:bookmarkStart w:id="500" w:name="_DV_M534"/>
      <w:bookmarkEnd w:id="500"/>
      <w:bookmarkStart w:id="501" w:name="_Ref182904509"/>
      <w:r>
        <w:rPr>
          <w:rFonts w:eastAsia="楷体_GB2312"/>
          <w:w w:val="0"/>
          <w:lang w:eastAsia="zh-CN"/>
        </w:rPr>
        <w:t>继任</w:t>
      </w:r>
      <w:r>
        <w:rPr>
          <w:rFonts w:eastAsia="楷体_GB2312"/>
          <w:lang w:eastAsia="zh-CN"/>
        </w:rPr>
        <w:t>“受托人”应</w:t>
      </w:r>
      <w:r>
        <w:rPr>
          <w:rFonts w:eastAsia="楷体_GB2312"/>
          <w:w w:val="0"/>
          <w:lang w:eastAsia="zh-CN"/>
        </w:rPr>
        <w:t>签署并向“委托人”、原“受托人”以及“资产支持证券持有人大会”交付其接受委任的书面文件，原“受托人”的辞任或解任在继任</w:t>
      </w:r>
      <w:r>
        <w:rPr>
          <w:rFonts w:eastAsia="楷体_GB2312"/>
          <w:lang w:eastAsia="zh-CN"/>
        </w:rPr>
        <w:t>“受托人”</w:t>
      </w:r>
      <w:r>
        <w:rPr>
          <w:rFonts w:eastAsia="楷体_GB2312"/>
          <w:w w:val="0"/>
          <w:lang w:eastAsia="zh-CN"/>
        </w:rPr>
        <w:t>签署并交付该等书面文件后立即生效，且继任“受托人”无需采取进一步的行动，即自动享有并承担其前任“受托人”在本合同以及其前任“受托人”作为一方的其他“交易文件”项下的全部权利、职责和义务。</w:t>
      </w:r>
      <w:bookmarkEnd w:id="501"/>
    </w:p>
    <w:p w14:paraId="0B19BECA">
      <w:pPr>
        <w:spacing w:line="360" w:lineRule="auto"/>
        <w:ind w:left="851"/>
        <w:jc w:val="both"/>
        <w:rPr>
          <w:rFonts w:eastAsia="楷体_GB2312"/>
          <w:w w:val="0"/>
          <w:lang w:eastAsia="zh-CN"/>
        </w:rPr>
      </w:pPr>
    </w:p>
    <w:p w14:paraId="75B90FCA">
      <w:pPr>
        <w:widowControl w:val="0"/>
        <w:numPr>
          <w:ilvl w:val="2"/>
          <w:numId w:val="8"/>
        </w:numPr>
        <w:tabs>
          <w:tab w:val="left" w:pos="1620"/>
        </w:tabs>
        <w:spacing w:line="360" w:lineRule="auto"/>
        <w:ind w:left="1620" w:hanging="769"/>
        <w:jc w:val="both"/>
        <w:rPr>
          <w:rFonts w:eastAsia="楷体_GB2312"/>
          <w:w w:val="0"/>
          <w:lang w:eastAsia="zh-CN"/>
        </w:rPr>
      </w:pPr>
      <w:bookmarkStart w:id="502" w:name="_DV_M535"/>
      <w:bookmarkEnd w:id="502"/>
      <w:r>
        <w:rPr>
          <w:rFonts w:eastAsia="楷体_GB2312"/>
          <w:w w:val="0"/>
          <w:lang w:eastAsia="zh-CN"/>
        </w:rPr>
        <w:t>辞任或被解任的原“受托人”在辞任或被解任后应：(1)立即签署并交付形式和内容符合继任“受托人”和“资产支持证券持有人大会”要求的书面文件，向继任“受托人”完全转让其在本合同及其作为一方的“交易文件”项下的全部权利、职责和义务；(2)向继任“受托人”转让并交付“信托财产”以及其根据本合同及其他“交易文件”持有的全部其他财产和金钱；(3)向继任“受托人”或“贷款服务机构”（作为继任“受托人”的代理人）转让并交付“账户记录”；以及(4)采取一切必要的或被合理要求的行动完善向继任“受托人”转让相应财产和金钱的行为。</w:t>
      </w:r>
    </w:p>
    <w:p w14:paraId="579FB25D">
      <w:pPr>
        <w:widowControl w:val="0"/>
        <w:tabs>
          <w:tab w:val="left" w:pos="425"/>
          <w:tab w:val="left" w:pos="1997"/>
          <w:tab w:val="left" w:pos="2356"/>
        </w:tabs>
        <w:spacing w:line="360" w:lineRule="auto"/>
        <w:ind w:left="1604" w:leftChars="668" w:hanging="1"/>
        <w:jc w:val="both"/>
        <w:rPr>
          <w:rFonts w:eastAsia="楷体_GB2312"/>
          <w:color w:val="FF0000"/>
          <w:w w:val="0"/>
          <w:lang w:eastAsia="zh-CN"/>
        </w:rPr>
      </w:pPr>
      <w:r>
        <w:rPr>
          <w:rFonts w:eastAsia="楷体_GB2312"/>
          <w:b/>
          <w:bCs/>
          <w:i/>
          <w:iCs/>
          <w:color w:val="FF0000"/>
          <w:w w:val="0"/>
          <w:lang w:eastAsia="zh-CN"/>
        </w:rPr>
        <w:t>【注：继任受托人的委任程序可以根据项目实际情况调整。】</w:t>
      </w:r>
    </w:p>
    <w:p w14:paraId="248A8EE6">
      <w:pPr>
        <w:tabs>
          <w:tab w:val="left" w:pos="2356"/>
        </w:tabs>
        <w:spacing w:line="360" w:lineRule="auto"/>
        <w:jc w:val="both"/>
        <w:rPr>
          <w:rFonts w:eastAsia="楷体_GB2312"/>
          <w:w w:val="0"/>
          <w:lang w:eastAsia="zh-CN"/>
        </w:rPr>
      </w:pPr>
      <w:bookmarkStart w:id="503" w:name="_DV_M536"/>
      <w:bookmarkEnd w:id="503"/>
    </w:p>
    <w:p w14:paraId="7298E3B8">
      <w:pPr>
        <w:widowControl w:val="0"/>
        <w:numPr>
          <w:ilvl w:val="1"/>
          <w:numId w:val="8"/>
        </w:numPr>
        <w:spacing w:line="360" w:lineRule="auto"/>
        <w:jc w:val="both"/>
        <w:outlineLvl w:val="1"/>
        <w:rPr>
          <w:rFonts w:eastAsia="楷体_GB2312"/>
          <w:b/>
        </w:rPr>
      </w:pPr>
      <w:r>
        <w:rPr>
          <w:rFonts w:eastAsia="楷体_GB2312"/>
          <w:b/>
        </w:rPr>
        <w:t>费用和支出的负担</w:t>
      </w:r>
    </w:p>
    <w:p w14:paraId="6E6505B3">
      <w:pPr>
        <w:pStyle w:val="8"/>
        <w:spacing w:after="0" w:line="360" w:lineRule="auto"/>
        <w:jc w:val="both"/>
        <w:rPr>
          <w:rFonts w:eastAsia="楷体_GB2312"/>
          <w:w w:val="0"/>
          <w:lang w:val="en-GB"/>
        </w:rPr>
      </w:pPr>
    </w:p>
    <w:p w14:paraId="3498879C">
      <w:pPr>
        <w:spacing w:line="360" w:lineRule="auto"/>
        <w:ind w:left="851"/>
        <w:jc w:val="both"/>
        <w:rPr>
          <w:rFonts w:eastAsia="楷体_GB2312"/>
          <w:w w:val="0"/>
          <w:lang w:val="en-GB" w:eastAsia="zh-CN"/>
        </w:rPr>
      </w:pPr>
      <w:r>
        <w:rPr>
          <w:rFonts w:eastAsia="楷体_GB2312"/>
          <w:w w:val="0"/>
          <w:lang w:val="en-GB" w:eastAsia="zh-CN"/>
        </w:rPr>
        <w:t>“受托人”根据本合同第</w:t>
      </w:r>
      <w:r>
        <w:rPr>
          <w:rFonts w:eastAsia="楷体_GB2312"/>
        </w:rPr>
        <w:fldChar w:fldCharType="begin"/>
      </w:r>
      <w:r>
        <w:rPr>
          <w:rFonts w:eastAsia="楷体_GB2312"/>
          <w:lang w:eastAsia="zh-CN"/>
        </w:rPr>
        <w:instrText xml:space="preserve"> REF _Ref182904705 \r \h  \* MERGEFORMAT </w:instrText>
      </w:r>
      <w:r>
        <w:rPr>
          <w:rFonts w:eastAsia="楷体_GB2312"/>
        </w:rPr>
        <w:fldChar w:fldCharType="separate"/>
      </w:r>
      <w:r>
        <w:rPr>
          <w:rFonts w:eastAsia="楷体_GB2312"/>
          <w:w w:val="0"/>
          <w:lang w:val="en-GB" w:eastAsia="zh-CN"/>
        </w:rPr>
        <w:t>15.1</w:t>
      </w:r>
      <w:r>
        <w:rPr>
          <w:rFonts w:eastAsia="楷体_GB2312"/>
        </w:rPr>
        <w:fldChar w:fldCharType="end"/>
      </w:r>
      <w:r>
        <w:rPr>
          <w:rFonts w:eastAsia="楷体_GB2312"/>
          <w:w w:val="0"/>
          <w:lang w:val="en-GB" w:eastAsia="zh-CN"/>
        </w:rPr>
        <w:t>款辞任或根据第</w:t>
      </w:r>
      <w:r>
        <w:rPr>
          <w:rFonts w:eastAsia="楷体_GB2312"/>
        </w:rPr>
        <w:fldChar w:fldCharType="begin"/>
      </w:r>
      <w:r>
        <w:rPr>
          <w:rFonts w:eastAsia="楷体_GB2312"/>
          <w:lang w:eastAsia="zh-CN"/>
        </w:rPr>
        <w:instrText xml:space="preserve"> REF _Ref182904708 \r \h  \* MERGEFORMAT </w:instrText>
      </w:r>
      <w:r>
        <w:rPr>
          <w:rFonts w:eastAsia="楷体_GB2312"/>
        </w:rPr>
        <w:fldChar w:fldCharType="separate"/>
      </w:r>
      <w:r>
        <w:rPr>
          <w:rFonts w:eastAsia="楷体_GB2312"/>
          <w:w w:val="0"/>
          <w:lang w:val="en-GB" w:eastAsia="zh-CN"/>
        </w:rPr>
        <w:t>15.2</w:t>
      </w:r>
      <w:r>
        <w:rPr>
          <w:rFonts w:eastAsia="楷体_GB2312"/>
        </w:rPr>
        <w:fldChar w:fldCharType="end"/>
      </w:r>
      <w:r>
        <w:rPr>
          <w:rFonts w:eastAsia="楷体_GB2312"/>
          <w:w w:val="0"/>
          <w:lang w:val="en-GB" w:eastAsia="zh-CN"/>
        </w:rPr>
        <w:t>款被解任的，应承担因下列事项发生的全部费用和支出：(1)向继任“受托人”转让其在本合同及其作为一方的“交易文件”项下的全部权利、职责和义务；(2)按照应适用的“中国”“法律”向继任“受托人”转让全部“信托财产”并对该等转让予以完善；(3)将与“信托”有关的全部记录和其他文件交付给继任“受托人”；以及(4)“中国”“法律”要求的全部相关行为。</w:t>
      </w:r>
    </w:p>
    <w:p w14:paraId="5A972E95">
      <w:pPr>
        <w:spacing w:line="360" w:lineRule="auto"/>
        <w:ind w:left="851"/>
        <w:jc w:val="both"/>
        <w:rPr>
          <w:rFonts w:eastAsia="楷体_GB2312"/>
          <w:color w:val="FF0000"/>
          <w:w w:val="0"/>
          <w:lang w:val="en-GB" w:eastAsia="zh-CN"/>
        </w:rPr>
      </w:pPr>
      <w:r>
        <w:rPr>
          <w:rFonts w:eastAsia="楷体_GB2312"/>
          <w:b/>
          <w:bCs/>
          <w:i/>
          <w:iCs/>
          <w:color w:val="FF0000"/>
          <w:w w:val="0"/>
          <w:lang w:eastAsia="zh-CN"/>
        </w:rPr>
        <w:t>【注：受托人解任费用及支出的负担可以根据项目实际情况调整。】</w:t>
      </w:r>
    </w:p>
    <w:bookmarkEnd w:id="490"/>
    <w:p w14:paraId="74E2EBD5">
      <w:pPr>
        <w:spacing w:line="360" w:lineRule="auto"/>
        <w:jc w:val="both"/>
        <w:rPr>
          <w:rFonts w:eastAsia="楷体_GB2312"/>
          <w:lang w:eastAsia="zh-CN"/>
        </w:rPr>
      </w:pPr>
      <w:bookmarkStart w:id="504" w:name="_DV_M212"/>
      <w:bookmarkEnd w:id="504"/>
      <w:bookmarkStart w:id="505" w:name="_Toc112667951"/>
      <w:bookmarkEnd w:id="505"/>
      <w:bookmarkStart w:id="506" w:name="_Toc148440842"/>
      <w:bookmarkEnd w:id="506"/>
      <w:bookmarkStart w:id="507" w:name="_Toc148440841"/>
      <w:bookmarkEnd w:id="507"/>
      <w:bookmarkStart w:id="508" w:name="_Toc148384254"/>
      <w:bookmarkEnd w:id="508"/>
      <w:bookmarkStart w:id="509" w:name="_Toc112668124"/>
      <w:bookmarkEnd w:id="509"/>
      <w:bookmarkStart w:id="510" w:name="_Toc148384255"/>
      <w:bookmarkEnd w:id="510"/>
      <w:bookmarkStart w:id="511" w:name="_DV_M213"/>
      <w:bookmarkEnd w:id="511"/>
      <w:bookmarkStart w:id="512" w:name="_DV_M211"/>
      <w:bookmarkEnd w:id="512"/>
    </w:p>
    <w:p w14:paraId="407E4530">
      <w:pPr>
        <w:widowControl w:val="0"/>
        <w:numPr>
          <w:ilvl w:val="0"/>
          <w:numId w:val="8"/>
        </w:numPr>
        <w:spacing w:line="360" w:lineRule="auto"/>
        <w:jc w:val="both"/>
        <w:outlineLvl w:val="0"/>
        <w:rPr>
          <w:rFonts w:eastAsia="楷体_GB2312"/>
          <w:b/>
        </w:rPr>
      </w:pPr>
      <w:bookmarkStart w:id="513" w:name="_Toc207007312"/>
      <w:bookmarkStart w:id="514" w:name="_Toc454484863"/>
      <w:bookmarkStart w:id="515" w:name="_Toc110153448"/>
      <w:bookmarkStart w:id="516" w:name="_Toc69138593"/>
      <w:bookmarkStart w:id="517" w:name="_Toc166105876"/>
      <w:bookmarkStart w:id="518" w:name="_Toc201569431"/>
      <w:bookmarkStart w:id="519" w:name="_Toc227955290"/>
      <w:bookmarkStart w:id="520" w:name="_Toc75510475"/>
      <w:bookmarkStart w:id="521" w:name="_Toc111281805"/>
      <w:r>
        <w:rPr>
          <w:rFonts w:eastAsia="楷体_GB2312"/>
          <w:b/>
        </w:rPr>
        <w:t>信</w:t>
      </w:r>
      <w:bookmarkStart w:id="522" w:name="_Toc92612935"/>
      <w:r>
        <w:rPr>
          <w:rFonts w:eastAsia="楷体_GB2312"/>
          <w:b/>
        </w:rPr>
        <w:t>托的核算</w:t>
      </w:r>
      <w:bookmarkEnd w:id="513"/>
      <w:bookmarkEnd w:id="514"/>
      <w:bookmarkEnd w:id="515"/>
      <w:bookmarkEnd w:id="516"/>
      <w:bookmarkEnd w:id="517"/>
      <w:bookmarkEnd w:id="518"/>
      <w:bookmarkEnd w:id="519"/>
      <w:bookmarkEnd w:id="520"/>
      <w:bookmarkEnd w:id="521"/>
    </w:p>
    <w:bookmarkEnd w:id="522"/>
    <w:p w14:paraId="47311130">
      <w:pPr>
        <w:pStyle w:val="11"/>
        <w:spacing w:line="360" w:lineRule="auto"/>
        <w:jc w:val="both"/>
        <w:rPr>
          <w:rFonts w:ascii="Times New Roman" w:hAnsi="Times New Roman" w:cs="Times New Roman"/>
        </w:rPr>
      </w:pPr>
    </w:p>
    <w:p w14:paraId="406D349B">
      <w:pPr>
        <w:widowControl w:val="0"/>
        <w:numPr>
          <w:ilvl w:val="1"/>
          <w:numId w:val="8"/>
        </w:numPr>
        <w:spacing w:line="360" w:lineRule="auto"/>
        <w:jc w:val="both"/>
        <w:rPr>
          <w:rFonts w:eastAsia="楷体_GB2312"/>
          <w:lang w:eastAsia="zh-CN"/>
        </w:rPr>
      </w:pPr>
      <w:r>
        <w:rPr>
          <w:rFonts w:eastAsia="楷体_GB2312"/>
          <w:lang w:eastAsia="zh-CN"/>
        </w:rPr>
        <w:t>“受托人”应按照“中国”“法律”的要求进行“信托财产”记账和会计核算。</w:t>
      </w:r>
    </w:p>
    <w:p w14:paraId="3887F3CD">
      <w:pPr>
        <w:spacing w:line="360" w:lineRule="auto"/>
        <w:ind w:left="1800"/>
        <w:jc w:val="both"/>
        <w:rPr>
          <w:rFonts w:eastAsia="楷体_GB2312"/>
          <w:lang w:eastAsia="zh-CN"/>
        </w:rPr>
      </w:pPr>
    </w:p>
    <w:p w14:paraId="52A0E2FA">
      <w:pPr>
        <w:widowControl w:val="0"/>
        <w:numPr>
          <w:ilvl w:val="1"/>
          <w:numId w:val="8"/>
        </w:numPr>
        <w:spacing w:line="360" w:lineRule="auto"/>
        <w:jc w:val="both"/>
        <w:rPr>
          <w:rFonts w:eastAsia="楷体_GB2312"/>
          <w:lang w:eastAsia="zh-CN"/>
        </w:rPr>
      </w:pPr>
      <w:r>
        <w:rPr>
          <w:rFonts w:eastAsia="楷体_GB2312"/>
          <w:lang w:eastAsia="zh-CN"/>
        </w:rPr>
        <w:t>“受托人”开立“信托账户”专门用于“信托”项下的资金结算，进行核算管理，确保“信托”项下的“信托财产”与“受托人”的固有财产和其他信托项下的财产分开管理、分账核算。</w:t>
      </w:r>
    </w:p>
    <w:p w14:paraId="0130730E">
      <w:pPr>
        <w:spacing w:line="360" w:lineRule="auto"/>
        <w:ind w:left="1800"/>
        <w:jc w:val="both"/>
        <w:rPr>
          <w:rFonts w:eastAsia="楷体_GB2312"/>
          <w:lang w:eastAsia="zh-CN"/>
        </w:rPr>
      </w:pPr>
    </w:p>
    <w:p w14:paraId="3ABA9895">
      <w:pPr>
        <w:widowControl w:val="0"/>
        <w:numPr>
          <w:ilvl w:val="1"/>
          <w:numId w:val="8"/>
        </w:numPr>
        <w:spacing w:line="360" w:lineRule="auto"/>
        <w:jc w:val="both"/>
        <w:rPr>
          <w:rFonts w:eastAsia="楷体_GB2312"/>
          <w:lang w:eastAsia="zh-CN"/>
        </w:rPr>
      </w:pPr>
      <w:r>
        <w:rPr>
          <w:rFonts w:eastAsia="楷体_GB2312"/>
          <w:lang w:eastAsia="zh-CN"/>
        </w:rPr>
        <w:t>“受托人”为“信托”建立单独的会计记录和财务报表，确保“信托财产”的独立性。</w:t>
      </w:r>
    </w:p>
    <w:p w14:paraId="237C6453">
      <w:pPr>
        <w:spacing w:line="360" w:lineRule="auto"/>
        <w:ind w:left="1800"/>
        <w:jc w:val="both"/>
        <w:rPr>
          <w:rFonts w:eastAsia="楷体_GB2312"/>
          <w:lang w:eastAsia="zh-CN"/>
        </w:rPr>
      </w:pPr>
    </w:p>
    <w:p w14:paraId="76217B12">
      <w:pPr>
        <w:widowControl w:val="0"/>
        <w:numPr>
          <w:ilvl w:val="1"/>
          <w:numId w:val="8"/>
        </w:numPr>
        <w:spacing w:line="360" w:lineRule="auto"/>
        <w:jc w:val="both"/>
        <w:rPr>
          <w:rFonts w:eastAsia="楷体_GB2312"/>
          <w:lang w:eastAsia="zh-CN"/>
        </w:rPr>
      </w:pPr>
      <w:r>
        <w:rPr>
          <w:rFonts w:eastAsia="楷体_GB2312"/>
          <w:lang w:eastAsia="zh-CN"/>
        </w:rPr>
        <w:t>“信托”将作为独立的会计核算主体，以持续经营为前提，单独记账、单独核算、单独编制财务会计报告，独立核算“信托财产”的管理、运用和处分情况。“受托人”、“贷款服务机构”和“资金保管机构”分工完成整个信托过程的会计处理；“受托人”依照“贷款服务机构”和“资金保管机构”分别提供的“月度服务机构报告”、“贷款服务机构”会计信息、“资金保管报告”等信息进行会计核算，编制“信托”的会计报表。“信托”会计处理的具体原则和方式参见本合同</w:t>
      </w:r>
      <w:r>
        <w:rPr>
          <w:rFonts w:eastAsia="楷体_GB2312"/>
          <w:b/>
          <w:i/>
          <w:lang w:eastAsia="zh-CN"/>
        </w:rPr>
        <w:t>附件八</w:t>
      </w:r>
      <w:r>
        <w:rPr>
          <w:rFonts w:eastAsia="楷体_GB2312"/>
          <w:lang w:eastAsia="zh-CN"/>
        </w:rPr>
        <w:t>。</w:t>
      </w:r>
    </w:p>
    <w:p w14:paraId="7D7B6735">
      <w:pPr>
        <w:spacing w:line="360" w:lineRule="auto"/>
        <w:jc w:val="both"/>
        <w:rPr>
          <w:rFonts w:eastAsia="楷体_GB2312"/>
          <w:lang w:eastAsia="zh-CN"/>
        </w:rPr>
      </w:pPr>
    </w:p>
    <w:p w14:paraId="02335E42">
      <w:pPr>
        <w:widowControl w:val="0"/>
        <w:numPr>
          <w:ilvl w:val="0"/>
          <w:numId w:val="8"/>
        </w:numPr>
        <w:spacing w:line="360" w:lineRule="auto"/>
        <w:jc w:val="both"/>
        <w:outlineLvl w:val="0"/>
        <w:rPr>
          <w:rFonts w:eastAsia="楷体_GB2312"/>
          <w:b/>
        </w:rPr>
      </w:pPr>
      <w:bookmarkStart w:id="523" w:name="_Toc110153450"/>
      <w:bookmarkStart w:id="524" w:name="_Toc201569432"/>
      <w:bookmarkStart w:id="525" w:name="_Toc111281807"/>
      <w:bookmarkStart w:id="526" w:name="_Toc75510476"/>
      <w:bookmarkStart w:id="527" w:name="_Toc227955291"/>
      <w:bookmarkStart w:id="528" w:name="_Toc207007313"/>
      <w:bookmarkStart w:id="529" w:name="_Toc454484864"/>
      <w:bookmarkStart w:id="530" w:name="_Toc166105877"/>
      <w:bookmarkStart w:id="531" w:name="_Toc69138594"/>
      <w:bookmarkStart w:id="532" w:name="_Toc92612937"/>
      <w:r>
        <w:rPr>
          <w:rFonts w:eastAsia="楷体_GB2312"/>
          <w:b/>
        </w:rPr>
        <w:t>费用</w:t>
      </w:r>
      <w:bookmarkEnd w:id="523"/>
      <w:bookmarkEnd w:id="524"/>
      <w:bookmarkEnd w:id="525"/>
      <w:r>
        <w:rPr>
          <w:rFonts w:eastAsia="楷体_GB2312"/>
          <w:b/>
        </w:rPr>
        <w:t>和报酬</w:t>
      </w:r>
      <w:bookmarkEnd w:id="526"/>
      <w:bookmarkEnd w:id="527"/>
      <w:bookmarkEnd w:id="528"/>
      <w:bookmarkEnd w:id="529"/>
      <w:bookmarkEnd w:id="530"/>
      <w:bookmarkEnd w:id="531"/>
    </w:p>
    <w:bookmarkEnd w:id="532"/>
    <w:p w14:paraId="07B3C327">
      <w:pPr>
        <w:spacing w:line="360" w:lineRule="auto"/>
        <w:ind w:left="1800"/>
        <w:jc w:val="both"/>
        <w:rPr>
          <w:rFonts w:eastAsia="楷体_GB2312"/>
        </w:rPr>
      </w:pPr>
    </w:p>
    <w:p w14:paraId="165252FD">
      <w:pPr>
        <w:widowControl w:val="0"/>
        <w:numPr>
          <w:ilvl w:val="1"/>
          <w:numId w:val="8"/>
        </w:numPr>
        <w:tabs>
          <w:tab w:val="left" w:pos="1800"/>
          <w:tab w:val="left" w:pos="1980"/>
        </w:tabs>
        <w:spacing w:line="360" w:lineRule="auto"/>
        <w:jc w:val="both"/>
        <w:rPr>
          <w:rFonts w:eastAsia="楷体_GB2312"/>
          <w:b/>
        </w:rPr>
      </w:pPr>
      <w:r>
        <w:rPr>
          <w:rFonts w:eastAsia="楷体_GB2312"/>
          <w:b/>
        </w:rPr>
        <w:t>委托人承担的费用</w:t>
      </w:r>
    </w:p>
    <w:p w14:paraId="6F4677A2">
      <w:pPr>
        <w:widowControl w:val="0"/>
        <w:tabs>
          <w:tab w:val="left" w:pos="1800"/>
          <w:tab w:val="left" w:pos="1980"/>
        </w:tabs>
        <w:spacing w:line="360" w:lineRule="auto"/>
        <w:ind w:left="992"/>
        <w:jc w:val="both"/>
        <w:rPr>
          <w:rFonts w:eastAsia="楷体_GB2312"/>
          <w:b/>
          <w:bCs/>
          <w:i/>
          <w:iCs/>
          <w:color w:val="FF0000"/>
          <w:lang w:eastAsia="zh-CN"/>
        </w:rPr>
      </w:pPr>
      <w:r>
        <w:rPr>
          <w:rFonts w:eastAsia="楷体_GB2312"/>
          <w:b/>
          <w:bCs/>
          <w:i/>
          <w:iCs/>
          <w:color w:val="FF0000"/>
        </w:rPr>
        <w:t>【注：委托人承担费用的范围根据具体项目的需要进行调整。】</w:t>
      </w:r>
    </w:p>
    <w:p w14:paraId="7D687A98">
      <w:pPr>
        <w:widowControl w:val="0"/>
        <w:tabs>
          <w:tab w:val="left" w:pos="1800"/>
          <w:tab w:val="left" w:pos="1980"/>
        </w:tabs>
        <w:spacing w:line="360" w:lineRule="auto"/>
        <w:ind w:left="992"/>
        <w:jc w:val="both"/>
        <w:rPr>
          <w:rFonts w:eastAsia="楷体_GB2312"/>
          <w:b/>
          <w:lang w:eastAsia="zh-CN"/>
        </w:rPr>
      </w:pPr>
    </w:p>
    <w:p w14:paraId="2C3421AA">
      <w:pPr>
        <w:widowControl w:val="0"/>
        <w:numPr>
          <w:ilvl w:val="2"/>
          <w:numId w:val="8"/>
        </w:numPr>
        <w:tabs>
          <w:tab w:val="left" w:pos="1620"/>
          <w:tab w:val="left" w:pos="1980"/>
          <w:tab w:val="clear" w:pos="1997"/>
        </w:tabs>
        <w:spacing w:line="360" w:lineRule="auto"/>
        <w:ind w:left="1620" w:hanging="769"/>
        <w:jc w:val="both"/>
        <w:rPr>
          <w:rFonts w:eastAsia="楷体_GB2312"/>
          <w:lang w:eastAsia="zh-CN"/>
        </w:rPr>
      </w:pPr>
      <w:r>
        <w:rPr>
          <w:rFonts w:eastAsia="楷体_GB2312"/>
          <w:lang w:eastAsia="zh-CN"/>
        </w:rPr>
        <w:t>以下费用由“委托人”承担：</w:t>
      </w:r>
    </w:p>
    <w:p w14:paraId="66FC47C1">
      <w:pPr>
        <w:widowControl w:val="0"/>
        <w:tabs>
          <w:tab w:val="left" w:pos="1800"/>
          <w:tab w:val="left" w:pos="1980"/>
        </w:tabs>
        <w:spacing w:line="360" w:lineRule="auto"/>
        <w:jc w:val="both"/>
        <w:rPr>
          <w:rFonts w:eastAsia="楷体_GB2312"/>
          <w:lang w:eastAsia="zh-CN"/>
        </w:rPr>
      </w:pPr>
    </w:p>
    <w:p w14:paraId="77599E83">
      <w:pPr>
        <w:widowControl w:val="0"/>
        <w:numPr>
          <w:ilvl w:val="0"/>
          <w:numId w:val="36"/>
        </w:numPr>
        <w:spacing w:line="360" w:lineRule="auto"/>
        <w:ind w:left="1608" w:leftChars="670"/>
        <w:jc w:val="both"/>
        <w:rPr>
          <w:rFonts w:eastAsia="楷体_GB2312"/>
          <w:lang w:eastAsia="zh-CN"/>
        </w:rPr>
      </w:pPr>
      <w:r>
        <w:rPr>
          <w:rFonts w:eastAsia="楷体_GB2312"/>
          <w:lang w:eastAsia="zh-CN"/>
        </w:rPr>
        <w:t>“发行费用”；</w:t>
      </w:r>
    </w:p>
    <w:p w14:paraId="4422FAE8">
      <w:pPr>
        <w:widowControl w:val="0"/>
        <w:tabs>
          <w:tab w:val="left" w:pos="1800"/>
          <w:tab w:val="left" w:pos="1980"/>
        </w:tabs>
        <w:spacing w:line="360" w:lineRule="auto"/>
        <w:ind w:left="1838"/>
        <w:jc w:val="both"/>
        <w:rPr>
          <w:rFonts w:eastAsia="楷体_GB2312"/>
          <w:lang w:eastAsia="zh-CN"/>
        </w:rPr>
      </w:pPr>
    </w:p>
    <w:p w14:paraId="0D005EBE">
      <w:pPr>
        <w:widowControl w:val="0"/>
        <w:numPr>
          <w:ilvl w:val="0"/>
          <w:numId w:val="36"/>
        </w:numPr>
        <w:spacing w:line="360" w:lineRule="auto"/>
        <w:ind w:left="1608" w:leftChars="670"/>
        <w:jc w:val="both"/>
        <w:rPr>
          <w:rFonts w:eastAsia="楷体_GB2312"/>
          <w:lang w:eastAsia="zh-CN"/>
        </w:rPr>
      </w:pPr>
      <w:r>
        <w:rPr>
          <w:rFonts w:eastAsia="楷体_GB2312"/>
          <w:lang w:eastAsia="zh-CN"/>
        </w:rPr>
        <w:t>按照本合同第</w:t>
      </w:r>
      <w:r>
        <w:rPr>
          <w:rFonts w:eastAsia="楷体_GB2312"/>
          <w:lang w:eastAsia="zh-CN"/>
        </w:rPr>
        <w:fldChar w:fldCharType="begin"/>
      </w:r>
      <w:r>
        <w:rPr>
          <w:rFonts w:eastAsia="楷体_GB2312"/>
          <w:lang w:eastAsia="zh-CN"/>
        </w:rPr>
        <w:instrText xml:space="preserve"> REF _Ref333932958 \r \h  \* MERGEFORMAT </w:instrText>
      </w:r>
      <w:r>
        <w:rPr>
          <w:rFonts w:eastAsia="楷体_GB2312"/>
          <w:lang w:eastAsia="zh-CN"/>
        </w:rPr>
        <w:fldChar w:fldCharType="separate"/>
      </w:r>
      <w:r>
        <w:rPr>
          <w:rFonts w:eastAsia="楷体_GB2312"/>
          <w:lang w:eastAsia="zh-CN"/>
        </w:rPr>
        <w:t>6.3</w:t>
      </w:r>
      <w:r>
        <w:rPr>
          <w:rFonts w:eastAsia="楷体_GB2312"/>
          <w:lang w:eastAsia="zh-CN"/>
        </w:rPr>
        <w:fldChar w:fldCharType="end"/>
      </w:r>
      <w:r>
        <w:rPr>
          <w:rFonts w:eastAsia="楷体_GB2312"/>
          <w:lang w:eastAsia="zh-CN"/>
        </w:rPr>
        <w:t>款约定须由“委托人”承担的“权利完善通知”的费用；</w:t>
      </w:r>
    </w:p>
    <w:p w14:paraId="623F44EF">
      <w:pPr>
        <w:widowControl w:val="0"/>
        <w:tabs>
          <w:tab w:val="left" w:pos="1800"/>
          <w:tab w:val="left" w:pos="1980"/>
        </w:tabs>
        <w:spacing w:line="360" w:lineRule="auto"/>
        <w:ind w:left="1838"/>
        <w:jc w:val="both"/>
        <w:rPr>
          <w:rFonts w:eastAsia="楷体_GB2312"/>
          <w:lang w:eastAsia="zh-CN"/>
        </w:rPr>
      </w:pPr>
    </w:p>
    <w:p w14:paraId="30448195">
      <w:pPr>
        <w:widowControl w:val="0"/>
        <w:numPr>
          <w:ilvl w:val="0"/>
          <w:numId w:val="36"/>
        </w:numPr>
        <w:spacing w:line="360" w:lineRule="auto"/>
        <w:ind w:left="1608" w:leftChars="670"/>
        <w:jc w:val="both"/>
        <w:rPr>
          <w:rFonts w:eastAsia="楷体_GB2312"/>
          <w:lang w:eastAsia="zh-CN"/>
        </w:rPr>
      </w:pPr>
      <w:r>
        <w:rPr>
          <w:rFonts w:eastAsia="楷体_GB2312"/>
          <w:lang w:eastAsia="zh-CN"/>
        </w:rPr>
        <w:t>“【评级机构1简称】”的初始评级及跟踪评级费用；</w:t>
      </w:r>
    </w:p>
    <w:p w14:paraId="4F2BF52A">
      <w:pPr>
        <w:widowControl w:val="0"/>
        <w:tabs>
          <w:tab w:val="left" w:pos="1800"/>
          <w:tab w:val="left" w:pos="1980"/>
        </w:tabs>
        <w:spacing w:line="360" w:lineRule="auto"/>
        <w:ind w:left="1838"/>
        <w:jc w:val="both"/>
        <w:rPr>
          <w:rFonts w:eastAsia="楷体_GB2312"/>
          <w:lang w:eastAsia="zh-CN"/>
        </w:rPr>
      </w:pPr>
    </w:p>
    <w:p w14:paraId="64692366">
      <w:pPr>
        <w:widowControl w:val="0"/>
        <w:numPr>
          <w:ilvl w:val="0"/>
          <w:numId w:val="36"/>
        </w:numPr>
        <w:spacing w:line="360" w:lineRule="auto"/>
        <w:ind w:left="1608" w:leftChars="670"/>
        <w:jc w:val="both"/>
        <w:rPr>
          <w:rFonts w:eastAsia="楷体_GB2312"/>
          <w:lang w:eastAsia="zh-CN"/>
        </w:rPr>
      </w:pPr>
      <w:r>
        <w:rPr>
          <w:rFonts w:eastAsia="楷体_GB2312"/>
          <w:lang w:eastAsia="zh-CN"/>
        </w:rPr>
        <w:t>“会计顾问”/“税务顾问”进行尽职调查并出具专业意见的费用；</w:t>
      </w:r>
    </w:p>
    <w:p w14:paraId="307FE369">
      <w:pPr>
        <w:widowControl w:val="0"/>
        <w:tabs>
          <w:tab w:val="left" w:pos="1800"/>
          <w:tab w:val="left" w:pos="1980"/>
        </w:tabs>
        <w:spacing w:line="360" w:lineRule="auto"/>
        <w:ind w:left="1838"/>
        <w:jc w:val="both"/>
        <w:rPr>
          <w:rFonts w:eastAsia="楷体_GB2312"/>
          <w:lang w:eastAsia="zh-CN"/>
        </w:rPr>
      </w:pPr>
    </w:p>
    <w:p w14:paraId="35440771">
      <w:pPr>
        <w:widowControl w:val="0"/>
        <w:numPr>
          <w:ilvl w:val="0"/>
          <w:numId w:val="36"/>
        </w:numPr>
        <w:spacing w:line="360" w:lineRule="auto"/>
        <w:ind w:left="1608" w:leftChars="670"/>
        <w:jc w:val="both"/>
        <w:rPr>
          <w:rFonts w:eastAsia="楷体_GB2312"/>
          <w:lang w:eastAsia="zh-CN"/>
        </w:rPr>
      </w:pPr>
      <w:r>
        <w:rPr>
          <w:rFonts w:eastAsia="楷体_GB2312"/>
          <w:lang w:eastAsia="zh-CN"/>
        </w:rPr>
        <w:t>“法律顾问”进行尽职调查（包含对持续购买的新增“基础资产”的尽职调查）并出具专业意见的费用；</w:t>
      </w:r>
    </w:p>
    <w:p w14:paraId="0DDE3ACB">
      <w:pPr>
        <w:widowControl w:val="0"/>
        <w:tabs>
          <w:tab w:val="left" w:pos="1800"/>
          <w:tab w:val="left" w:pos="1980"/>
        </w:tabs>
        <w:spacing w:line="360" w:lineRule="auto"/>
        <w:ind w:left="1838"/>
        <w:jc w:val="both"/>
        <w:rPr>
          <w:rFonts w:eastAsia="楷体_GB2312"/>
          <w:lang w:eastAsia="zh-CN"/>
        </w:rPr>
      </w:pPr>
    </w:p>
    <w:p w14:paraId="21822ED4">
      <w:pPr>
        <w:widowControl w:val="0"/>
        <w:numPr>
          <w:ilvl w:val="0"/>
          <w:numId w:val="36"/>
        </w:numPr>
        <w:spacing w:line="360" w:lineRule="auto"/>
        <w:ind w:left="1608" w:leftChars="670"/>
        <w:jc w:val="both"/>
        <w:rPr>
          <w:rFonts w:eastAsia="楷体_GB2312"/>
          <w:lang w:eastAsia="zh-CN"/>
        </w:rPr>
      </w:pPr>
      <w:r>
        <w:rPr>
          <w:rFonts w:eastAsia="楷体_GB2312"/>
          <w:lang w:eastAsia="zh-CN"/>
        </w:rPr>
        <w:t>“交易文件”约定的应由“委托人”承担的其他费用。</w:t>
      </w:r>
    </w:p>
    <w:p w14:paraId="1A4B2D85">
      <w:pPr>
        <w:widowControl w:val="0"/>
        <w:tabs>
          <w:tab w:val="left" w:pos="1800"/>
          <w:tab w:val="left" w:pos="1980"/>
        </w:tabs>
        <w:spacing w:line="360" w:lineRule="auto"/>
        <w:ind w:left="1838"/>
        <w:jc w:val="both"/>
        <w:rPr>
          <w:rFonts w:eastAsia="楷体_GB2312"/>
          <w:lang w:eastAsia="zh-CN"/>
        </w:rPr>
      </w:pPr>
    </w:p>
    <w:p w14:paraId="511E0B20">
      <w:pPr>
        <w:widowControl w:val="0"/>
        <w:numPr>
          <w:ilvl w:val="2"/>
          <w:numId w:val="8"/>
        </w:numPr>
        <w:tabs>
          <w:tab w:val="left" w:pos="1620"/>
          <w:tab w:val="left" w:pos="1980"/>
          <w:tab w:val="clear" w:pos="1997"/>
        </w:tabs>
        <w:spacing w:line="360" w:lineRule="auto"/>
        <w:ind w:left="1620" w:hanging="769"/>
        <w:jc w:val="both"/>
        <w:rPr>
          <w:rFonts w:eastAsia="楷体_GB2312"/>
          <w:lang w:eastAsia="zh-CN"/>
        </w:rPr>
      </w:pPr>
      <w:r>
        <w:rPr>
          <w:rFonts w:eastAsia="楷体_GB2312"/>
          <w:lang w:eastAsia="zh-CN"/>
        </w:rPr>
        <w:t>“承销报酬”由“【发起机构简称】”承担，由“主承销商”从“资产</w:t>
      </w:r>
      <w:r>
        <w:rPr>
          <w:rFonts w:eastAsia="楷体_GB2312"/>
          <w:bCs/>
          <w:lang w:eastAsia="zh-CN"/>
        </w:rPr>
        <w:t>支持</w:t>
      </w:r>
      <w:r>
        <w:rPr>
          <w:rFonts w:eastAsia="楷体_GB2312"/>
          <w:lang w:eastAsia="zh-CN"/>
        </w:rPr>
        <w:t>证券募集资金”中扣除。其他“发行费用”由“受托人”从“主承销商”划付的扣除“承销报酬”后的“资产支持证券募集资金”中提取并分别支付给相关方。</w:t>
      </w:r>
    </w:p>
    <w:p w14:paraId="089DB33B">
      <w:pPr>
        <w:tabs>
          <w:tab w:val="left" w:pos="1800"/>
          <w:tab w:val="left" w:pos="1980"/>
        </w:tabs>
        <w:spacing w:line="360" w:lineRule="auto"/>
        <w:ind w:left="1080"/>
        <w:jc w:val="both"/>
        <w:rPr>
          <w:rFonts w:eastAsia="楷体_GB2312"/>
          <w:lang w:eastAsia="zh-CN"/>
        </w:rPr>
      </w:pPr>
    </w:p>
    <w:p w14:paraId="24F1816D">
      <w:pPr>
        <w:widowControl w:val="0"/>
        <w:numPr>
          <w:ilvl w:val="1"/>
          <w:numId w:val="8"/>
        </w:numPr>
        <w:tabs>
          <w:tab w:val="left" w:pos="1800"/>
          <w:tab w:val="left" w:pos="1980"/>
        </w:tabs>
        <w:spacing w:line="360" w:lineRule="auto"/>
        <w:jc w:val="both"/>
        <w:rPr>
          <w:rFonts w:eastAsia="楷体_GB2312"/>
          <w:b/>
        </w:rPr>
      </w:pPr>
      <w:r>
        <w:rPr>
          <w:rFonts w:eastAsia="楷体_GB2312"/>
          <w:b/>
        </w:rPr>
        <w:t>信托财产承担的费用</w:t>
      </w:r>
    </w:p>
    <w:p w14:paraId="5FFF05C4">
      <w:pPr>
        <w:widowControl w:val="0"/>
        <w:tabs>
          <w:tab w:val="left" w:pos="1800"/>
          <w:tab w:val="left" w:pos="1980"/>
        </w:tabs>
        <w:spacing w:line="360" w:lineRule="auto"/>
        <w:ind w:left="992"/>
        <w:jc w:val="both"/>
        <w:rPr>
          <w:rFonts w:eastAsia="楷体_GB2312"/>
          <w:b/>
          <w:bCs/>
          <w:i/>
          <w:iCs/>
          <w:color w:val="FF0000"/>
        </w:rPr>
      </w:pPr>
      <w:r>
        <w:rPr>
          <w:rFonts w:eastAsia="楷体_GB2312"/>
          <w:b/>
          <w:bCs/>
          <w:i/>
          <w:iCs/>
          <w:color w:val="FF0000"/>
        </w:rPr>
        <w:t>【注：信托财产承担费用的范围根据具体项目的需要进行调整。】</w:t>
      </w:r>
    </w:p>
    <w:p w14:paraId="558D21DE">
      <w:pPr>
        <w:spacing w:line="360" w:lineRule="auto"/>
        <w:ind w:left="992"/>
        <w:jc w:val="both"/>
        <w:rPr>
          <w:rFonts w:eastAsia="楷体_GB2312"/>
          <w:lang w:eastAsia="zh-CN"/>
        </w:rPr>
      </w:pPr>
      <w:r>
        <w:rPr>
          <w:rFonts w:eastAsia="楷体_GB2312"/>
          <w:lang w:eastAsia="zh-CN"/>
        </w:rPr>
        <w:t>下列费用应由“信托财产”承担，除“交易文件”另有约定外，应按照本合同第</w:t>
      </w:r>
      <w:r>
        <w:rPr>
          <w:rFonts w:eastAsia="楷体_GB2312"/>
        </w:rPr>
        <w:fldChar w:fldCharType="begin"/>
      </w:r>
      <w:r>
        <w:rPr>
          <w:rFonts w:eastAsia="楷体_GB2312"/>
          <w:lang w:eastAsia="zh-CN"/>
        </w:rPr>
        <w:instrText xml:space="preserve"> REF _Ref201563930 \r \h  \* MERGEFORMAT </w:instrText>
      </w:r>
      <w:r>
        <w:rPr>
          <w:rFonts w:eastAsia="楷体_GB2312"/>
        </w:rPr>
        <w:fldChar w:fldCharType="separate"/>
      </w:r>
      <w:r>
        <w:rPr>
          <w:rFonts w:eastAsia="楷体_GB2312"/>
          <w:lang w:eastAsia="zh-CN"/>
        </w:rPr>
        <w:t>9</w:t>
      </w:r>
      <w:r>
        <w:rPr>
          <w:rFonts w:eastAsia="楷体_GB2312"/>
        </w:rPr>
        <w:fldChar w:fldCharType="end"/>
      </w:r>
      <w:r>
        <w:rPr>
          <w:rFonts w:eastAsia="楷体_GB2312"/>
          <w:lang w:eastAsia="zh-CN"/>
        </w:rPr>
        <w:t>条约定的支付顺序予以支付：</w:t>
      </w:r>
    </w:p>
    <w:p w14:paraId="2259308B">
      <w:pPr>
        <w:spacing w:line="360" w:lineRule="auto"/>
        <w:jc w:val="both"/>
        <w:rPr>
          <w:rFonts w:eastAsia="楷体_GB2312"/>
          <w:lang w:eastAsia="zh-CN"/>
        </w:rPr>
      </w:pPr>
    </w:p>
    <w:p w14:paraId="52A817BE">
      <w:pPr>
        <w:widowControl w:val="0"/>
        <w:numPr>
          <w:ilvl w:val="0"/>
          <w:numId w:val="37"/>
        </w:numPr>
        <w:tabs>
          <w:tab w:val="left" w:pos="1800"/>
          <w:tab w:val="left" w:pos="1980"/>
        </w:tabs>
        <w:spacing w:line="360" w:lineRule="auto"/>
        <w:jc w:val="both"/>
        <w:rPr>
          <w:rFonts w:eastAsia="楷体_GB2312"/>
          <w:lang w:eastAsia="zh-CN"/>
        </w:rPr>
      </w:pPr>
      <w:r>
        <w:rPr>
          <w:rFonts w:eastAsia="楷体_GB2312"/>
          <w:bCs/>
          <w:lang w:eastAsia="zh-CN"/>
        </w:rPr>
        <w:t>按照</w:t>
      </w:r>
      <w:r>
        <w:rPr>
          <w:rFonts w:eastAsia="楷体_GB2312"/>
          <w:lang w:eastAsia="zh-CN"/>
        </w:rPr>
        <w:t>“</w:t>
      </w:r>
      <w:r>
        <w:rPr>
          <w:rFonts w:eastAsia="楷体_GB2312"/>
          <w:bCs/>
          <w:lang w:eastAsia="zh-CN"/>
        </w:rPr>
        <w:t>中国</w:t>
      </w:r>
      <w:r>
        <w:rPr>
          <w:rFonts w:eastAsia="楷体_GB2312"/>
          <w:lang w:eastAsia="zh-CN"/>
        </w:rPr>
        <w:t>”“</w:t>
      </w:r>
      <w:r>
        <w:rPr>
          <w:rFonts w:eastAsia="楷体_GB2312"/>
          <w:bCs/>
          <w:lang w:eastAsia="zh-CN"/>
        </w:rPr>
        <w:t>法律</w:t>
      </w:r>
      <w:r>
        <w:rPr>
          <w:rFonts w:eastAsia="楷体_GB2312"/>
          <w:lang w:eastAsia="zh-CN"/>
        </w:rPr>
        <w:t>”规定应由“信托财产”承担的“税收”及规费（包括但不限于增值税及附加）；</w:t>
      </w:r>
    </w:p>
    <w:p w14:paraId="15A3A64C">
      <w:pPr>
        <w:tabs>
          <w:tab w:val="left" w:pos="1800"/>
          <w:tab w:val="left" w:pos="1980"/>
        </w:tabs>
        <w:spacing w:line="360" w:lineRule="auto"/>
        <w:ind w:left="1876"/>
        <w:jc w:val="both"/>
        <w:rPr>
          <w:rFonts w:eastAsia="楷体_GB2312"/>
          <w:lang w:eastAsia="zh-CN"/>
        </w:rPr>
      </w:pPr>
    </w:p>
    <w:p w14:paraId="422F7605">
      <w:pPr>
        <w:widowControl w:val="0"/>
        <w:numPr>
          <w:ilvl w:val="0"/>
          <w:numId w:val="37"/>
        </w:numPr>
        <w:tabs>
          <w:tab w:val="left" w:pos="1800"/>
          <w:tab w:val="left" w:pos="1980"/>
        </w:tabs>
        <w:spacing w:line="360" w:lineRule="auto"/>
        <w:jc w:val="both"/>
        <w:rPr>
          <w:rFonts w:eastAsia="楷体_GB2312"/>
          <w:lang w:eastAsia="zh-CN"/>
        </w:rPr>
      </w:pPr>
      <w:r>
        <w:rPr>
          <w:rFonts w:eastAsia="楷体_GB2312"/>
          <w:lang w:eastAsia="zh-CN"/>
        </w:rPr>
        <w:t>“信托”存续期间，“受托人”、“贷款服务机构”、“后备贷款服务机构”（如有）、“资金保管机构”、“登记托管机构”、“支付代理机构”、“审计师”（如有）、“评级机构”（不包含“【评级机构1简称】”的初始评级及跟踪评级报酬）的“服务报酬”；</w:t>
      </w:r>
    </w:p>
    <w:p w14:paraId="31CF7170">
      <w:pPr>
        <w:tabs>
          <w:tab w:val="left" w:pos="1800"/>
          <w:tab w:val="left" w:pos="1980"/>
        </w:tabs>
        <w:spacing w:line="360" w:lineRule="auto"/>
        <w:ind w:left="1876"/>
        <w:jc w:val="both"/>
        <w:rPr>
          <w:rFonts w:eastAsia="楷体_GB2312"/>
          <w:lang w:eastAsia="zh-CN"/>
        </w:rPr>
      </w:pPr>
    </w:p>
    <w:p w14:paraId="7E3FA46F">
      <w:pPr>
        <w:widowControl w:val="0"/>
        <w:numPr>
          <w:ilvl w:val="0"/>
          <w:numId w:val="37"/>
        </w:numPr>
        <w:tabs>
          <w:tab w:val="left" w:pos="1800"/>
          <w:tab w:val="left" w:pos="1980"/>
        </w:tabs>
        <w:spacing w:line="360" w:lineRule="auto"/>
        <w:jc w:val="both"/>
        <w:rPr>
          <w:rFonts w:eastAsia="楷体_GB2312"/>
          <w:lang w:eastAsia="zh-CN"/>
        </w:rPr>
      </w:pPr>
      <w:r>
        <w:rPr>
          <w:rFonts w:eastAsia="楷体_GB2312"/>
          <w:lang w:eastAsia="zh-CN"/>
        </w:rPr>
        <w:t>“贷款服务机构”垫付的“执行费用”；</w:t>
      </w:r>
    </w:p>
    <w:p w14:paraId="6A9432DA">
      <w:pPr>
        <w:pStyle w:val="40"/>
        <w:spacing w:line="360" w:lineRule="auto"/>
        <w:ind w:firstLine="480"/>
        <w:jc w:val="both"/>
        <w:rPr>
          <w:rFonts w:eastAsia="楷体_GB2312"/>
          <w:lang w:eastAsia="zh-CN"/>
        </w:rPr>
      </w:pPr>
    </w:p>
    <w:p w14:paraId="526FD133">
      <w:pPr>
        <w:widowControl w:val="0"/>
        <w:numPr>
          <w:ilvl w:val="0"/>
          <w:numId w:val="37"/>
        </w:numPr>
        <w:tabs>
          <w:tab w:val="left" w:pos="1800"/>
          <w:tab w:val="left" w:pos="1980"/>
        </w:tabs>
        <w:spacing w:line="360" w:lineRule="auto"/>
        <w:jc w:val="both"/>
        <w:rPr>
          <w:rFonts w:eastAsia="楷体_GB2312"/>
          <w:lang w:eastAsia="zh-CN"/>
        </w:rPr>
      </w:pPr>
      <w:r>
        <w:rPr>
          <w:rFonts w:eastAsia="楷体_GB2312"/>
          <w:lang w:eastAsia="zh-CN"/>
        </w:rPr>
        <w:t>“费用支出”；</w:t>
      </w:r>
    </w:p>
    <w:p w14:paraId="26B982F8">
      <w:pPr>
        <w:widowControl w:val="0"/>
        <w:tabs>
          <w:tab w:val="left" w:pos="1800"/>
          <w:tab w:val="left" w:pos="1980"/>
        </w:tabs>
        <w:spacing w:line="360" w:lineRule="auto"/>
        <w:ind w:left="1412"/>
        <w:jc w:val="both"/>
        <w:rPr>
          <w:rFonts w:eastAsia="楷体_GB2312"/>
          <w:lang w:eastAsia="zh-CN"/>
        </w:rPr>
      </w:pPr>
    </w:p>
    <w:p w14:paraId="35E23E15">
      <w:pPr>
        <w:widowControl w:val="0"/>
        <w:numPr>
          <w:ilvl w:val="0"/>
          <w:numId w:val="37"/>
        </w:numPr>
        <w:tabs>
          <w:tab w:val="left" w:pos="1800"/>
          <w:tab w:val="left" w:pos="1980"/>
        </w:tabs>
        <w:spacing w:line="360" w:lineRule="auto"/>
        <w:jc w:val="both"/>
        <w:rPr>
          <w:rFonts w:eastAsia="楷体_GB2312"/>
          <w:lang w:eastAsia="zh-CN"/>
        </w:rPr>
      </w:pPr>
      <w:r>
        <w:rPr>
          <w:rFonts w:eastAsia="楷体_GB2312"/>
          <w:lang w:eastAsia="zh-CN"/>
        </w:rPr>
        <w:t>因清算“信托财产”所发生的费用；</w:t>
      </w:r>
    </w:p>
    <w:p w14:paraId="43748B3D">
      <w:pPr>
        <w:widowControl w:val="0"/>
        <w:tabs>
          <w:tab w:val="left" w:pos="1800"/>
          <w:tab w:val="left" w:pos="1980"/>
        </w:tabs>
        <w:spacing w:line="360" w:lineRule="auto"/>
        <w:ind w:left="1412"/>
        <w:jc w:val="both"/>
        <w:rPr>
          <w:rFonts w:eastAsia="楷体_GB2312"/>
          <w:lang w:eastAsia="zh-CN"/>
        </w:rPr>
      </w:pPr>
    </w:p>
    <w:p w14:paraId="690E744E">
      <w:pPr>
        <w:widowControl w:val="0"/>
        <w:numPr>
          <w:ilvl w:val="0"/>
          <w:numId w:val="37"/>
        </w:numPr>
        <w:tabs>
          <w:tab w:val="left" w:pos="1800"/>
          <w:tab w:val="left" w:pos="1980"/>
        </w:tabs>
        <w:spacing w:line="360" w:lineRule="auto"/>
        <w:jc w:val="both"/>
        <w:rPr>
          <w:rFonts w:eastAsia="楷体_GB2312"/>
          <w:lang w:eastAsia="zh-CN"/>
        </w:rPr>
      </w:pPr>
      <w:r>
        <w:rPr>
          <w:rFonts w:eastAsia="楷体_GB2312"/>
          <w:lang w:eastAsia="zh-CN"/>
        </w:rPr>
        <w:t>根据“中国”“法律”规定和“交易文件”约定的应由“信托财产”承担的其他费用。</w:t>
      </w:r>
    </w:p>
    <w:p w14:paraId="6A90C9AC">
      <w:pPr>
        <w:pStyle w:val="40"/>
        <w:ind w:firstLine="480"/>
        <w:jc w:val="both"/>
        <w:rPr>
          <w:rFonts w:eastAsia="楷体_GB2312"/>
          <w:lang w:eastAsia="zh-CN"/>
        </w:rPr>
      </w:pPr>
    </w:p>
    <w:p w14:paraId="4F95B68E">
      <w:pPr>
        <w:spacing w:line="360" w:lineRule="auto"/>
        <w:ind w:left="992"/>
        <w:jc w:val="both"/>
        <w:rPr>
          <w:rFonts w:eastAsia="楷体_GB2312"/>
          <w:lang w:eastAsia="zh-CN"/>
        </w:rPr>
      </w:pPr>
      <w:r>
        <w:rPr>
          <w:rFonts w:eastAsia="楷体_GB2312"/>
          <w:lang w:eastAsia="zh-CN"/>
        </w:rPr>
        <w:t>除“收费文件”有特别约定外，“信托财产”承担的费用均为含税金额，需费用收取方开具增值税普通发票，同时在发票备注栏</w:t>
      </w:r>
      <w:r>
        <w:rPr>
          <w:rFonts w:hint="eastAsia" w:eastAsia="楷体_GB2312"/>
          <w:lang w:eastAsia="zh-CN"/>
        </w:rPr>
        <w:t>标明</w:t>
      </w:r>
      <w:r>
        <w:rPr>
          <w:rFonts w:eastAsia="楷体_GB2312"/>
          <w:lang w:eastAsia="zh-CN"/>
        </w:rPr>
        <w:t>本信托项目名称。如“中国”“法律”未来另有明确规定，“受托人”有权按照“中国”“法律”要求，要求费用收取方开具增值税专用发票（依据税法规定进行调整）。</w:t>
      </w:r>
    </w:p>
    <w:p w14:paraId="3D895514">
      <w:pPr>
        <w:widowControl w:val="0"/>
        <w:tabs>
          <w:tab w:val="left" w:pos="1800"/>
          <w:tab w:val="left" w:pos="1980"/>
        </w:tabs>
        <w:spacing w:line="360" w:lineRule="auto"/>
        <w:ind w:left="1412"/>
        <w:jc w:val="both"/>
        <w:rPr>
          <w:rFonts w:eastAsia="楷体_GB2312"/>
          <w:lang w:eastAsia="zh-CN"/>
        </w:rPr>
      </w:pPr>
    </w:p>
    <w:p w14:paraId="5891C4E5">
      <w:pPr>
        <w:widowControl w:val="0"/>
        <w:numPr>
          <w:ilvl w:val="1"/>
          <w:numId w:val="8"/>
        </w:numPr>
        <w:tabs>
          <w:tab w:val="left" w:pos="1800"/>
          <w:tab w:val="left" w:pos="1980"/>
        </w:tabs>
        <w:spacing w:line="360" w:lineRule="auto"/>
        <w:jc w:val="both"/>
        <w:rPr>
          <w:rFonts w:eastAsia="楷体_GB2312"/>
        </w:rPr>
      </w:pPr>
      <w:r>
        <w:rPr>
          <w:rFonts w:eastAsia="楷体_GB2312"/>
          <w:b/>
        </w:rPr>
        <w:t>受托</w:t>
      </w:r>
      <w:bookmarkStart w:id="533" w:name="_Toc92612939"/>
      <w:r>
        <w:rPr>
          <w:rFonts w:eastAsia="楷体_GB2312"/>
          <w:b/>
        </w:rPr>
        <w:t>人</w:t>
      </w:r>
      <w:r>
        <w:rPr>
          <w:rFonts w:eastAsia="楷体_GB2312"/>
          <w:b/>
          <w:lang w:eastAsia="zh-CN"/>
        </w:rPr>
        <w:t>服务</w:t>
      </w:r>
      <w:r>
        <w:rPr>
          <w:rFonts w:eastAsia="楷体_GB2312"/>
          <w:b/>
        </w:rPr>
        <w:t>报酬</w:t>
      </w:r>
      <w:bookmarkEnd w:id="533"/>
    </w:p>
    <w:p w14:paraId="6B3B5CDB">
      <w:pPr>
        <w:pStyle w:val="40"/>
        <w:widowControl w:val="0"/>
        <w:tabs>
          <w:tab w:val="left" w:pos="1800"/>
          <w:tab w:val="left" w:pos="1980"/>
        </w:tabs>
        <w:spacing w:line="360" w:lineRule="auto"/>
        <w:ind w:left="905" w:leftChars="377" w:firstLine="0" w:firstLineChars="0"/>
        <w:jc w:val="both"/>
        <w:rPr>
          <w:rFonts w:eastAsia="楷体_GB2312"/>
          <w:b/>
          <w:bCs/>
          <w:i/>
          <w:iCs/>
          <w:color w:val="FF0000"/>
        </w:rPr>
      </w:pPr>
      <w:r>
        <w:rPr>
          <w:rFonts w:eastAsia="楷体_GB2312"/>
          <w:b/>
          <w:bCs/>
          <w:i/>
          <w:iCs/>
          <w:color w:val="FF0000"/>
        </w:rPr>
        <w:t>【注：受托人服务报酬的支付日及费用根据具体项目的需要进行调整。】</w:t>
      </w:r>
    </w:p>
    <w:p w14:paraId="5F662B54">
      <w:pPr>
        <w:spacing w:line="360" w:lineRule="auto"/>
        <w:jc w:val="both"/>
        <w:rPr>
          <w:rFonts w:eastAsia="楷体_GB2312"/>
        </w:rPr>
      </w:pPr>
    </w:p>
    <w:p w14:paraId="6D991366">
      <w:pPr>
        <w:widowControl w:val="0"/>
        <w:numPr>
          <w:ilvl w:val="2"/>
          <w:numId w:val="8"/>
        </w:numPr>
        <w:tabs>
          <w:tab w:val="left" w:pos="1620"/>
          <w:tab w:val="left" w:pos="1980"/>
          <w:tab w:val="clear" w:pos="1997"/>
        </w:tabs>
        <w:spacing w:line="360" w:lineRule="auto"/>
        <w:ind w:left="1620" w:hanging="769"/>
        <w:jc w:val="both"/>
        <w:rPr>
          <w:rFonts w:eastAsia="楷体_GB2312"/>
          <w:lang w:eastAsia="zh-CN"/>
        </w:rPr>
      </w:pPr>
      <w:r>
        <w:rPr>
          <w:rFonts w:eastAsia="楷体_GB2312"/>
          <w:lang w:eastAsia="zh-CN"/>
        </w:rPr>
        <w:t>“受托人”根据本合同履行“受托人”职责的报酬由“信托财产”承担，并按照本合同第</w:t>
      </w:r>
      <w:r>
        <w:rPr>
          <w:rFonts w:eastAsia="楷体_GB2312"/>
        </w:rPr>
        <w:fldChar w:fldCharType="begin"/>
      </w:r>
      <w:r>
        <w:rPr>
          <w:rFonts w:eastAsia="楷体_GB2312"/>
          <w:lang w:eastAsia="zh-CN"/>
        </w:rPr>
        <w:instrText xml:space="preserve"> REF _Ref201563930 \r \h  \* MERGEFORMAT </w:instrText>
      </w:r>
      <w:r>
        <w:rPr>
          <w:rFonts w:eastAsia="楷体_GB2312"/>
        </w:rPr>
        <w:fldChar w:fldCharType="separate"/>
      </w:r>
      <w:r>
        <w:rPr>
          <w:rFonts w:eastAsia="楷体_GB2312"/>
          <w:lang w:eastAsia="zh-CN"/>
        </w:rPr>
        <w:t>9</w:t>
      </w:r>
      <w:r>
        <w:rPr>
          <w:rFonts w:eastAsia="楷体_GB2312"/>
        </w:rPr>
        <w:fldChar w:fldCharType="end"/>
      </w:r>
      <w:r>
        <w:rPr>
          <w:rFonts w:eastAsia="楷体_GB2312"/>
          <w:lang w:eastAsia="zh-CN"/>
        </w:rPr>
        <w:t>条</w:t>
      </w:r>
      <w:r>
        <w:rPr>
          <w:rFonts w:eastAsia="楷体_GB2312"/>
          <w:bCs/>
          <w:lang w:eastAsia="zh-CN"/>
        </w:rPr>
        <w:t>约</w:t>
      </w:r>
      <w:r>
        <w:rPr>
          <w:rFonts w:eastAsia="楷体_GB2312"/>
          <w:lang w:eastAsia="zh-CN"/>
        </w:rPr>
        <w:t>定的支付顺序于每个“支付日”分期予以支付。“受托人”在每个“支付日”收取的“服务报酬”计算公式为：该“支付日”前一个“支付日”支付完毕当期“资产支持证券”本息后的“资产支持证券”“未偿本金余额”（如为第一个“支付日”，则按照“信托生效日”“资产支持证券”“未偿本金余额”计算）×【】%×该“支付日”所对应的“计息期间”的实际经过的天数÷365天（闰年亦相同），尾数计算到分，分以下四舍五入。</w:t>
      </w:r>
    </w:p>
    <w:p w14:paraId="248A20C0">
      <w:pPr>
        <w:widowControl w:val="0"/>
        <w:tabs>
          <w:tab w:val="left" w:pos="425"/>
          <w:tab w:val="left" w:pos="1800"/>
          <w:tab w:val="left" w:pos="1980"/>
        </w:tabs>
        <w:spacing w:line="360" w:lineRule="auto"/>
        <w:ind w:left="1844"/>
        <w:jc w:val="both"/>
        <w:rPr>
          <w:rFonts w:eastAsia="楷体_GB2312"/>
          <w:lang w:eastAsia="zh-CN"/>
        </w:rPr>
      </w:pPr>
    </w:p>
    <w:p w14:paraId="6217206B">
      <w:pPr>
        <w:widowControl w:val="0"/>
        <w:numPr>
          <w:ilvl w:val="2"/>
          <w:numId w:val="8"/>
        </w:numPr>
        <w:tabs>
          <w:tab w:val="left" w:pos="1620"/>
          <w:tab w:val="left" w:pos="1980"/>
          <w:tab w:val="clear" w:pos="1997"/>
        </w:tabs>
        <w:spacing w:line="360" w:lineRule="auto"/>
        <w:ind w:left="1620" w:hanging="769"/>
        <w:jc w:val="both"/>
        <w:rPr>
          <w:rFonts w:eastAsia="楷体_GB2312"/>
          <w:lang w:eastAsia="zh-CN"/>
        </w:rPr>
      </w:pPr>
      <w:r>
        <w:rPr>
          <w:rFonts w:eastAsia="楷体_GB2312"/>
          <w:lang w:eastAsia="zh-CN"/>
        </w:rPr>
        <w:t>“受托人”收取“服务报酬”的收款账户基本信息如下：</w:t>
      </w:r>
    </w:p>
    <w:p w14:paraId="2C438B54">
      <w:pPr>
        <w:pStyle w:val="40"/>
        <w:widowControl w:val="0"/>
        <w:tabs>
          <w:tab w:val="left" w:pos="1800"/>
          <w:tab w:val="left" w:pos="1980"/>
        </w:tabs>
        <w:spacing w:line="360" w:lineRule="auto"/>
        <w:ind w:left="1843" w:firstLine="0" w:firstLineChars="0"/>
        <w:jc w:val="both"/>
        <w:rPr>
          <w:rFonts w:eastAsia="楷体_GB2312"/>
          <w:lang w:eastAsia="zh-CN"/>
        </w:rPr>
      </w:pPr>
      <w:r>
        <w:rPr>
          <w:rFonts w:eastAsia="楷体_GB2312"/>
          <w:lang w:eastAsia="zh-CN"/>
        </w:rPr>
        <w:t>账户名：【】</w:t>
      </w:r>
    </w:p>
    <w:p w14:paraId="3644E2EB">
      <w:pPr>
        <w:pStyle w:val="40"/>
        <w:widowControl w:val="0"/>
        <w:tabs>
          <w:tab w:val="left" w:pos="1800"/>
          <w:tab w:val="left" w:pos="1980"/>
        </w:tabs>
        <w:spacing w:line="360" w:lineRule="auto"/>
        <w:ind w:left="1843" w:firstLine="0" w:firstLineChars="0"/>
        <w:jc w:val="both"/>
        <w:rPr>
          <w:rFonts w:eastAsia="楷体_GB2312"/>
          <w:lang w:eastAsia="zh-CN"/>
        </w:rPr>
      </w:pPr>
      <w:r>
        <w:rPr>
          <w:rFonts w:eastAsia="楷体_GB2312"/>
          <w:lang w:eastAsia="zh-CN"/>
        </w:rPr>
        <w:t>银行账号：【】</w:t>
      </w:r>
    </w:p>
    <w:p w14:paraId="0BC21D34">
      <w:pPr>
        <w:pStyle w:val="40"/>
        <w:widowControl w:val="0"/>
        <w:tabs>
          <w:tab w:val="left" w:pos="1800"/>
          <w:tab w:val="left" w:pos="1980"/>
        </w:tabs>
        <w:spacing w:line="360" w:lineRule="auto"/>
        <w:ind w:left="1843" w:firstLine="0" w:firstLineChars="0"/>
        <w:jc w:val="both"/>
        <w:rPr>
          <w:rFonts w:eastAsia="楷体_GB2312"/>
          <w:lang w:eastAsia="zh-CN"/>
        </w:rPr>
      </w:pPr>
      <w:r>
        <w:rPr>
          <w:rFonts w:eastAsia="楷体_GB2312"/>
          <w:lang w:eastAsia="zh-CN"/>
        </w:rPr>
        <w:t>汇入行：【】</w:t>
      </w:r>
    </w:p>
    <w:p w14:paraId="30E70079">
      <w:pPr>
        <w:pStyle w:val="40"/>
        <w:widowControl w:val="0"/>
        <w:tabs>
          <w:tab w:val="left" w:pos="1800"/>
          <w:tab w:val="left" w:pos="1980"/>
        </w:tabs>
        <w:spacing w:line="360" w:lineRule="auto"/>
        <w:ind w:left="1843" w:firstLine="0" w:firstLineChars="0"/>
        <w:jc w:val="both"/>
        <w:rPr>
          <w:rFonts w:eastAsia="楷体_GB2312"/>
          <w:lang w:eastAsia="zh-CN"/>
        </w:rPr>
      </w:pPr>
      <w:r>
        <w:rPr>
          <w:rFonts w:eastAsia="楷体_GB2312"/>
          <w:lang w:eastAsia="zh-CN"/>
        </w:rPr>
        <w:t>汇入行大额支付系统行号：【】</w:t>
      </w:r>
    </w:p>
    <w:p w14:paraId="2909FEB8">
      <w:pPr>
        <w:widowControl w:val="0"/>
        <w:tabs>
          <w:tab w:val="left" w:pos="1800"/>
          <w:tab w:val="left" w:pos="1980"/>
        </w:tabs>
        <w:spacing w:line="360" w:lineRule="auto"/>
        <w:ind w:left="1418"/>
        <w:jc w:val="both"/>
        <w:rPr>
          <w:rFonts w:eastAsia="楷体_GB2312"/>
          <w:lang w:eastAsia="zh-CN"/>
        </w:rPr>
      </w:pPr>
    </w:p>
    <w:p w14:paraId="7F7DADBC">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未经“资产支持证券持有人大会”的同意并通知“评级机构”，“受托人”报酬不得增加。</w:t>
      </w:r>
    </w:p>
    <w:p w14:paraId="137EFDC9">
      <w:pPr>
        <w:spacing w:line="360" w:lineRule="auto"/>
        <w:jc w:val="both"/>
        <w:rPr>
          <w:rFonts w:eastAsia="楷体_GB2312"/>
          <w:b/>
          <w:lang w:eastAsia="zh-CN"/>
        </w:rPr>
      </w:pPr>
    </w:p>
    <w:p w14:paraId="09DABE7F">
      <w:pPr>
        <w:widowControl w:val="0"/>
        <w:numPr>
          <w:ilvl w:val="1"/>
          <w:numId w:val="8"/>
        </w:numPr>
        <w:tabs>
          <w:tab w:val="left" w:pos="1800"/>
          <w:tab w:val="left" w:pos="1980"/>
        </w:tabs>
        <w:spacing w:line="360" w:lineRule="auto"/>
        <w:jc w:val="both"/>
        <w:rPr>
          <w:rFonts w:eastAsia="楷体_GB2312"/>
          <w:b/>
        </w:rPr>
      </w:pPr>
      <w:r>
        <w:rPr>
          <w:rFonts w:eastAsia="楷体_GB2312"/>
          <w:b/>
        </w:rPr>
        <w:t>其他机构的</w:t>
      </w:r>
      <w:r>
        <w:rPr>
          <w:rFonts w:eastAsia="楷体_GB2312"/>
          <w:b/>
          <w:lang w:eastAsia="zh-CN"/>
        </w:rPr>
        <w:t>服务</w:t>
      </w:r>
      <w:r>
        <w:rPr>
          <w:rFonts w:eastAsia="楷体_GB2312"/>
          <w:b/>
        </w:rPr>
        <w:t>报酬</w:t>
      </w:r>
    </w:p>
    <w:p w14:paraId="27CAC3A3">
      <w:pPr>
        <w:spacing w:line="360" w:lineRule="auto"/>
        <w:jc w:val="both"/>
        <w:rPr>
          <w:rFonts w:eastAsia="楷体_GB2312"/>
        </w:rPr>
      </w:pPr>
    </w:p>
    <w:p w14:paraId="28C01238">
      <w:pPr>
        <w:spacing w:line="360" w:lineRule="auto"/>
        <w:ind w:left="992"/>
        <w:jc w:val="both"/>
        <w:rPr>
          <w:rFonts w:eastAsia="楷体_GB2312"/>
          <w:lang w:eastAsia="zh-CN"/>
        </w:rPr>
      </w:pPr>
      <w:r>
        <w:rPr>
          <w:rFonts w:eastAsia="楷体_GB2312"/>
          <w:lang w:eastAsia="zh-CN"/>
        </w:rPr>
        <w:t>除“受托人”以外的</w:t>
      </w:r>
      <w:r>
        <w:rPr>
          <w:rFonts w:hint="eastAsia" w:eastAsia="楷体_GB2312"/>
          <w:lang w:eastAsia="zh-CN"/>
        </w:rPr>
        <w:t>其他机构</w:t>
      </w:r>
      <w:r>
        <w:rPr>
          <w:rFonts w:eastAsia="楷体_GB2312"/>
          <w:lang w:eastAsia="zh-CN"/>
        </w:rPr>
        <w:t>的“服务报酬”应为相关“收费文件”中列示的金额，并按照本合同第</w:t>
      </w:r>
      <w:r>
        <w:rPr>
          <w:rFonts w:eastAsia="楷体_GB2312"/>
        </w:rPr>
        <w:fldChar w:fldCharType="begin"/>
      </w:r>
      <w:r>
        <w:rPr>
          <w:rFonts w:eastAsia="楷体_GB2312"/>
          <w:lang w:eastAsia="zh-CN"/>
        </w:rPr>
        <w:instrText xml:space="preserve"> REF _Ref201563930 \r \h  \* MERGEFORMAT </w:instrText>
      </w:r>
      <w:r>
        <w:rPr>
          <w:rFonts w:eastAsia="楷体_GB2312"/>
        </w:rPr>
        <w:fldChar w:fldCharType="separate"/>
      </w:r>
      <w:r>
        <w:rPr>
          <w:rFonts w:eastAsia="楷体_GB2312"/>
          <w:lang w:eastAsia="zh-CN"/>
        </w:rPr>
        <w:t>9</w:t>
      </w:r>
      <w:r>
        <w:rPr>
          <w:rFonts w:eastAsia="楷体_GB2312"/>
        </w:rPr>
        <w:fldChar w:fldCharType="end"/>
      </w:r>
      <w:r>
        <w:rPr>
          <w:rFonts w:eastAsia="楷体_GB2312"/>
          <w:lang w:eastAsia="zh-CN"/>
        </w:rPr>
        <w:t>条</w:t>
      </w:r>
      <w:r>
        <w:rPr>
          <w:rFonts w:eastAsia="楷体_GB2312"/>
          <w:bCs/>
          <w:lang w:eastAsia="zh-CN"/>
        </w:rPr>
        <w:t>约</w:t>
      </w:r>
      <w:r>
        <w:rPr>
          <w:rFonts w:eastAsia="楷体_GB2312"/>
          <w:lang w:eastAsia="zh-CN"/>
        </w:rPr>
        <w:t>定的支付顺序予以支付。</w:t>
      </w:r>
    </w:p>
    <w:p w14:paraId="6B87A530">
      <w:pPr>
        <w:spacing w:line="360" w:lineRule="auto"/>
        <w:jc w:val="both"/>
        <w:rPr>
          <w:rFonts w:eastAsia="楷体_GB2312"/>
          <w:lang w:eastAsia="zh-CN"/>
        </w:rPr>
      </w:pPr>
    </w:p>
    <w:p w14:paraId="4DD92124">
      <w:pPr>
        <w:widowControl w:val="0"/>
        <w:numPr>
          <w:ilvl w:val="0"/>
          <w:numId w:val="8"/>
        </w:numPr>
        <w:spacing w:line="360" w:lineRule="auto"/>
        <w:jc w:val="both"/>
        <w:outlineLvl w:val="0"/>
        <w:rPr>
          <w:rFonts w:eastAsia="楷体_GB2312"/>
          <w:b/>
        </w:rPr>
      </w:pPr>
      <w:bookmarkStart w:id="534" w:name="_Toc107916196"/>
      <w:bookmarkEnd w:id="534"/>
      <w:bookmarkStart w:id="535" w:name="_Toc107916195"/>
      <w:bookmarkEnd w:id="535"/>
      <w:bookmarkStart w:id="536" w:name="_Toc107916032"/>
      <w:bookmarkEnd w:id="536"/>
      <w:bookmarkStart w:id="537" w:name="_Toc146349292"/>
      <w:bookmarkEnd w:id="537"/>
      <w:bookmarkStart w:id="538" w:name="_Toc107916033"/>
      <w:bookmarkEnd w:id="538"/>
      <w:bookmarkStart w:id="539" w:name="_Toc146349293"/>
      <w:bookmarkEnd w:id="539"/>
      <w:bookmarkStart w:id="540" w:name="_Toc201569433"/>
      <w:bookmarkStart w:id="541" w:name="_Toc110153453"/>
      <w:bookmarkStart w:id="542" w:name="_Toc111281808"/>
      <w:bookmarkStart w:id="543" w:name="_Toc69138595"/>
      <w:bookmarkStart w:id="544" w:name="_Toc454484865"/>
      <w:bookmarkStart w:id="545" w:name="_Toc166105878"/>
      <w:bookmarkStart w:id="546" w:name="_Toc227955292"/>
      <w:bookmarkStart w:id="547" w:name="_Toc75510477"/>
      <w:bookmarkStart w:id="548" w:name="_Toc207007314"/>
      <w:r>
        <w:rPr>
          <w:rFonts w:eastAsia="楷体_GB2312"/>
          <w:b/>
        </w:rPr>
        <w:t>税负</w:t>
      </w:r>
      <w:bookmarkStart w:id="549" w:name="_Toc92612942"/>
      <w:r>
        <w:rPr>
          <w:rFonts w:eastAsia="楷体_GB2312"/>
          <w:b/>
        </w:rPr>
        <w:t>承担</w:t>
      </w:r>
      <w:bookmarkEnd w:id="540"/>
      <w:bookmarkEnd w:id="541"/>
      <w:bookmarkEnd w:id="542"/>
      <w:bookmarkEnd w:id="543"/>
      <w:bookmarkEnd w:id="544"/>
      <w:bookmarkEnd w:id="545"/>
      <w:bookmarkEnd w:id="546"/>
      <w:bookmarkEnd w:id="547"/>
      <w:bookmarkEnd w:id="548"/>
    </w:p>
    <w:bookmarkEnd w:id="549"/>
    <w:p w14:paraId="1DD941EA">
      <w:pPr>
        <w:widowControl w:val="0"/>
        <w:spacing w:line="360" w:lineRule="auto"/>
        <w:jc w:val="both"/>
        <w:rPr>
          <w:rFonts w:eastAsia="楷体_GB2312"/>
          <w:lang w:eastAsia="zh-CN"/>
        </w:rPr>
      </w:pPr>
    </w:p>
    <w:p w14:paraId="32C26DB3">
      <w:pPr>
        <w:spacing w:line="360" w:lineRule="auto"/>
        <w:ind w:left="420"/>
        <w:jc w:val="both"/>
        <w:rPr>
          <w:rFonts w:eastAsia="楷体_GB2312"/>
          <w:bCs/>
          <w:color w:val="000000"/>
          <w:lang w:eastAsia="zh-CN"/>
        </w:rPr>
      </w:pPr>
      <w:r>
        <w:rPr>
          <w:rFonts w:eastAsia="楷体_GB2312"/>
          <w:bCs/>
          <w:color w:val="000000"/>
        </w:rPr>
        <w:t>双方同意在</w:t>
      </w:r>
      <w:r>
        <w:rPr>
          <w:rFonts w:eastAsia="楷体_GB2312"/>
          <w:color w:val="000000"/>
        </w:rPr>
        <w:t>“</w:t>
      </w:r>
      <w:r>
        <w:rPr>
          <w:rFonts w:eastAsia="楷体_GB2312"/>
          <w:bCs/>
          <w:color w:val="000000"/>
        </w:rPr>
        <w:t>信托</w:t>
      </w:r>
      <w:r>
        <w:rPr>
          <w:rFonts w:eastAsia="楷体_GB2312"/>
          <w:color w:val="000000"/>
        </w:rPr>
        <w:t>”</w:t>
      </w:r>
      <w:r>
        <w:rPr>
          <w:rFonts w:eastAsia="楷体_GB2312"/>
          <w:bCs/>
          <w:color w:val="000000"/>
        </w:rPr>
        <w:t>设立、</w:t>
      </w:r>
      <w:r>
        <w:rPr>
          <w:rFonts w:eastAsia="楷体_GB2312"/>
          <w:color w:val="000000"/>
        </w:rPr>
        <w:t>“</w:t>
      </w:r>
      <w:r>
        <w:rPr>
          <w:rFonts w:eastAsia="楷体_GB2312"/>
          <w:bCs/>
          <w:color w:val="000000"/>
        </w:rPr>
        <w:t>信托财产</w:t>
      </w:r>
      <w:r>
        <w:rPr>
          <w:rFonts w:eastAsia="楷体_GB2312"/>
          <w:color w:val="000000"/>
        </w:rPr>
        <w:t>”</w:t>
      </w:r>
      <w:r>
        <w:rPr>
          <w:rFonts w:eastAsia="楷体_GB2312"/>
          <w:bCs/>
          <w:color w:val="000000"/>
        </w:rPr>
        <w:t>的管理和运用、处分、</w:t>
      </w:r>
      <w:r>
        <w:rPr>
          <w:rFonts w:eastAsia="楷体_GB2312"/>
          <w:color w:val="000000"/>
        </w:rPr>
        <w:t>“</w:t>
      </w:r>
      <w:r>
        <w:rPr>
          <w:rFonts w:eastAsia="楷体_GB2312"/>
          <w:bCs/>
          <w:color w:val="000000"/>
        </w:rPr>
        <w:t>回收款</w:t>
      </w:r>
      <w:r>
        <w:rPr>
          <w:rFonts w:eastAsia="楷体_GB2312"/>
          <w:color w:val="000000"/>
        </w:rPr>
        <w:t>”</w:t>
      </w:r>
      <w:r>
        <w:rPr>
          <w:rFonts w:eastAsia="楷体_GB2312"/>
          <w:bCs/>
          <w:color w:val="000000"/>
        </w:rPr>
        <w:t>的分配、</w:t>
      </w:r>
      <w:r>
        <w:rPr>
          <w:rFonts w:eastAsia="楷体_GB2312"/>
          <w:color w:val="000000"/>
        </w:rPr>
        <w:t>“</w:t>
      </w:r>
      <w:r>
        <w:rPr>
          <w:rFonts w:eastAsia="楷体_GB2312"/>
          <w:bCs/>
          <w:color w:val="000000"/>
        </w:rPr>
        <w:t>信托</w:t>
      </w:r>
      <w:r>
        <w:rPr>
          <w:rFonts w:eastAsia="楷体_GB2312"/>
          <w:color w:val="000000"/>
        </w:rPr>
        <w:t>”</w:t>
      </w:r>
      <w:r>
        <w:rPr>
          <w:rFonts w:eastAsia="楷体_GB2312"/>
          <w:bCs/>
          <w:color w:val="000000"/>
        </w:rPr>
        <w:t>清算等过程中发生的“税费”，由双方按照</w:t>
      </w:r>
      <w:r>
        <w:rPr>
          <w:rFonts w:eastAsia="楷体_GB2312"/>
          <w:color w:val="000000"/>
        </w:rPr>
        <w:t>相关</w:t>
      </w:r>
      <w:r>
        <w:rPr>
          <w:rFonts w:eastAsia="楷体_GB2312"/>
          <w:bCs/>
          <w:color w:val="000000"/>
        </w:rPr>
        <w:t>“</w:t>
      </w:r>
      <w:r>
        <w:rPr>
          <w:rFonts w:eastAsia="楷体_GB2312"/>
          <w:color w:val="000000"/>
        </w:rPr>
        <w:t>中国”“法律”规定各自</w:t>
      </w:r>
      <w:r>
        <w:rPr>
          <w:rFonts w:eastAsia="楷体_GB2312"/>
          <w:bCs/>
          <w:color w:val="000000"/>
        </w:rPr>
        <w:t>承担，按照</w:t>
      </w:r>
      <w:r>
        <w:rPr>
          <w:rFonts w:eastAsia="楷体_GB2312"/>
          <w:color w:val="000000"/>
        </w:rPr>
        <w:t>相关</w:t>
      </w:r>
      <w:r>
        <w:rPr>
          <w:rFonts w:eastAsia="楷体_GB2312"/>
          <w:bCs/>
          <w:color w:val="000000"/>
        </w:rPr>
        <w:t>“</w:t>
      </w:r>
      <w:r>
        <w:rPr>
          <w:rFonts w:eastAsia="楷体_GB2312"/>
          <w:color w:val="000000"/>
        </w:rPr>
        <w:t>中国”“法律”规定应由“</w:t>
      </w:r>
      <w:r>
        <w:rPr>
          <w:rFonts w:eastAsia="楷体_GB2312"/>
          <w:bCs/>
          <w:color w:val="000000"/>
        </w:rPr>
        <w:t>信托财产</w:t>
      </w:r>
      <w:r>
        <w:rPr>
          <w:rFonts w:eastAsia="楷体_GB2312"/>
          <w:color w:val="000000"/>
        </w:rPr>
        <w:t>”</w:t>
      </w:r>
      <w:r>
        <w:rPr>
          <w:rFonts w:eastAsia="楷体_GB2312"/>
          <w:bCs/>
          <w:color w:val="000000"/>
        </w:rPr>
        <w:t>承担的由</w:t>
      </w:r>
      <w:r>
        <w:rPr>
          <w:rFonts w:eastAsia="楷体_GB2312"/>
          <w:color w:val="000000"/>
        </w:rPr>
        <w:t>“</w:t>
      </w:r>
      <w:r>
        <w:rPr>
          <w:rFonts w:eastAsia="楷体_GB2312"/>
          <w:bCs/>
          <w:color w:val="000000"/>
        </w:rPr>
        <w:t>信托财产</w:t>
      </w:r>
      <w:r>
        <w:rPr>
          <w:rFonts w:eastAsia="楷体_GB2312"/>
          <w:color w:val="000000"/>
        </w:rPr>
        <w:t>”</w:t>
      </w:r>
      <w:r>
        <w:rPr>
          <w:rFonts w:eastAsia="楷体_GB2312"/>
          <w:bCs/>
          <w:color w:val="000000"/>
        </w:rPr>
        <w:t>承担。</w:t>
      </w:r>
    </w:p>
    <w:p w14:paraId="67F72EA3">
      <w:pPr>
        <w:spacing w:line="360" w:lineRule="auto"/>
        <w:ind w:left="420"/>
        <w:jc w:val="both"/>
        <w:rPr>
          <w:rFonts w:eastAsia="楷体_GB2312"/>
          <w:b/>
          <w:i/>
          <w:iCs/>
          <w:color w:val="FF0000"/>
          <w:lang w:eastAsia="zh-CN"/>
        </w:rPr>
      </w:pPr>
      <w:bookmarkStart w:id="550" w:name="_Hlk221560019"/>
      <w:r>
        <w:rPr>
          <w:rFonts w:eastAsia="楷体_GB2312"/>
          <w:b/>
          <w:i/>
          <w:iCs/>
          <w:color w:val="FF0000"/>
          <w:lang w:eastAsia="zh-CN"/>
        </w:rPr>
        <w:t>【注：关于税收条款按当时所适用的“中国”“法律”适用和执行，可结合项目实际情况就税收种类以及承担方式等予以具体化进一步在合同中进行明确。】</w:t>
      </w:r>
    </w:p>
    <w:bookmarkEnd w:id="550"/>
    <w:p w14:paraId="10C50F6A">
      <w:pPr>
        <w:spacing w:line="360" w:lineRule="auto"/>
        <w:ind w:left="420"/>
        <w:jc w:val="both"/>
        <w:rPr>
          <w:rFonts w:eastAsia="楷体_GB2312"/>
          <w:bCs/>
          <w:color w:val="000000"/>
        </w:rPr>
      </w:pPr>
      <w:bookmarkStart w:id="551" w:name="_Toc454484866"/>
      <w:bookmarkStart w:id="552" w:name="_Toc207007315"/>
      <w:bookmarkStart w:id="553" w:name="_Toc69138596"/>
      <w:bookmarkStart w:id="554" w:name="_Ref173768296"/>
      <w:bookmarkStart w:id="555" w:name="_Toc110153454"/>
      <w:bookmarkStart w:id="556" w:name="_Toc111281809"/>
      <w:bookmarkStart w:id="557" w:name="_Toc75510478"/>
      <w:bookmarkStart w:id="558" w:name="_Toc201569434"/>
      <w:bookmarkStart w:id="559" w:name="_Toc166105879"/>
    </w:p>
    <w:p w14:paraId="72ED1412">
      <w:pPr>
        <w:widowControl w:val="0"/>
        <w:numPr>
          <w:ilvl w:val="0"/>
          <w:numId w:val="8"/>
        </w:numPr>
        <w:spacing w:line="360" w:lineRule="auto"/>
        <w:jc w:val="both"/>
        <w:outlineLvl w:val="0"/>
        <w:rPr>
          <w:rFonts w:eastAsia="楷体_GB2312"/>
          <w:b/>
          <w:lang w:eastAsia="zh-CN"/>
        </w:rPr>
      </w:pPr>
      <w:bookmarkStart w:id="560" w:name="_Toc227955293"/>
      <w:r>
        <w:rPr>
          <w:rFonts w:eastAsia="楷体_GB2312"/>
          <w:b/>
          <w:lang w:eastAsia="zh-CN"/>
        </w:rPr>
        <w:t>资产支持证券持有人大会</w:t>
      </w:r>
      <w:bookmarkEnd w:id="551"/>
      <w:bookmarkEnd w:id="552"/>
      <w:bookmarkEnd w:id="553"/>
      <w:bookmarkEnd w:id="554"/>
      <w:bookmarkEnd w:id="555"/>
      <w:bookmarkEnd w:id="556"/>
      <w:bookmarkEnd w:id="557"/>
      <w:bookmarkEnd w:id="558"/>
      <w:bookmarkEnd w:id="559"/>
      <w:bookmarkEnd w:id="560"/>
    </w:p>
    <w:p w14:paraId="0C27EA15">
      <w:pPr>
        <w:pStyle w:val="40"/>
        <w:spacing w:line="360" w:lineRule="auto"/>
        <w:ind w:left="425" w:firstLine="0" w:firstLineChars="0"/>
        <w:jc w:val="both"/>
        <w:rPr>
          <w:rFonts w:eastAsia="楷体_GB2312"/>
          <w:b/>
          <w:bCs/>
          <w:i/>
          <w:iCs/>
          <w:color w:val="FF0000"/>
          <w:kern w:val="2"/>
          <w:lang w:eastAsia="zh-CN"/>
        </w:rPr>
      </w:pPr>
      <w:r>
        <w:rPr>
          <w:rFonts w:eastAsia="楷体_GB2312"/>
          <w:b/>
          <w:bCs/>
          <w:i/>
          <w:iCs/>
          <w:color w:val="FF0000"/>
          <w:kern w:val="2"/>
        </w:rPr>
        <w:t>【注：</w:t>
      </w:r>
      <w:r>
        <w:rPr>
          <w:rFonts w:eastAsia="楷体_GB2312"/>
          <w:b/>
          <w:i/>
          <w:iCs/>
          <w:color w:val="FF0000"/>
        </w:rPr>
        <w:t>本款“资产支持证券持有人大会”仅供参考，就召集事由、表决比例等安排</w:t>
      </w:r>
      <w:r>
        <w:rPr>
          <w:rFonts w:eastAsia="楷体_GB2312"/>
          <w:b/>
          <w:bCs/>
          <w:i/>
          <w:iCs/>
          <w:color w:val="FF0000"/>
        </w:rPr>
        <w:t>可根据项目实际情况进行调整，但应符合法律规定和监管要求</w:t>
      </w:r>
      <w:r>
        <w:rPr>
          <w:rFonts w:eastAsia="楷体_GB2312"/>
          <w:b/>
          <w:bCs/>
          <w:i/>
          <w:iCs/>
          <w:color w:val="FF0000"/>
          <w:kern w:val="2"/>
        </w:rPr>
        <w:t>。】</w:t>
      </w:r>
    </w:p>
    <w:p w14:paraId="724BDEB3">
      <w:pPr>
        <w:spacing w:line="360" w:lineRule="auto"/>
        <w:jc w:val="both"/>
        <w:rPr>
          <w:rFonts w:eastAsia="楷体_GB2312"/>
          <w:b/>
          <w:lang w:eastAsia="zh-CN"/>
        </w:rPr>
      </w:pPr>
    </w:p>
    <w:p w14:paraId="63AB6645">
      <w:pPr>
        <w:widowControl w:val="0"/>
        <w:numPr>
          <w:ilvl w:val="1"/>
          <w:numId w:val="8"/>
        </w:numPr>
        <w:spacing w:line="360" w:lineRule="auto"/>
        <w:jc w:val="both"/>
        <w:outlineLvl w:val="1"/>
        <w:rPr>
          <w:rFonts w:eastAsia="楷体_GB2312"/>
          <w:b/>
        </w:rPr>
      </w:pPr>
      <w:bookmarkStart w:id="561" w:name="_Toc111281810"/>
      <w:bookmarkStart w:id="562" w:name="_Toc201569435"/>
      <w:r>
        <w:rPr>
          <w:rFonts w:eastAsia="楷体_GB2312"/>
          <w:b/>
        </w:rPr>
        <w:t>组成</w:t>
      </w:r>
      <w:bookmarkEnd w:id="561"/>
      <w:bookmarkEnd w:id="562"/>
    </w:p>
    <w:p w14:paraId="417F5EFA">
      <w:pPr>
        <w:autoSpaceDE w:val="0"/>
        <w:autoSpaceDN w:val="0"/>
        <w:adjustRightInd w:val="0"/>
        <w:spacing w:line="360" w:lineRule="auto"/>
        <w:jc w:val="both"/>
        <w:rPr>
          <w:rFonts w:eastAsia="楷体_GB2312"/>
        </w:rPr>
      </w:pPr>
    </w:p>
    <w:p w14:paraId="4E6B649A">
      <w:pPr>
        <w:autoSpaceDE w:val="0"/>
        <w:autoSpaceDN w:val="0"/>
        <w:adjustRightInd w:val="0"/>
        <w:spacing w:line="360" w:lineRule="auto"/>
        <w:ind w:left="991" w:leftChars="413"/>
        <w:jc w:val="both"/>
        <w:rPr>
          <w:rFonts w:eastAsia="楷体_GB2312"/>
          <w:lang w:eastAsia="zh-CN"/>
        </w:rPr>
      </w:pPr>
      <w:r>
        <w:rPr>
          <w:rFonts w:eastAsia="楷体_GB2312"/>
          <w:lang w:eastAsia="zh-CN"/>
        </w:rPr>
        <w:t>各类别“资产支持证券的持有人”分别组成该类别“资产支持证券持有人大会”。通过购买“发行人”所发行的相关类别“资产支持证券”或在全国银行间债券市场通过交易购得相应类别的“资产支持证券”的“资产支持证券持有人”，自动成为该类别“资产支持证券持有人大会”的成员。具体而言，“优先级资产支持证券持有人”组成优先级“资产支持证券持有人大会”；“次级资产支持证券持有人”组成次级“资产支持证券持有人大会”。</w:t>
      </w:r>
    </w:p>
    <w:p w14:paraId="08FF423D">
      <w:pPr>
        <w:autoSpaceDE w:val="0"/>
        <w:autoSpaceDN w:val="0"/>
        <w:adjustRightInd w:val="0"/>
        <w:spacing w:line="360" w:lineRule="auto"/>
        <w:jc w:val="both"/>
        <w:rPr>
          <w:rFonts w:eastAsia="楷体_GB2312"/>
          <w:lang w:eastAsia="zh-CN"/>
        </w:rPr>
      </w:pPr>
    </w:p>
    <w:p w14:paraId="439CCCEA">
      <w:pPr>
        <w:widowControl w:val="0"/>
        <w:numPr>
          <w:ilvl w:val="1"/>
          <w:numId w:val="8"/>
        </w:numPr>
        <w:spacing w:line="360" w:lineRule="auto"/>
        <w:jc w:val="both"/>
        <w:outlineLvl w:val="1"/>
        <w:rPr>
          <w:rFonts w:eastAsia="楷体_GB2312"/>
          <w:b/>
        </w:rPr>
      </w:pPr>
      <w:bookmarkStart w:id="563" w:name="_Toc152168748"/>
      <w:bookmarkStart w:id="564" w:name="_Toc201569436"/>
      <w:bookmarkStart w:id="565" w:name="_Toc172736602"/>
      <w:bookmarkStart w:id="566" w:name="_Toc152168192"/>
      <w:bookmarkStart w:id="567" w:name="_Toc151554358"/>
      <w:bookmarkStart w:id="568" w:name="_Toc111281811"/>
      <w:r>
        <w:rPr>
          <w:rFonts w:eastAsia="楷体_GB2312"/>
          <w:b/>
        </w:rPr>
        <w:t>会议召集</w:t>
      </w:r>
      <w:bookmarkEnd w:id="563"/>
      <w:bookmarkEnd w:id="564"/>
      <w:bookmarkEnd w:id="565"/>
      <w:bookmarkEnd w:id="566"/>
      <w:bookmarkEnd w:id="567"/>
    </w:p>
    <w:p w14:paraId="716E1408">
      <w:pPr>
        <w:spacing w:line="360" w:lineRule="auto"/>
        <w:jc w:val="both"/>
        <w:rPr>
          <w:rFonts w:eastAsia="楷体_GB2312"/>
        </w:rPr>
      </w:pPr>
    </w:p>
    <w:p w14:paraId="27036DBF">
      <w:pPr>
        <w:widowControl w:val="0"/>
        <w:numPr>
          <w:ilvl w:val="2"/>
          <w:numId w:val="8"/>
        </w:numPr>
        <w:tabs>
          <w:tab w:val="left" w:pos="1620"/>
        </w:tabs>
        <w:spacing w:line="360" w:lineRule="auto"/>
        <w:ind w:left="1620" w:hanging="769"/>
        <w:jc w:val="both"/>
        <w:rPr>
          <w:rFonts w:eastAsia="楷体_GB2312"/>
          <w:lang w:eastAsia="zh-CN"/>
        </w:rPr>
      </w:pPr>
      <w:bookmarkStart w:id="569" w:name="_Ref332308382"/>
      <w:r>
        <w:rPr>
          <w:rFonts w:eastAsia="楷体_GB2312"/>
          <w:lang w:eastAsia="zh-CN"/>
        </w:rPr>
        <w:t>“资产支持证券持有人大会”为不定期会议，各类别“资产支持证券持有人大会”共同参会，分类表决。“资产支持证券持有人大会”由“受托人”召集。发生下列事由之一的，“受托人”应召集“资产支持证券持有人大会”：</w:t>
      </w:r>
      <w:bookmarkEnd w:id="569"/>
    </w:p>
    <w:p w14:paraId="4995EF29">
      <w:pPr>
        <w:spacing w:line="360" w:lineRule="auto"/>
        <w:jc w:val="both"/>
        <w:rPr>
          <w:rFonts w:eastAsia="楷体_GB2312"/>
          <w:lang w:eastAsia="zh-CN"/>
        </w:rPr>
      </w:pPr>
    </w:p>
    <w:p w14:paraId="1804C945">
      <w:pPr>
        <w:widowControl w:val="0"/>
        <w:numPr>
          <w:ilvl w:val="0"/>
          <w:numId w:val="38"/>
        </w:numPr>
        <w:spacing w:line="360" w:lineRule="auto"/>
        <w:ind w:left="2127" w:hanging="426"/>
        <w:jc w:val="both"/>
        <w:rPr>
          <w:rFonts w:eastAsia="楷体_GB2312"/>
        </w:rPr>
      </w:pPr>
      <w:bookmarkStart w:id="570" w:name="_Ref332310609"/>
      <w:bookmarkStart w:id="571" w:name="_Toc111281812"/>
      <w:r>
        <w:rPr>
          <w:rFonts w:eastAsia="楷体_GB2312"/>
          <w:lang w:eastAsia="zh-CN"/>
        </w:rPr>
        <w:t>提前终止“</w:t>
      </w:r>
      <w:r>
        <w:rPr>
          <w:rFonts w:eastAsia="楷体_GB2312"/>
        </w:rPr>
        <w:t>信托</w:t>
      </w:r>
      <w:r>
        <w:rPr>
          <w:rFonts w:eastAsia="楷体_GB2312"/>
          <w:lang w:eastAsia="zh-CN"/>
        </w:rPr>
        <w:t>”</w:t>
      </w:r>
      <w:r>
        <w:rPr>
          <w:rFonts w:eastAsia="楷体_GB2312"/>
        </w:rPr>
        <w:t>；</w:t>
      </w:r>
      <w:bookmarkEnd w:id="570"/>
    </w:p>
    <w:p w14:paraId="0AAA1996">
      <w:pPr>
        <w:tabs>
          <w:tab w:val="left" w:pos="2356"/>
        </w:tabs>
        <w:spacing w:line="360" w:lineRule="auto"/>
        <w:ind w:left="1418" w:firstLine="5"/>
        <w:jc w:val="both"/>
        <w:rPr>
          <w:rFonts w:eastAsia="楷体_GB2312"/>
        </w:rPr>
      </w:pPr>
    </w:p>
    <w:p w14:paraId="3AA447D7">
      <w:pPr>
        <w:widowControl w:val="0"/>
        <w:numPr>
          <w:ilvl w:val="0"/>
          <w:numId w:val="38"/>
        </w:numPr>
        <w:spacing w:line="360" w:lineRule="auto"/>
        <w:ind w:left="2127" w:hanging="426"/>
        <w:jc w:val="both"/>
        <w:rPr>
          <w:rFonts w:eastAsia="楷体_GB2312"/>
          <w:lang w:eastAsia="zh-CN"/>
        </w:rPr>
      </w:pPr>
      <w:bookmarkStart w:id="572" w:name="_Ref332897976"/>
      <w:r>
        <w:rPr>
          <w:rFonts w:eastAsia="楷体_GB2312"/>
          <w:lang w:eastAsia="zh-CN"/>
        </w:rPr>
        <w:t>批准涉及修改“资产支持证券持有人”权利或“资产支持证券”基本特征的提案，而无论该“资产支持证券持有人”的权利或“资产支持证券”特征是否基于</w:t>
      </w:r>
      <w:r>
        <w:rPr>
          <w:rFonts w:eastAsia="楷体_GB2312"/>
        </w:rPr>
        <w:t>“交易文件”</w:t>
      </w:r>
      <w:r>
        <w:rPr>
          <w:rFonts w:eastAsia="楷体_GB2312"/>
          <w:lang w:eastAsia="zh-CN"/>
        </w:rPr>
        <w:t>或其他文件，具体包括但不限于：改变本合同第</w:t>
      </w:r>
      <w:r>
        <w:rPr>
          <w:rFonts w:eastAsia="楷体_GB2312"/>
        </w:rPr>
        <w:fldChar w:fldCharType="begin"/>
      </w:r>
      <w:r>
        <w:rPr>
          <w:rFonts w:eastAsia="楷体_GB2312"/>
          <w:lang w:eastAsia="zh-CN"/>
        </w:rPr>
        <w:instrText xml:space="preserve"> REF _Ref201563930 \r \h  \* MERGEFORMAT </w:instrText>
      </w:r>
      <w:r>
        <w:rPr>
          <w:rFonts w:eastAsia="楷体_GB2312"/>
        </w:rPr>
        <w:fldChar w:fldCharType="separate"/>
      </w:r>
      <w:r>
        <w:rPr>
          <w:rFonts w:eastAsia="楷体_GB2312"/>
          <w:lang w:eastAsia="zh-CN"/>
        </w:rPr>
        <w:t>9</w:t>
      </w:r>
      <w:r>
        <w:rPr>
          <w:rFonts w:eastAsia="楷体_GB2312"/>
        </w:rPr>
        <w:fldChar w:fldCharType="end"/>
      </w:r>
      <w:r>
        <w:rPr>
          <w:rFonts w:eastAsia="楷体_GB2312"/>
          <w:lang w:eastAsia="zh-CN"/>
        </w:rPr>
        <w:t>条</w:t>
      </w:r>
      <w:r>
        <w:rPr>
          <w:rFonts w:eastAsia="楷体_GB2312"/>
          <w:bCs/>
          <w:lang w:eastAsia="zh-CN"/>
        </w:rPr>
        <w:t>约</w:t>
      </w:r>
      <w:r>
        <w:rPr>
          <w:rFonts w:eastAsia="楷体_GB2312"/>
          <w:lang w:eastAsia="zh-CN"/>
        </w:rPr>
        <w:t>定的“回收款”分配顺序、减少或取消“资产支持证券”的本金金额或利率、改变对“资产支持证券”的支付币种、修改对某一项“全体同意事项”或“特别决议事项”获得通过所需的票数等；</w:t>
      </w:r>
      <w:bookmarkEnd w:id="572"/>
    </w:p>
    <w:bookmarkEnd w:id="571"/>
    <w:p w14:paraId="4B64CD5C">
      <w:pPr>
        <w:tabs>
          <w:tab w:val="left" w:pos="2356"/>
        </w:tabs>
        <w:spacing w:line="360" w:lineRule="auto"/>
        <w:ind w:left="1418" w:firstLine="5"/>
        <w:jc w:val="both"/>
        <w:rPr>
          <w:rFonts w:eastAsia="楷体_GB2312"/>
          <w:lang w:eastAsia="zh-CN"/>
        </w:rPr>
      </w:pPr>
    </w:p>
    <w:p w14:paraId="75271C7C">
      <w:pPr>
        <w:widowControl w:val="0"/>
        <w:numPr>
          <w:ilvl w:val="0"/>
          <w:numId w:val="38"/>
        </w:numPr>
        <w:spacing w:line="360" w:lineRule="auto"/>
        <w:ind w:left="2127" w:hanging="426"/>
        <w:jc w:val="both"/>
        <w:rPr>
          <w:rFonts w:eastAsia="楷体_GB2312"/>
          <w:lang w:eastAsia="zh-CN"/>
        </w:rPr>
      </w:pPr>
      <w:bookmarkStart w:id="573" w:name="_Ref332897900"/>
      <w:r>
        <w:rPr>
          <w:rFonts w:eastAsia="楷体_GB2312"/>
          <w:lang w:eastAsia="zh-CN"/>
        </w:rPr>
        <w:t>“受托人”提出辞任、发生“受托人解任事件”、“贷款服务机构解任事件”或“资金保管机构解任事件”，须根据“交易文件”更换“受托人”、“贷款服务机构”或“资金保管机构”；</w:t>
      </w:r>
      <w:bookmarkEnd w:id="573"/>
    </w:p>
    <w:p w14:paraId="787CA79F">
      <w:pPr>
        <w:pStyle w:val="40"/>
        <w:spacing w:line="360" w:lineRule="auto"/>
        <w:ind w:firstLine="480"/>
        <w:jc w:val="both"/>
        <w:rPr>
          <w:rFonts w:eastAsia="楷体_GB2312"/>
          <w:lang w:eastAsia="zh-CN"/>
        </w:rPr>
      </w:pPr>
    </w:p>
    <w:p w14:paraId="61377239">
      <w:pPr>
        <w:widowControl w:val="0"/>
        <w:numPr>
          <w:ilvl w:val="0"/>
          <w:numId w:val="38"/>
        </w:numPr>
        <w:spacing w:line="360" w:lineRule="auto"/>
        <w:ind w:left="2127" w:hanging="426"/>
        <w:jc w:val="both"/>
        <w:rPr>
          <w:rFonts w:eastAsia="楷体_GB2312"/>
          <w:lang w:eastAsia="zh-CN"/>
        </w:rPr>
      </w:pPr>
      <w:r>
        <w:rPr>
          <w:rFonts w:eastAsia="楷体_GB2312"/>
          <w:lang w:eastAsia="zh-CN"/>
        </w:rPr>
        <w:t>决定本“信托”项下“后备贷款服务机构”委任事宜；</w:t>
      </w:r>
    </w:p>
    <w:p w14:paraId="2725F177">
      <w:pPr>
        <w:pStyle w:val="40"/>
        <w:spacing w:line="360" w:lineRule="auto"/>
        <w:ind w:firstLine="480"/>
        <w:jc w:val="both"/>
        <w:rPr>
          <w:rFonts w:eastAsia="楷体_GB2312"/>
          <w:lang w:eastAsia="zh-CN"/>
        </w:rPr>
      </w:pPr>
    </w:p>
    <w:p w14:paraId="75AD2643">
      <w:pPr>
        <w:widowControl w:val="0"/>
        <w:numPr>
          <w:ilvl w:val="0"/>
          <w:numId w:val="38"/>
        </w:numPr>
        <w:spacing w:line="360" w:lineRule="auto"/>
        <w:ind w:left="2127" w:hanging="426"/>
        <w:jc w:val="both"/>
        <w:rPr>
          <w:rFonts w:eastAsia="楷体_GB2312"/>
          <w:lang w:eastAsia="zh-CN"/>
        </w:rPr>
      </w:pPr>
      <w:r>
        <w:rPr>
          <w:rFonts w:eastAsia="楷体_GB2312"/>
          <w:lang w:eastAsia="zh-CN"/>
        </w:rPr>
        <w:t>解除或免除“受托人”根据任何“交易文件”本应承担的任何责任和义务；</w:t>
      </w:r>
    </w:p>
    <w:p w14:paraId="0EA1D5D9">
      <w:pPr>
        <w:pStyle w:val="40"/>
        <w:spacing w:line="360" w:lineRule="auto"/>
        <w:ind w:firstLine="480"/>
        <w:jc w:val="both"/>
        <w:rPr>
          <w:rFonts w:eastAsia="楷体_GB2312"/>
          <w:lang w:eastAsia="zh-CN"/>
        </w:rPr>
      </w:pPr>
    </w:p>
    <w:p w14:paraId="7195A2E5">
      <w:pPr>
        <w:widowControl w:val="0"/>
        <w:numPr>
          <w:ilvl w:val="0"/>
          <w:numId w:val="38"/>
        </w:numPr>
        <w:spacing w:line="360" w:lineRule="auto"/>
        <w:ind w:left="2127" w:hanging="426"/>
        <w:jc w:val="both"/>
        <w:rPr>
          <w:rFonts w:eastAsia="楷体_GB2312"/>
          <w:lang w:eastAsia="zh-CN"/>
        </w:rPr>
      </w:pPr>
      <w:r>
        <w:rPr>
          <w:rFonts w:eastAsia="楷体_GB2312"/>
          <w:lang w:eastAsia="zh-CN"/>
        </w:rPr>
        <w:t>“《信托合同》”或其他“交易文件”的终止或重大修改、更正、补充，但该等修改属于微小的技术性改动或是根据适用“中国”“法律”的强制性要求而做出的除外；</w:t>
      </w:r>
    </w:p>
    <w:p w14:paraId="14972CD2">
      <w:pPr>
        <w:tabs>
          <w:tab w:val="left" w:pos="2356"/>
        </w:tabs>
        <w:spacing w:line="360" w:lineRule="auto"/>
        <w:ind w:left="1418" w:firstLine="5"/>
        <w:jc w:val="both"/>
        <w:rPr>
          <w:rFonts w:eastAsia="楷体_GB2312"/>
          <w:lang w:eastAsia="zh-CN"/>
        </w:rPr>
      </w:pPr>
    </w:p>
    <w:p w14:paraId="069F310F">
      <w:pPr>
        <w:widowControl w:val="0"/>
        <w:numPr>
          <w:ilvl w:val="0"/>
          <w:numId w:val="38"/>
        </w:numPr>
        <w:spacing w:line="360" w:lineRule="auto"/>
        <w:ind w:left="2127" w:hanging="426"/>
        <w:jc w:val="both"/>
        <w:rPr>
          <w:rFonts w:eastAsia="楷体_GB2312"/>
          <w:lang w:eastAsia="zh-CN"/>
        </w:rPr>
      </w:pPr>
      <w:r>
        <w:rPr>
          <w:rFonts w:eastAsia="楷体_GB2312"/>
          <w:lang w:eastAsia="zh-CN"/>
        </w:rPr>
        <w:t>发生任何“加速清偿事件”中的(h)项至(k)项，决定是否宣布加速清偿事件已发生；发生“违约事件”中的(d)至(e)项的任何事件，决定是否宣布“违约事件”已发生；</w:t>
      </w:r>
    </w:p>
    <w:p w14:paraId="2429CBD7">
      <w:pPr>
        <w:pStyle w:val="40"/>
        <w:spacing w:line="360" w:lineRule="auto"/>
        <w:ind w:firstLine="480"/>
        <w:jc w:val="both"/>
        <w:rPr>
          <w:rFonts w:eastAsia="楷体_GB2312"/>
          <w:lang w:eastAsia="zh-CN"/>
        </w:rPr>
      </w:pPr>
    </w:p>
    <w:p w14:paraId="727DC434">
      <w:pPr>
        <w:widowControl w:val="0"/>
        <w:numPr>
          <w:ilvl w:val="0"/>
          <w:numId w:val="38"/>
        </w:numPr>
        <w:spacing w:line="360" w:lineRule="auto"/>
        <w:ind w:left="2127" w:hanging="426"/>
        <w:jc w:val="both"/>
        <w:rPr>
          <w:rFonts w:eastAsia="楷体_GB2312"/>
          <w:lang w:eastAsia="zh-CN"/>
        </w:rPr>
      </w:pPr>
      <w:r>
        <w:rPr>
          <w:rFonts w:eastAsia="楷体_GB2312"/>
          <w:lang w:eastAsia="zh-CN"/>
        </w:rPr>
        <w:t>“违约事件”发生后，决定是否以出售、转让等方式处置全部或部分“信托财产”（但根据本合同第</w:t>
      </w:r>
      <w:r>
        <w:rPr>
          <w:rFonts w:eastAsia="楷体_GB2312"/>
        </w:rPr>
        <w:fldChar w:fldCharType="begin"/>
      </w:r>
      <w:r>
        <w:rPr>
          <w:rFonts w:eastAsia="楷体_GB2312"/>
          <w:lang w:eastAsia="zh-CN"/>
        </w:rPr>
        <w:instrText xml:space="preserve"> REF _Ref332902997 \r \h  \* MERGEFORMAT </w:instrText>
      </w:r>
      <w:r>
        <w:rPr>
          <w:rFonts w:eastAsia="楷体_GB2312"/>
        </w:rPr>
        <w:fldChar w:fldCharType="separate"/>
      </w:r>
      <w:r>
        <w:rPr>
          <w:rFonts w:eastAsia="楷体_GB2312"/>
          <w:lang w:eastAsia="zh-CN"/>
        </w:rPr>
        <w:t>4</w:t>
      </w:r>
      <w:r>
        <w:rPr>
          <w:rFonts w:eastAsia="楷体_GB2312"/>
        </w:rPr>
        <w:fldChar w:fldCharType="end"/>
      </w:r>
      <w:r>
        <w:rPr>
          <w:rFonts w:eastAsia="楷体_GB2312"/>
          <w:lang w:eastAsia="zh-CN"/>
        </w:rPr>
        <w:t>条和第</w:t>
      </w:r>
      <w:r>
        <w:rPr>
          <w:rFonts w:eastAsia="楷体_GB2312"/>
        </w:rPr>
        <w:fldChar w:fldCharType="begin"/>
      </w:r>
      <w:r>
        <w:rPr>
          <w:rFonts w:eastAsia="楷体_GB2312"/>
          <w:lang w:eastAsia="zh-CN"/>
        </w:rPr>
        <w:instrText xml:space="preserve"> REF _Ref332903004 \r \h  \* MERGEFORMAT </w:instrText>
      </w:r>
      <w:r>
        <w:rPr>
          <w:rFonts w:eastAsia="楷体_GB2312"/>
        </w:rPr>
        <w:fldChar w:fldCharType="separate"/>
      </w:r>
      <w:r>
        <w:rPr>
          <w:rFonts w:eastAsia="楷体_GB2312"/>
          <w:lang w:eastAsia="zh-CN"/>
        </w:rPr>
        <w:t>5</w:t>
      </w:r>
      <w:r>
        <w:rPr>
          <w:rFonts w:eastAsia="楷体_GB2312"/>
        </w:rPr>
        <w:fldChar w:fldCharType="end"/>
      </w:r>
      <w:r>
        <w:rPr>
          <w:rFonts w:eastAsia="楷体_GB2312"/>
          <w:lang w:eastAsia="zh-CN"/>
        </w:rPr>
        <w:t>条要求“委托人”赎回“不合格资产”或接受“委托人”“清仓回购”以及根据本合同第</w:t>
      </w:r>
      <w:r>
        <w:rPr>
          <w:rFonts w:eastAsia="楷体_GB2312"/>
        </w:rPr>
        <w:fldChar w:fldCharType="begin"/>
      </w:r>
      <w:r>
        <w:rPr>
          <w:rFonts w:eastAsia="楷体_GB2312"/>
          <w:lang w:eastAsia="zh-CN"/>
        </w:rPr>
        <w:instrText xml:space="preserve"> REF _Ref201647271 \r \h  \* MERGEFORMAT </w:instrText>
      </w:r>
      <w:r>
        <w:rPr>
          <w:rFonts w:eastAsia="楷体_GB2312"/>
        </w:rPr>
        <w:fldChar w:fldCharType="separate"/>
      </w:r>
      <w:r>
        <w:rPr>
          <w:rFonts w:eastAsia="楷体_GB2312"/>
          <w:lang w:eastAsia="zh-CN"/>
        </w:rPr>
        <w:t>10.2</w:t>
      </w:r>
      <w:r>
        <w:rPr>
          <w:rFonts w:eastAsia="楷体_GB2312"/>
        </w:rPr>
        <w:fldChar w:fldCharType="end"/>
      </w:r>
      <w:r>
        <w:rPr>
          <w:rFonts w:eastAsia="楷体_GB2312"/>
          <w:lang w:eastAsia="zh-CN"/>
        </w:rPr>
        <w:t>款清算“信托财产”的除外），决定是否宣布“资产支持证券”立即到期并应支付本息；</w:t>
      </w:r>
    </w:p>
    <w:p w14:paraId="5DDCFB92">
      <w:pPr>
        <w:pStyle w:val="40"/>
        <w:spacing w:line="360" w:lineRule="auto"/>
        <w:ind w:firstLine="480"/>
        <w:jc w:val="both"/>
        <w:rPr>
          <w:rFonts w:eastAsia="楷体_GB2312"/>
          <w:lang w:eastAsia="zh-CN"/>
        </w:rPr>
      </w:pPr>
    </w:p>
    <w:p w14:paraId="01ABF379">
      <w:pPr>
        <w:widowControl w:val="0"/>
        <w:numPr>
          <w:ilvl w:val="0"/>
          <w:numId w:val="38"/>
        </w:numPr>
        <w:spacing w:line="360" w:lineRule="auto"/>
        <w:ind w:left="2127" w:hanging="426"/>
        <w:jc w:val="both"/>
        <w:rPr>
          <w:rFonts w:eastAsia="楷体_GB2312"/>
          <w:lang w:eastAsia="zh-CN"/>
        </w:rPr>
      </w:pPr>
      <w:bookmarkStart w:id="574" w:name="_Ref332310614"/>
      <w:r>
        <w:rPr>
          <w:rFonts w:eastAsia="楷体_GB2312"/>
          <w:lang w:eastAsia="zh-CN"/>
        </w:rPr>
        <w:t>批准“信托”清算时“非现金信托财产”的清算方案；</w:t>
      </w:r>
      <w:bookmarkEnd w:id="574"/>
    </w:p>
    <w:p w14:paraId="3CA81DDB">
      <w:pPr>
        <w:pStyle w:val="40"/>
        <w:spacing w:line="360" w:lineRule="auto"/>
        <w:ind w:firstLine="480"/>
        <w:jc w:val="both"/>
        <w:rPr>
          <w:rFonts w:eastAsia="楷体_GB2312"/>
          <w:lang w:eastAsia="zh-CN"/>
        </w:rPr>
      </w:pPr>
    </w:p>
    <w:p w14:paraId="188E3D8B">
      <w:pPr>
        <w:widowControl w:val="0"/>
        <w:numPr>
          <w:ilvl w:val="0"/>
          <w:numId w:val="38"/>
        </w:numPr>
        <w:spacing w:line="360" w:lineRule="auto"/>
        <w:ind w:left="2127" w:hanging="426"/>
        <w:jc w:val="both"/>
        <w:rPr>
          <w:rFonts w:eastAsia="楷体_GB2312"/>
          <w:lang w:eastAsia="zh-CN"/>
        </w:rPr>
      </w:pPr>
      <w:r>
        <w:rPr>
          <w:rFonts w:eastAsia="楷体_GB2312"/>
          <w:lang w:eastAsia="zh-CN"/>
        </w:rPr>
        <w:t>提高“受托人”“服务报酬”或“贷款服务机构”“服务报酬”；</w:t>
      </w:r>
    </w:p>
    <w:p w14:paraId="23DBC5F4">
      <w:pPr>
        <w:pStyle w:val="40"/>
        <w:spacing w:line="360" w:lineRule="auto"/>
        <w:ind w:firstLine="480"/>
        <w:jc w:val="both"/>
        <w:rPr>
          <w:rFonts w:eastAsia="楷体_GB2312"/>
          <w:lang w:eastAsia="zh-CN"/>
        </w:rPr>
      </w:pPr>
    </w:p>
    <w:p w14:paraId="4145EDEB">
      <w:pPr>
        <w:widowControl w:val="0"/>
        <w:numPr>
          <w:ilvl w:val="0"/>
          <w:numId w:val="38"/>
        </w:numPr>
        <w:spacing w:line="360" w:lineRule="auto"/>
        <w:ind w:left="2127" w:hanging="426"/>
        <w:jc w:val="both"/>
        <w:rPr>
          <w:rFonts w:eastAsia="楷体_GB2312"/>
          <w:lang w:eastAsia="zh-CN"/>
        </w:rPr>
      </w:pPr>
      <w:r>
        <w:rPr>
          <w:rFonts w:eastAsia="楷体_GB2312"/>
          <w:lang w:eastAsia="zh-CN"/>
        </w:rPr>
        <w:t>授权“受托人”签署并做出全部必要文件、行动或事项，以便执行“资产支持证券持有人大会”所形成的决议；</w:t>
      </w:r>
    </w:p>
    <w:p w14:paraId="32C526C4">
      <w:pPr>
        <w:pStyle w:val="40"/>
        <w:spacing w:line="360" w:lineRule="auto"/>
        <w:ind w:firstLine="480"/>
        <w:jc w:val="both"/>
        <w:rPr>
          <w:rFonts w:eastAsia="楷体_GB2312"/>
          <w:lang w:eastAsia="zh-CN"/>
        </w:rPr>
      </w:pPr>
    </w:p>
    <w:p w14:paraId="506CF13D">
      <w:pPr>
        <w:widowControl w:val="0"/>
        <w:numPr>
          <w:ilvl w:val="0"/>
          <w:numId w:val="38"/>
        </w:numPr>
        <w:spacing w:line="360" w:lineRule="auto"/>
        <w:ind w:left="2127" w:hanging="426"/>
        <w:jc w:val="both"/>
        <w:rPr>
          <w:rFonts w:eastAsia="楷体_GB2312"/>
          <w:lang w:eastAsia="zh-CN"/>
        </w:rPr>
      </w:pPr>
      <w:r>
        <w:rPr>
          <w:rFonts w:eastAsia="楷体_GB2312"/>
          <w:lang w:eastAsia="zh-CN"/>
        </w:rPr>
        <w:t>选任代表（无论其是否为“资产支持证券持有人”），授权该代表执行“资产支持证券持有人大会”所形成的决议；</w:t>
      </w:r>
    </w:p>
    <w:p w14:paraId="7E6F884C">
      <w:pPr>
        <w:pStyle w:val="40"/>
        <w:spacing w:line="360" w:lineRule="auto"/>
        <w:ind w:firstLine="480"/>
        <w:jc w:val="both"/>
        <w:rPr>
          <w:rFonts w:eastAsia="楷体_GB2312"/>
          <w:lang w:eastAsia="zh-CN"/>
        </w:rPr>
      </w:pPr>
    </w:p>
    <w:p w14:paraId="17CCD555">
      <w:pPr>
        <w:widowControl w:val="0"/>
        <w:numPr>
          <w:ilvl w:val="0"/>
          <w:numId w:val="38"/>
        </w:numPr>
        <w:spacing w:line="360" w:lineRule="auto"/>
        <w:ind w:left="2127" w:hanging="426"/>
        <w:jc w:val="both"/>
        <w:rPr>
          <w:rFonts w:eastAsia="楷体_GB2312"/>
          <w:lang w:eastAsia="zh-CN"/>
        </w:rPr>
      </w:pPr>
      <w:r>
        <w:rPr>
          <w:rFonts w:eastAsia="楷体_GB2312"/>
          <w:lang w:eastAsia="zh-CN"/>
        </w:rPr>
        <w:t>监督并审议“受托人”和各中介机构对“信托财产”的管理和收支情况，并有权要求“受托人”和各中介机构对相关情况</w:t>
      </w:r>
      <w:r>
        <w:rPr>
          <w:rFonts w:hint="eastAsia" w:eastAsia="楷体_GB2312"/>
          <w:lang w:eastAsia="zh-CN"/>
        </w:rPr>
        <w:t>作出</w:t>
      </w:r>
      <w:r>
        <w:rPr>
          <w:rFonts w:eastAsia="楷体_GB2312"/>
          <w:lang w:eastAsia="zh-CN"/>
        </w:rPr>
        <w:t>说明；</w:t>
      </w:r>
    </w:p>
    <w:p w14:paraId="2820CBF6">
      <w:pPr>
        <w:tabs>
          <w:tab w:val="left" w:pos="2356"/>
        </w:tabs>
        <w:spacing w:line="360" w:lineRule="auto"/>
        <w:ind w:left="1418" w:firstLine="5"/>
        <w:jc w:val="both"/>
        <w:rPr>
          <w:rFonts w:eastAsia="楷体_GB2312"/>
          <w:lang w:eastAsia="zh-CN"/>
        </w:rPr>
      </w:pPr>
    </w:p>
    <w:p w14:paraId="0D3D6B0C">
      <w:pPr>
        <w:widowControl w:val="0"/>
        <w:numPr>
          <w:ilvl w:val="0"/>
          <w:numId w:val="38"/>
        </w:numPr>
        <w:spacing w:line="360" w:lineRule="auto"/>
        <w:ind w:left="2127" w:hanging="426"/>
        <w:jc w:val="both"/>
        <w:rPr>
          <w:rFonts w:eastAsia="楷体_GB2312"/>
          <w:lang w:eastAsia="zh-CN"/>
        </w:rPr>
      </w:pPr>
      <w:r>
        <w:rPr>
          <w:rFonts w:eastAsia="楷体_GB2312"/>
          <w:lang w:eastAsia="zh-CN"/>
        </w:rPr>
        <w:t>其他根据“交易文件”的约定需由“资产支持持有人大会”决议的事项。</w:t>
      </w:r>
    </w:p>
    <w:p w14:paraId="08405433">
      <w:pPr>
        <w:pStyle w:val="40"/>
        <w:ind w:firstLine="480"/>
        <w:jc w:val="both"/>
        <w:rPr>
          <w:rFonts w:eastAsia="楷体_GB2312"/>
          <w:lang w:eastAsia="zh-CN"/>
        </w:rPr>
      </w:pPr>
    </w:p>
    <w:p w14:paraId="26EADBC8">
      <w:pPr>
        <w:pStyle w:val="40"/>
        <w:widowControl w:val="0"/>
        <w:tabs>
          <w:tab w:val="left" w:pos="2268"/>
          <w:tab w:val="left" w:pos="3261"/>
        </w:tabs>
        <w:spacing w:line="360" w:lineRule="auto"/>
        <w:ind w:left="2590" w:leftChars="891" w:hanging="452" w:firstLineChars="0"/>
        <w:jc w:val="both"/>
        <w:rPr>
          <w:rFonts w:eastAsia="楷体_GB2312"/>
          <w:b/>
          <w:bCs/>
          <w:i/>
          <w:iCs/>
          <w:color w:val="FF0000"/>
        </w:rPr>
      </w:pPr>
      <w:r>
        <w:rPr>
          <w:rFonts w:eastAsia="楷体_GB2312"/>
          <w:b/>
          <w:bCs/>
          <w:i/>
          <w:iCs/>
          <w:color w:val="FF0000"/>
        </w:rPr>
        <w:t>【注：会议召集事由可根据项目实际情况调整。】</w:t>
      </w:r>
    </w:p>
    <w:p w14:paraId="1AFE446D">
      <w:pPr>
        <w:tabs>
          <w:tab w:val="left" w:pos="1800"/>
          <w:tab w:val="left" w:pos="1980"/>
        </w:tabs>
        <w:spacing w:line="360" w:lineRule="auto"/>
        <w:jc w:val="both"/>
        <w:rPr>
          <w:rFonts w:eastAsia="楷体_GB2312"/>
          <w:lang w:eastAsia="zh-CN"/>
        </w:rPr>
      </w:pPr>
    </w:p>
    <w:p w14:paraId="2793C8FD">
      <w:pPr>
        <w:widowControl w:val="0"/>
        <w:numPr>
          <w:ilvl w:val="2"/>
          <w:numId w:val="8"/>
        </w:numPr>
        <w:tabs>
          <w:tab w:val="left" w:pos="1620"/>
        </w:tabs>
        <w:spacing w:line="360" w:lineRule="auto"/>
        <w:ind w:left="1620" w:hanging="769"/>
        <w:jc w:val="both"/>
        <w:rPr>
          <w:rFonts w:eastAsia="楷体_GB2312"/>
          <w:lang w:eastAsia="zh-CN"/>
        </w:rPr>
      </w:pPr>
      <w:bookmarkStart w:id="575" w:name="_Ref161630723"/>
      <w:r>
        <w:rPr>
          <w:rFonts w:eastAsia="楷体_GB2312"/>
          <w:lang w:eastAsia="zh-CN"/>
        </w:rPr>
        <w:t>就每一类别的“资产支持证券持有人”组成的“资产支持证券持有人大会”而言，单独或合计持有本类别“资产支持证券”“未偿本金余额”【】%或以上的“资产支持证券持有人”，为“资产支持证券持有人”的共同利益事项，可以请求“受托人”召集“资产支持证券持有人大会”。提议“受托人”召集大会的“资产支持证券持有人”应提交书面召集大会申请，该申请应载明提议事项及理由。</w:t>
      </w:r>
      <w:bookmarkEnd w:id="575"/>
    </w:p>
    <w:p w14:paraId="6B925F02">
      <w:pPr>
        <w:tabs>
          <w:tab w:val="left" w:pos="1800"/>
          <w:tab w:val="left" w:pos="1980"/>
        </w:tabs>
        <w:spacing w:line="360" w:lineRule="auto"/>
        <w:jc w:val="both"/>
        <w:rPr>
          <w:rFonts w:eastAsia="楷体_GB2312"/>
          <w:lang w:eastAsia="zh-CN"/>
        </w:rPr>
      </w:pPr>
    </w:p>
    <w:p w14:paraId="6953CC68">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“资产支持证券持有人”依本合同的约定申请召集“资产支持证券持有人大会”，“受托人”拒绝或因</w:t>
      </w:r>
      <w:r>
        <w:rPr>
          <w:rFonts w:hint="eastAsia" w:eastAsia="楷体_GB2312"/>
          <w:lang w:eastAsia="zh-CN"/>
        </w:rPr>
        <w:t>其他</w:t>
      </w:r>
      <w:r>
        <w:rPr>
          <w:rFonts w:eastAsia="楷体_GB2312"/>
          <w:lang w:eastAsia="zh-CN"/>
        </w:rPr>
        <w:t>理由不能召集时，应于书面申请提出后【】个“工作日”内以书面形式通知该“资产支持证券持有人”。</w:t>
      </w:r>
    </w:p>
    <w:p w14:paraId="4ED59536">
      <w:pPr>
        <w:tabs>
          <w:tab w:val="left" w:pos="1800"/>
          <w:tab w:val="left" w:pos="1980"/>
        </w:tabs>
        <w:spacing w:line="360" w:lineRule="auto"/>
        <w:ind w:left="1080"/>
        <w:jc w:val="both"/>
        <w:rPr>
          <w:rFonts w:eastAsia="楷体_GB2312"/>
          <w:lang w:eastAsia="zh-CN"/>
        </w:rPr>
      </w:pPr>
    </w:p>
    <w:p w14:paraId="72CA13E1">
      <w:pPr>
        <w:widowControl w:val="0"/>
        <w:numPr>
          <w:ilvl w:val="2"/>
          <w:numId w:val="8"/>
        </w:numPr>
        <w:tabs>
          <w:tab w:val="left" w:pos="1620"/>
        </w:tabs>
        <w:spacing w:line="360" w:lineRule="auto"/>
        <w:ind w:left="1620" w:hanging="769"/>
        <w:jc w:val="both"/>
        <w:rPr>
          <w:rFonts w:eastAsia="楷体_GB2312"/>
          <w:lang w:eastAsia="zh-CN" w:bidi="th-TH"/>
        </w:rPr>
      </w:pPr>
      <w:bookmarkStart w:id="576" w:name="_Ref161653257"/>
      <w:r>
        <w:rPr>
          <w:rFonts w:eastAsia="楷体_GB2312"/>
          <w:lang w:eastAsia="zh-CN"/>
        </w:rPr>
        <w:t>“资产支持证券持有人”依本合同的约定提出书面申请后【】个“工作日”内，“受托人”未召集或因</w:t>
      </w:r>
      <w:r>
        <w:rPr>
          <w:rFonts w:hint="eastAsia" w:eastAsia="楷体_GB2312"/>
          <w:lang w:eastAsia="zh-CN"/>
        </w:rPr>
        <w:t>其他</w:t>
      </w:r>
      <w:r>
        <w:rPr>
          <w:rFonts w:eastAsia="楷体_GB2312"/>
          <w:lang w:eastAsia="zh-CN"/>
        </w:rPr>
        <w:t>理由不能召集时，单独或合计持有本类别“资产支持证券”“未偿本金余额”【】%或以上的“资产支持证券持有人”，可以在报“人民银行”备案后自行召集</w:t>
      </w:r>
      <w:bookmarkEnd w:id="576"/>
      <w:r>
        <w:rPr>
          <w:rFonts w:eastAsia="楷体_GB2312"/>
          <w:lang w:eastAsia="zh-CN"/>
        </w:rPr>
        <w:t>，并通知“受托人”出席。“资产支持证券持有人大会”开会时，“受托人”应出席会议，并接受“资产支持证券持有人大会”的询问。</w:t>
      </w:r>
    </w:p>
    <w:p w14:paraId="4D6981B8">
      <w:pPr>
        <w:tabs>
          <w:tab w:val="left" w:pos="1800"/>
          <w:tab w:val="left" w:pos="1980"/>
        </w:tabs>
        <w:spacing w:line="360" w:lineRule="auto"/>
        <w:ind w:left="1080"/>
        <w:jc w:val="both"/>
        <w:rPr>
          <w:rFonts w:eastAsia="楷体_GB2312"/>
          <w:lang w:eastAsia="zh-CN" w:bidi="th-TH"/>
        </w:rPr>
      </w:pPr>
    </w:p>
    <w:p w14:paraId="63A247BC">
      <w:pPr>
        <w:widowControl w:val="0"/>
        <w:numPr>
          <w:ilvl w:val="2"/>
          <w:numId w:val="8"/>
        </w:numPr>
        <w:tabs>
          <w:tab w:val="left" w:pos="1620"/>
        </w:tabs>
        <w:spacing w:line="360" w:lineRule="auto"/>
        <w:ind w:left="1620" w:hanging="769"/>
        <w:jc w:val="both"/>
        <w:rPr>
          <w:rFonts w:eastAsia="楷体_GB2312"/>
          <w:lang w:eastAsia="zh-CN" w:bidi="th-TH"/>
        </w:rPr>
      </w:pPr>
      <w:bookmarkStart w:id="577" w:name="_Ref161632404"/>
      <w:r>
        <w:rPr>
          <w:rFonts w:eastAsia="楷体_GB2312"/>
          <w:lang w:eastAsia="zh-CN"/>
        </w:rPr>
        <w:t>“受托人”提议召开或“资产支持证券持有人”自行召集“资产支持证券持有人大会”时，召集人应当至少提前【】个“工作日”</w:t>
      </w:r>
      <w:r>
        <w:rPr>
          <w:rFonts w:hint="eastAsia" w:eastAsia="楷体_GB2312"/>
          <w:color w:val="000000"/>
        </w:rPr>
        <w:t>通过</w:t>
      </w:r>
      <w:r>
        <w:rPr>
          <w:rFonts w:eastAsia="楷体_GB2312"/>
          <w:color w:val="000000"/>
        </w:rPr>
        <w:t>“交易商协会”综合业务和信息服务平台、中国货币网、中国债券信息网、“北金所”官方网站及“交易商协会”认可的其他方式</w:t>
      </w:r>
      <w:r>
        <w:rPr>
          <w:rFonts w:eastAsia="楷体_GB2312"/>
          <w:lang w:eastAsia="zh-CN"/>
        </w:rPr>
        <w:t>公告“资产支持证券持有人大会”的召开时间、地点、会议方式、审议事项、议事程序和表决方式等事项，以通知全体“资产支持证券持有人”相关会议事宜。</w:t>
      </w:r>
      <w:bookmarkEnd w:id="577"/>
      <w:r>
        <w:rPr>
          <w:rFonts w:eastAsia="楷体_GB2312"/>
          <w:lang w:eastAsia="zh-CN"/>
        </w:rPr>
        <w:t>任何类别的“资产支持证券持有人大会”均不得对未经公告的审议事项作出决议。</w:t>
      </w:r>
    </w:p>
    <w:p w14:paraId="63A6D39B">
      <w:pPr>
        <w:tabs>
          <w:tab w:val="left" w:pos="1800"/>
          <w:tab w:val="left" w:pos="1980"/>
        </w:tabs>
        <w:spacing w:line="360" w:lineRule="auto"/>
        <w:ind w:left="1080"/>
        <w:jc w:val="both"/>
        <w:rPr>
          <w:rFonts w:eastAsia="楷体_GB2312"/>
          <w:lang w:eastAsia="zh-CN"/>
        </w:rPr>
      </w:pPr>
    </w:p>
    <w:p w14:paraId="1210D91F">
      <w:pPr>
        <w:widowControl w:val="0"/>
        <w:numPr>
          <w:ilvl w:val="1"/>
          <w:numId w:val="8"/>
        </w:numPr>
        <w:tabs>
          <w:tab w:val="left" w:pos="1800"/>
          <w:tab w:val="left" w:pos="1980"/>
        </w:tabs>
        <w:spacing w:line="360" w:lineRule="auto"/>
        <w:jc w:val="both"/>
        <w:outlineLvl w:val="1"/>
        <w:rPr>
          <w:rFonts w:eastAsia="楷体_GB2312"/>
          <w:b/>
        </w:rPr>
      </w:pPr>
      <w:bookmarkStart w:id="578" w:name="_Toc201569437"/>
      <w:bookmarkStart w:id="579" w:name="_Toc172736603"/>
      <w:bookmarkStart w:id="580" w:name="_Ref150591316"/>
      <w:r>
        <w:rPr>
          <w:rFonts w:eastAsia="楷体_GB2312"/>
          <w:b/>
        </w:rPr>
        <w:t>表决权</w:t>
      </w:r>
      <w:bookmarkEnd w:id="578"/>
      <w:bookmarkEnd w:id="579"/>
    </w:p>
    <w:bookmarkEnd w:id="580"/>
    <w:p w14:paraId="2B663EBF">
      <w:pPr>
        <w:spacing w:line="360" w:lineRule="auto"/>
        <w:ind w:left="1080"/>
        <w:jc w:val="both"/>
        <w:rPr>
          <w:rFonts w:eastAsia="楷体_GB2312"/>
        </w:rPr>
      </w:pPr>
    </w:p>
    <w:p w14:paraId="0C81FFFA">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出席会议的“资产支持证券持有人”，就其持有的“资产支持证券”每100元“人民币”面值，拥有一票表决权。</w:t>
      </w:r>
    </w:p>
    <w:p w14:paraId="7245E472">
      <w:pPr>
        <w:tabs>
          <w:tab w:val="left" w:pos="1800"/>
          <w:tab w:val="left" w:pos="1980"/>
        </w:tabs>
        <w:spacing w:line="360" w:lineRule="auto"/>
        <w:ind w:left="851"/>
        <w:jc w:val="both"/>
        <w:rPr>
          <w:rFonts w:eastAsia="楷体_GB2312"/>
          <w:lang w:eastAsia="zh-CN"/>
        </w:rPr>
      </w:pPr>
    </w:p>
    <w:p w14:paraId="7E59E651">
      <w:pPr>
        <w:widowControl w:val="0"/>
        <w:numPr>
          <w:ilvl w:val="2"/>
          <w:numId w:val="8"/>
        </w:numPr>
        <w:tabs>
          <w:tab w:val="left" w:pos="1620"/>
          <w:tab w:val="left" w:pos="1980"/>
          <w:tab w:val="clear" w:pos="1997"/>
        </w:tabs>
        <w:spacing w:line="360" w:lineRule="auto"/>
        <w:ind w:left="1620" w:hanging="769"/>
        <w:jc w:val="both"/>
        <w:rPr>
          <w:rFonts w:eastAsia="楷体_GB2312"/>
          <w:lang w:eastAsia="zh-CN"/>
        </w:rPr>
      </w:pPr>
      <w:r>
        <w:rPr>
          <w:rFonts w:eastAsia="楷体_GB2312"/>
          <w:lang w:eastAsia="zh-CN"/>
        </w:rPr>
        <w:t>“资产支持证券持有人大会”召开之日前第【】个</w:t>
      </w:r>
      <w:r>
        <w:rPr>
          <w:rFonts w:eastAsia="楷体_GB2312"/>
          <w:bCs/>
          <w:lang w:eastAsia="zh-CN"/>
        </w:rPr>
        <w:t>“</w:t>
      </w:r>
      <w:r>
        <w:rPr>
          <w:rFonts w:eastAsia="楷体_GB2312"/>
          <w:lang w:eastAsia="zh-CN"/>
        </w:rPr>
        <w:t>工作日</w:t>
      </w:r>
      <w:r>
        <w:rPr>
          <w:rFonts w:eastAsia="楷体_GB2312"/>
          <w:bCs/>
          <w:lang w:eastAsia="zh-CN"/>
        </w:rPr>
        <w:t>”为表决权登记日。表决权登记日日终时的</w:t>
      </w:r>
      <w:r>
        <w:rPr>
          <w:rFonts w:eastAsia="楷体_GB2312"/>
          <w:lang w:eastAsia="zh-CN"/>
        </w:rPr>
        <w:t>“资产支持证券持有人”为有权出席“资产支持证券持有人大会”的“资产支持证券持有人”，并根据其持有的“资产支持证券”享有相应的表决权。</w:t>
      </w:r>
      <w:r>
        <w:rPr>
          <w:rFonts w:eastAsia="楷体_GB2312"/>
          <w:bCs/>
          <w:lang w:eastAsia="zh-CN"/>
        </w:rPr>
        <w:t>表决权登记日日终时的</w:t>
      </w:r>
      <w:r>
        <w:rPr>
          <w:rFonts w:eastAsia="楷体_GB2312"/>
          <w:lang w:eastAsia="zh-CN"/>
        </w:rPr>
        <w:t>“资产支持证券持有人”依据“登记托管机构”所记载的相关数据信息确定。</w:t>
      </w:r>
    </w:p>
    <w:p w14:paraId="59E5A9D6">
      <w:pPr>
        <w:tabs>
          <w:tab w:val="left" w:pos="1800"/>
          <w:tab w:val="left" w:pos="1980"/>
        </w:tabs>
        <w:spacing w:line="360" w:lineRule="auto"/>
        <w:ind w:left="1080"/>
        <w:jc w:val="both"/>
        <w:rPr>
          <w:rFonts w:eastAsia="楷体_GB2312"/>
          <w:lang w:eastAsia="zh-CN"/>
        </w:rPr>
      </w:pPr>
    </w:p>
    <w:p w14:paraId="5AB14CAF">
      <w:pPr>
        <w:widowControl w:val="0"/>
        <w:numPr>
          <w:ilvl w:val="2"/>
          <w:numId w:val="8"/>
        </w:numPr>
        <w:tabs>
          <w:tab w:val="left" w:pos="1620"/>
          <w:tab w:val="left" w:pos="1980"/>
          <w:tab w:val="clear" w:pos="1997"/>
        </w:tabs>
        <w:spacing w:line="360" w:lineRule="auto"/>
        <w:ind w:left="1620" w:hanging="769"/>
        <w:jc w:val="both"/>
        <w:rPr>
          <w:rFonts w:eastAsia="楷体_GB2312"/>
          <w:lang w:eastAsia="zh-CN"/>
        </w:rPr>
      </w:pPr>
      <w:r>
        <w:rPr>
          <w:rFonts w:eastAsia="楷体_GB2312"/>
          <w:lang w:eastAsia="zh-CN"/>
        </w:rPr>
        <w:t>“资产支持证券持有人”可以委托代理人出席</w:t>
      </w:r>
      <w:r>
        <w:rPr>
          <w:rFonts w:eastAsia="楷体_GB2312"/>
          <w:bCs/>
          <w:lang w:eastAsia="zh-CN"/>
        </w:rPr>
        <w:t>“</w:t>
      </w:r>
      <w:r>
        <w:rPr>
          <w:rFonts w:eastAsia="楷体_GB2312"/>
          <w:lang w:eastAsia="zh-CN"/>
        </w:rPr>
        <w:t>资产支持证券持有人大会”，代理人应向“受托人”提供“资产支持证券持有人”出具的载明授权范围的授权委托书，并在授权范围内行使表决权。每位“资产支持证券持有人”仅能出具一份授权委托书并委托一位代理人。</w:t>
      </w:r>
    </w:p>
    <w:p w14:paraId="5ED7BC86">
      <w:pPr>
        <w:tabs>
          <w:tab w:val="left" w:pos="1800"/>
          <w:tab w:val="left" w:pos="1980"/>
        </w:tabs>
        <w:spacing w:line="360" w:lineRule="auto"/>
        <w:jc w:val="both"/>
        <w:rPr>
          <w:rFonts w:eastAsia="楷体_GB2312"/>
          <w:lang w:eastAsia="zh-CN"/>
        </w:rPr>
      </w:pPr>
    </w:p>
    <w:p w14:paraId="1568508D">
      <w:pPr>
        <w:widowControl w:val="0"/>
        <w:numPr>
          <w:ilvl w:val="2"/>
          <w:numId w:val="8"/>
        </w:numPr>
        <w:tabs>
          <w:tab w:val="left" w:pos="1620"/>
          <w:tab w:val="left" w:pos="1980"/>
          <w:tab w:val="clear" w:pos="1997"/>
        </w:tabs>
        <w:spacing w:line="360" w:lineRule="auto"/>
        <w:ind w:left="1620" w:hanging="769"/>
        <w:jc w:val="both"/>
        <w:rPr>
          <w:rFonts w:eastAsia="楷体_GB2312"/>
          <w:lang w:eastAsia="zh-CN"/>
        </w:rPr>
      </w:pPr>
      <w:r>
        <w:rPr>
          <w:rFonts w:eastAsia="楷体_GB2312"/>
          <w:lang w:eastAsia="zh-CN"/>
        </w:rPr>
        <w:t>出席“资产支持证券持有人大会”的同一“资产支持证券持有人”，就同一议案不得分割行使其表决权。法人或其他组织为“资产支持证券持有人”时，其代表人仅限于一人。</w:t>
      </w:r>
    </w:p>
    <w:p w14:paraId="5DE6EBF7">
      <w:pPr>
        <w:autoSpaceDE w:val="0"/>
        <w:autoSpaceDN w:val="0"/>
        <w:adjustRightInd w:val="0"/>
        <w:spacing w:line="360" w:lineRule="auto"/>
        <w:jc w:val="both"/>
        <w:rPr>
          <w:rFonts w:eastAsia="楷体_GB2312"/>
          <w:lang w:eastAsia="zh-CN"/>
        </w:rPr>
      </w:pPr>
    </w:p>
    <w:p w14:paraId="7EF74C27">
      <w:pPr>
        <w:widowControl w:val="0"/>
        <w:numPr>
          <w:ilvl w:val="1"/>
          <w:numId w:val="8"/>
        </w:numPr>
        <w:spacing w:line="360" w:lineRule="auto"/>
        <w:jc w:val="both"/>
        <w:outlineLvl w:val="1"/>
        <w:rPr>
          <w:rFonts w:eastAsia="楷体_GB2312"/>
          <w:b/>
        </w:rPr>
      </w:pPr>
      <w:bookmarkStart w:id="581" w:name="_Toc151554359"/>
      <w:bookmarkStart w:id="582" w:name="_Toc152168193"/>
      <w:bookmarkStart w:id="583" w:name="_Toc152168749"/>
      <w:bookmarkStart w:id="584" w:name="_Toc201569438"/>
      <w:bookmarkStart w:id="585" w:name="_Toc172736604"/>
      <w:r>
        <w:rPr>
          <w:rFonts w:eastAsia="楷体_GB2312"/>
          <w:b/>
        </w:rPr>
        <w:t>会议方式</w:t>
      </w:r>
      <w:bookmarkEnd w:id="581"/>
      <w:bookmarkEnd w:id="582"/>
      <w:bookmarkEnd w:id="583"/>
      <w:bookmarkEnd w:id="584"/>
      <w:bookmarkEnd w:id="585"/>
    </w:p>
    <w:p w14:paraId="703163CF">
      <w:pPr>
        <w:autoSpaceDE w:val="0"/>
        <w:autoSpaceDN w:val="0"/>
        <w:adjustRightInd w:val="0"/>
        <w:spacing w:line="360" w:lineRule="auto"/>
        <w:jc w:val="both"/>
        <w:rPr>
          <w:rFonts w:eastAsia="楷体_GB2312"/>
        </w:rPr>
      </w:pPr>
    </w:p>
    <w:p w14:paraId="31CEEEEA">
      <w:pPr>
        <w:widowControl w:val="0"/>
        <w:numPr>
          <w:ilvl w:val="2"/>
          <w:numId w:val="8"/>
        </w:numPr>
        <w:tabs>
          <w:tab w:val="left" w:pos="1620"/>
          <w:tab w:val="left" w:pos="1980"/>
          <w:tab w:val="clear" w:pos="1997"/>
        </w:tabs>
        <w:spacing w:line="360" w:lineRule="auto"/>
        <w:ind w:left="1620" w:hanging="769"/>
        <w:jc w:val="both"/>
        <w:rPr>
          <w:rFonts w:eastAsia="楷体_GB2312"/>
          <w:lang w:eastAsia="zh-CN"/>
        </w:rPr>
      </w:pPr>
      <w:r>
        <w:rPr>
          <w:rFonts w:eastAsia="楷体_GB2312"/>
          <w:lang w:eastAsia="zh-CN"/>
        </w:rPr>
        <w:t>“资产支持证券持有人大会”可以采取现场或通讯方式进行，“资产支持证券持有人”可以以现场方式或通讯方式行使表决权。当“资产支持证券持有人”仅剩一人时，对于本合同第</w:t>
      </w:r>
      <w:r>
        <w:rPr>
          <w:rFonts w:eastAsia="MS Gothic"/>
          <w:lang w:eastAsia="zh-CN"/>
        </w:rPr>
        <w:t>‎</w:t>
      </w:r>
      <w:r>
        <w:rPr>
          <w:rFonts w:eastAsia="楷体_GB2312"/>
          <w:lang w:eastAsia="zh-CN"/>
        </w:rPr>
        <w:fldChar w:fldCharType="begin"/>
      </w:r>
      <w:r>
        <w:rPr>
          <w:rFonts w:eastAsia="MS Gothic"/>
          <w:lang w:eastAsia="zh-CN"/>
        </w:rPr>
        <w:instrText xml:space="preserve"> REF _Ref332308382 \r \h </w:instrText>
      </w:r>
      <w:r>
        <w:rPr>
          <w:rFonts w:eastAsia="楷体_GB2312"/>
          <w:lang w:eastAsia="zh-CN"/>
        </w:rPr>
        <w:instrText xml:space="preserve"> \* MERGEFORMAT </w:instrText>
      </w:r>
      <w:r>
        <w:rPr>
          <w:rFonts w:eastAsia="楷体_GB2312"/>
          <w:lang w:eastAsia="zh-CN"/>
        </w:rPr>
        <w:fldChar w:fldCharType="separate"/>
      </w:r>
      <w:r>
        <w:rPr>
          <w:rFonts w:eastAsia="MS Gothic"/>
          <w:lang w:eastAsia="zh-CN"/>
        </w:rPr>
        <w:t>19.2.1</w:t>
      </w:r>
      <w:r>
        <w:rPr>
          <w:rFonts w:eastAsia="楷体_GB2312"/>
          <w:lang w:eastAsia="zh-CN"/>
        </w:rPr>
        <w:fldChar w:fldCharType="end"/>
      </w:r>
      <w:r>
        <w:rPr>
          <w:rFonts w:eastAsia="楷体_GB2312"/>
          <w:lang w:eastAsia="zh-CN"/>
        </w:rPr>
        <w:t>款约定的应召开“资产支持证券持有人大会”表决的事项可不召开大会，仅由该唯一“资产支持证券持有人”作出相关书面决定。</w:t>
      </w:r>
    </w:p>
    <w:p w14:paraId="6AB06471">
      <w:pPr>
        <w:tabs>
          <w:tab w:val="left" w:pos="1800"/>
          <w:tab w:val="left" w:pos="1980"/>
        </w:tabs>
        <w:spacing w:line="360" w:lineRule="auto"/>
        <w:ind w:left="1080"/>
        <w:jc w:val="both"/>
        <w:rPr>
          <w:rFonts w:eastAsia="楷体_GB2312"/>
          <w:lang w:eastAsia="zh-CN"/>
        </w:rPr>
      </w:pPr>
    </w:p>
    <w:p w14:paraId="0C0A304D">
      <w:pPr>
        <w:widowControl w:val="0"/>
        <w:numPr>
          <w:ilvl w:val="2"/>
          <w:numId w:val="8"/>
        </w:numPr>
        <w:tabs>
          <w:tab w:val="left" w:pos="1620"/>
          <w:tab w:val="left" w:pos="1980"/>
          <w:tab w:val="clear" w:pos="1997"/>
        </w:tabs>
        <w:spacing w:line="360" w:lineRule="auto"/>
        <w:ind w:left="1620" w:hanging="769"/>
        <w:jc w:val="both"/>
        <w:rPr>
          <w:rFonts w:eastAsia="楷体_GB2312"/>
          <w:lang w:eastAsia="zh-CN"/>
        </w:rPr>
      </w:pPr>
      <w:r>
        <w:rPr>
          <w:rFonts w:eastAsia="楷体_GB2312"/>
          <w:lang w:eastAsia="zh-CN"/>
        </w:rPr>
        <w:t>以通讯方式行使表决权的“资产支持证券持有人”，视为亲自出席“资产支持证券持有人大会”。“资产支持证券持有人”以通讯方式行使表决权的，其行使表决权的意思表示（下称“意思表示”）应于“资产支持证券持有人大会”开会【】个“工作日”前送达“受托人”。“资产支持证券持有人”先后送达两份以上的意思表示的，以后送达者为准，但后送达的意思表示不符合前述时间要求的除外。“资产支持证券持有人”以通讯方式行使表决权后，打算亲自出席“资产支持证券持有人大会”的，至迟应于“资产支持证券持有人大会”开会前【】个“工作日”，以与行使表决权相同之方式撤销前项行使表决权之意思表示；逾期撤销者，以通讯方式行使之表决权为准。</w:t>
      </w:r>
    </w:p>
    <w:p w14:paraId="7DEBA700">
      <w:pPr>
        <w:tabs>
          <w:tab w:val="left" w:pos="1800"/>
          <w:tab w:val="left" w:pos="1980"/>
        </w:tabs>
        <w:spacing w:line="360" w:lineRule="auto"/>
        <w:jc w:val="both"/>
        <w:rPr>
          <w:rFonts w:eastAsia="楷体_GB2312"/>
          <w:b/>
          <w:lang w:eastAsia="zh-CN"/>
        </w:rPr>
      </w:pPr>
    </w:p>
    <w:p w14:paraId="5472B192">
      <w:pPr>
        <w:widowControl w:val="0"/>
        <w:numPr>
          <w:ilvl w:val="1"/>
          <w:numId w:val="8"/>
        </w:numPr>
        <w:tabs>
          <w:tab w:val="left" w:pos="1800"/>
          <w:tab w:val="left" w:pos="1980"/>
        </w:tabs>
        <w:spacing w:line="360" w:lineRule="auto"/>
        <w:jc w:val="both"/>
        <w:outlineLvl w:val="1"/>
        <w:rPr>
          <w:rFonts w:eastAsia="楷体_GB2312"/>
          <w:b/>
        </w:rPr>
      </w:pPr>
      <w:bookmarkStart w:id="586" w:name="_Toc172736606"/>
      <w:bookmarkStart w:id="587" w:name="_Toc201569440"/>
      <w:bookmarkStart w:id="588" w:name="_Ref203884659"/>
      <w:r>
        <w:rPr>
          <w:rFonts w:eastAsia="楷体_GB2312"/>
          <w:b/>
          <w:lang w:eastAsia="zh-CN"/>
        </w:rPr>
        <w:t>全体同意事项</w:t>
      </w:r>
    </w:p>
    <w:p w14:paraId="4F131092">
      <w:pPr>
        <w:jc w:val="both"/>
        <w:rPr>
          <w:rFonts w:eastAsia="楷体_GB2312"/>
          <w:lang w:eastAsia="zh-CN"/>
        </w:rPr>
      </w:pPr>
    </w:p>
    <w:p w14:paraId="296F8569">
      <w:pPr>
        <w:spacing w:line="360" w:lineRule="auto"/>
        <w:ind w:left="850" w:leftChars="354"/>
        <w:jc w:val="both"/>
        <w:rPr>
          <w:rFonts w:eastAsia="楷体_GB2312"/>
          <w:lang w:eastAsia="zh-CN"/>
        </w:rPr>
      </w:pPr>
      <w:r>
        <w:rPr>
          <w:rFonts w:eastAsia="楷体_GB2312"/>
          <w:lang w:eastAsia="zh-CN"/>
        </w:rPr>
        <w:t>每一类别的“资产支持证券持有人”组成的“资产支持证券持有人大会”就本合同第</w:t>
      </w:r>
      <w:r>
        <w:rPr>
          <w:rFonts w:eastAsia="楷体_GB2312"/>
        </w:rPr>
        <w:fldChar w:fldCharType="begin"/>
      </w:r>
      <w:r>
        <w:rPr>
          <w:rFonts w:eastAsia="楷体_GB2312"/>
          <w:lang w:eastAsia="zh-CN"/>
        </w:rPr>
        <w:instrText xml:space="preserve"> REF _Ref332308382 \r \h  \* MERGEFORMAT </w:instrText>
      </w:r>
      <w:r>
        <w:rPr>
          <w:rFonts w:eastAsia="楷体_GB2312"/>
        </w:rPr>
        <w:fldChar w:fldCharType="separate"/>
      </w:r>
      <w:r>
        <w:rPr>
          <w:rFonts w:eastAsia="楷体_GB2312"/>
          <w:lang w:eastAsia="zh-CN"/>
        </w:rPr>
        <w:t>19.2.1</w:t>
      </w:r>
      <w:r>
        <w:rPr>
          <w:rFonts w:eastAsia="楷体_GB2312"/>
        </w:rPr>
        <w:fldChar w:fldCharType="end"/>
      </w:r>
      <w:r>
        <w:rPr>
          <w:rFonts w:eastAsia="楷体_GB2312"/>
          <w:lang w:eastAsia="zh-CN"/>
        </w:rPr>
        <w:t>款【第</w:t>
      </w:r>
      <w:r>
        <w:rPr>
          <w:rFonts w:eastAsia="楷体_GB2312"/>
        </w:rPr>
        <w:fldChar w:fldCharType="begin"/>
      </w:r>
      <w:r>
        <w:rPr>
          <w:rFonts w:eastAsia="楷体_GB2312"/>
          <w:lang w:eastAsia="zh-CN"/>
        </w:rPr>
        <w:instrText xml:space="preserve"> REF _Ref332310609 \r \h  \* MERGEFORMAT </w:instrText>
      </w:r>
      <w:r>
        <w:rPr>
          <w:rFonts w:eastAsia="楷体_GB2312"/>
        </w:rPr>
        <w:fldChar w:fldCharType="separate"/>
      </w:r>
      <w:r>
        <w:rPr>
          <w:rFonts w:eastAsia="楷体_GB2312"/>
          <w:lang w:eastAsia="zh-CN"/>
        </w:rPr>
        <w:t>(1)</w:t>
      </w:r>
      <w:r>
        <w:rPr>
          <w:rFonts w:eastAsia="楷体_GB2312"/>
        </w:rPr>
        <w:fldChar w:fldCharType="end"/>
      </w:r>
      <w:r>
        <w:rPr>
          <w:rFonts w:eastAsia="楷体_GB2312"/>
          <w:lang w:eastAsia="zh-CN"/>
        </w:rPr>
        <w:t>项至第</w:t>
      </w:r>
      <w:r>
        <w:rPr>
          <w:rFonts w:eastAsia="楷体_GB2312"/>
        </w:rPr>
        <w:fldChar w:fldCharType="begin"/>
      </w:r>
      <w:r>
        <w:rPr>
          <w:rFonts w:eastAsia="楷体_GB2312"/>
          <w:lang w:eastAsia="zh-CN"/>
        </w:rPr>
        <w:instrText xml:space="preserve"> REF _Ref332897976 \r \h  \* MERGEFORMAT </w:instrText>
      </w:r>
      <w:r>
        <w:rPr>
          <w:rFonts w:eastAsia="楷体_GB2312"/>
        </w:rPr>
        <w:fldChar w:fldCharType="separate"/>
      </w:r>
      <w:r>
        <w:rPr>
          <w:rFonts w:eastAsia="楷体_GB2312"/>
          <w:lang w:eastAsia="zh-CN"/>
        </w:rPr>
        <w:t>(2)</w:t>
      </w:r>
      <w:r>
        <w:rPr>
          <w:rFonts w:eastAsia="楷体_GB2312"/>
        </w:rPr>
        <w:fldChar w:fldCharType="end"/>
      </w:r>
      <w:r>
        <w:rPr>
          <w:rFonts w:eastAsia="楷体_GB2312"/>
          <w:lang w:eastAsia="zh-CN"/>
        </w:rPr>
        <w:t>项】（下称“全体同意事项”）所形成的决议，必须经本类别“资产支持证券”“未偿本金余额”100%的“资产支持证券持有人”出席，且经出席的本类别的全体“资产支持证券持有人”同意。</w:t>
      </w:r>
    </w:p>
    <w:p w14:paraId="365DD4DA">
      <w:pPr>
        <w:spacing w:line="360" w:lineRule="auto"/>
        <w:ind w:left="850" w:leftChars="354"/>
        <w:jc w:val="both"/>
        <w:rPr>
          <w:rFonts w:eastAsia="楷体_GB2312"/>
          <w:color w:val="FF0000"/>
          <w:lang w:eastAsia="zh-CN"/>
        </w:rPr>
      </w:pPr>
      <w:r>
        <w:rPr>
          <w:rFonts w:eastAsia="楷体_GB2312"/>
          <w:b/>
          <w:bCs/>
          <w:i/>
          <w:iCs/>
          <w:color w:val="FF0000"/>
          <w:lang w:eastAsia="zh-CN"/>
        </w:rPr>
        <w:t>【注：全体同意事项的范围可根据具体项目情况进行调整。】</w:t>
      </w:r>
    </w:p>
    <w:p w14:paraId="48BB8284">
      <w:pPr>
        <w:jc w:val="both"/>
        <w:rPr>
          <w:rFonts w:eastAsia="楷体_GB2312"/>
          <w:b/>
          <w:lang w:eastAsia="zh-CN"/>
        </w:rPr>
      </w:pPr>
    </w:p>
    <w:p w14:paraId="5C8ADB31">
      <w:pPr>
        <w:widowControl w:val="0"/>
        <w:numPr>
          <w:ilvl w:val="1"/>
          <w:numId w:val="8"/>
        </w:numPr>
        <w:tabs>
          <w:tab w:val="left" w:pos="1800"/>
          <w:tab w:val="left" w:pos="1980"/>
        </w:tabs>
        <w:spacing w:line="360" w:lineRule="auto"/>
        <w:jc w:val="both"/>
        <w:outlineLvl w:val="1"/>
        <w:rPr>
          <w:rFonts w:eastAsia="楷体_GB2312"/>
          <w:b/>
        </w:rPr>
      </w:pPr>
      <w:r>
        <w:rPr>
          <w:rFonts w:eastAsia="楷体_GB2312"/>
          <w:b/>
        </w:rPr>
        <w:t>特别决议事项</w:t>
      </w:r>
      <w:bookmarkEnd w:id="586"/>
      <w:bookmarkEnd w:id="587"/>
      <w:bookmarkEnd w:id="588"/>
    </w:p>
    <w:p w14:paraId="5607CD74">
      <w:pPr>
        <w:tabs>
          <w:tab w:val="left" w:pos="1800"/>
          <w:tab w:val="left" w:pos="1980"/>
        </w:tabs>
        <w:spacing w:line="360" w:lineRule="auto"/>
        <w:jc w:val="both"/>
        <w:rPr>
          <w:rFonts w:eastAsia="楷体_GB2312"/>
          <w:b/>
        </w:rPr>
      </w:pPr>
    </w:p>
    <w:p w14:paraId="0461AF24">
      <w:pPr>
        <w:tabs>
          <w:tab w:val="left" w:pos="1800"/>
          <w:tab w:val="left" w:pos="1980"/>
        </w:tabs>
        <w:spacing w:line="360" w:lineRule="auto"/>
        <w:ind w:left="851"/>
        <w:jc w:val="both"/>
        <w:rPr>
          <w:rFonts w:eastAsia="楷体_GB2312"/>
          <w:lang w:eastAsia="zh-CN"/>
        </w:rPr>
      </w:pPr>
      <w:r>
        <w:rPr>
          <w:rFonts w:eastAsia="楷体_GB2312"/>
          <w:lang w:eastAsia="zh-CN"/>
        </w:rPr>
        <w:t>每一类别的“资产支持证券持有人”组成的“资产支持证券持有人大会”就本合同第</w:t>
      </w:r>
      <w:r>
        <w:rPr>
          <w:rFonts w:eastAsia="楷体_GB2312"/>
        </w:rPr>
        <w:fldChar w:fldCharType="begin"/>
      </w:r>
      <w:r>
        <w:rPr>
          <w:rFonts w:eastAsia="楷体_GB2312"/>
          <w:lang w:eastAsia="zh-CN"/>
        </w:rPr>
        <w:instrText xml:space="preserve"> REF _Ref332308382 \r \h  \* MERGEFORMAT </w:instrText>
      </w:r>
      <w:r>
        <w:rPr>
          <w:rFonts w:eastAsia="楷体_GB2312"/>
        </w:rPr>
        <w:fldChar w:fldCharType="separate"/>
      </w:r>
      <w:r>
        <w:rPr>
          <w:rFonts w:eastAsia="楷体_GB2312"/>
          <w:lang w:eastAsia="zh-CN"/>
        </w:rPr>
        <w:t>19.2.1</w:t>
      </w:r>
      <w:r>
        <w:rPr>
          <w:rFonts w:eastAsia="楷体_GB2312"/>
        </w:rPr>
        <w:fldChar w:fldCharType="end"/>
      </w:r>
      <w:r>
        <w:rPr>
          <w:rFonts w:eastAsia="楷体_GB2312"/>
          <w:lang w:eastAsia="zh-CN"/>
        </w:rPr>
        <w:t>款【第</w:t>
      </w:r>
      <w:r>
        <w:rPr>
          <w:rFonts w:eastAsia="楷体_GB2312"/>
        </w:rPr>
        <w:fldChar w:fldCharType="begin"/>
      </w:r>
      <w:r>
        <w:rPr>
          <w:rFonts w:eastAsia="楷体_GB2312"/>
          <w:lang w:eastAsia="zh-CN"/>
        </w:rPr>
        <w:instrText xml:space="preserve"> REF _Ref332897900 \r \h  \* MERGEFORMAT </w:instrText>
      </w:r>
      <w:r>
        <w:rPr>
          <w:rFonts w:eastAsia="楷体_GB2312"/>
        </w:rPr>
        <w:fldChar w:fldCharType="separate"/>
      </w:r>
      <w:r>
        <w:rPr>
          <w:rFonts w:eastAsia="楷体_GB2312"/>
          <w:lang w:eastAsia="zh-CN"/>
        </w:rPr>
        <w:t>(3)</w:t>
      </w:r>
      <w:r>
        <w:rPr>
          <w:rFonts w:eastAsia="楷体_GB2312"/>
        </w:rPr>
        <w:fldChar w:fldCharType="end"/>
      </w:r>
      <w:r>
        <w:rPr>
          <w:rFonts w:eastAsia="楷体_GB2312"/>
          <w:lang w:eastAsia="zh-CN"/>
        </w:rPr>
        <w:t>项至第</w:t>
      </w:r>
      <w:r>
        <w:rPr>
          <w:rFonts w:eastAsia="楷体_GB2312"/>
        </w:rPr>
        <w:fldChar w:fldCharType="begin"/>
      </w:r>
      <w:r>
        <w:rPr>
          <w:rFonts w:eastAsia="楷体_GB2312"/>
          <w:lang w:eastAsia="zh-CN"/>
        </w:rPr>
        <w:instrText xml:space="preserve"> REF _Ref332310614 \r \h  \* MERGEFORMAT </w:instrText>
      </w:r>
      <w:r>
        <w:rPr>
          <w:rFonts w:eastAsia="楷体_GB2312"/>
        </w:rPr>
        <w:fldChar w:fldCharType="separate"/>
      </w:r>
      <w:r>
        <w:rPr>
          <w:rFonts w:eastAsia="楷体_GB2312"/>
          <w:lang w:eastAsia="zh-CN"/>
        </w:rPr>
        <w:t>(9)</w:t>
      </w:r>
      <w:r>
        <w:rPr>
          <w:rFonts w:eastAsia="楷体_GB2312"/>
        </w:rPr>
        <w:fldChar w:fldCharType="end"/>
      </w:r>
      <w:r>
        <w:rPr>
          <w:rFonts w:eastAsia="楷体_GB2312"/>
          <w:lang w:eastAsia="zh-CN"/>
        </w:rPr>
        <w:t>项】（下称“特别决议事项”）所形成的决议，必须经单独或合计持有本类别“资产支持证券”“未偿本金余额”75%以上的“资产支持证券持有人”出席，且经出席的本类别“资产支持证券持有人”表决权总数的75%以上的同意。</w:t>
      </w:r>
    </w:p>
    <w:p w14:paraId="32889CF2">
      <w:pPr>
        <w:tabs>
          <w:tab w:val="left" w:pos="1800"/>
          <w:tab w:val="left" w:pos="1980"/>
        </w:tabs>
        <w:spacing w:line="360" w:lineRule="auto"/>
        <w:ind w:left="851"/>
        <w:jc w:val="both"/>
        <w:rPr>
          <w:rFonts w:eastAsia="楷体_GB2312"/>
          <w:color w:val="FF0000"/>
          <w:lang w:eastAsia="zh-CN"/>
        </w:rPr>
      </w:pPr>
      <w:r>
        <w:rPr>
          <w:rFonts w:eastAsia="楷体_GB2312"/>
          <w:b/>
          <w:bCs/>
          <w:i/>
          <w:iCs/>
          <w:color w:val="FF0000"/>
          <w:lang w:eastAsia="zh-CN"/>
        </w:rPr>
        <w:t>【注：特别同意事项的范围可根据具体项目情况进行调整。】</w:t>
      </w:r>
    </w:p>
    <w:p w14:paraId="3DF9B17A">
      <w:pPr>
        <w:spacing w:line="360" w:lineRule="auto"/>
        <w:jc w:val="both"/>
        <w:rPr>
          <w:rFonts w:eastAsia="楷体_GB2312"/>
          <w:lang w:eastAsia="zh-CN"/>
        </w:rPr>
      </w:pPr>
    </w:p>
    <w:p w14:paraId="2F1A6CB0">
      <w:pPr>
        <w:widowControl w:val="0"/>
        <w:numPr>
          <w:ilvl w:val="1"/>
          <w:numId w:val="8"/>
        </w:numPr>
        <w:tabs>
          <w:tab w:val="left" w:pos="1800"/>
          <w:tab w:val="left" w:pos="1980"/>
        </w:tabs>
        <w:spacing w:line="360" w:lineRule="auto"/>
        <w:jc w:val="both"/>
        <w:outlineLvl w:val="1"/>
        <w:rPr>
          <w:rFonts w:eastAsia="楷体_GB2312"/>
          <w:b/>
        </w:rPr>
      </w:pPr>
      <w:bookmarkStart w:id="589" w:name="_Toc172736607"/>
      <w:bookmarkStart w:id="590" w:name="_Toc201569441"/>
      <w:bookmarkStart w:id="591" w:name="_Ref161132275"/>
      <w:r>
        <w:rPr>
          <w:rFonts w:eastAsia="楷体_GB2312"/>
          <w:b/>
        </w:rPr>
        <w:t>普通决议事项</w:t>
      </w:r>
      <w:bookmarkEnd w:id="589"/>
      <w:bookmarkEnd w:id="590"/>
    </w:p>
    <w:p w14:paraId="23C86DD6">
      <w:pPr>
        <w:tabs>
          <w:tab w:val="left" w:pos="1800"/>
          <w:tab w:val="left" w:pos="1980"/>
        </w:tabs>
        <w:spacing w:line="360" w:lineRule="auto"/>
        <w:ind w:left="425"/>
        <w:jc w:val="both"/>
        <w:rPr>
          <w:rFonts w:eastAsia="楷体_GB2312"/>
          <w:b/>
        </w:rPr>
      </w:pPr>
    </w:p>
    <w:p w14:paraId="5B2A72AC">
      <w:pPr>
        <w:spacing w:line="360" w:lineRule="auto"/>
        <w:ind w:left="1080"/>
        <w:jc w:val="both"/>
        <w:rPr>
          <w:rFonts w:eastAsia="楷体_GB2312"/>
          <w:lang w:eastAsia="zh-CN"/>
        </w:rPr>
      </w:pPr>
      <w:r>
        <w:rPr>
          <w:rFonts w:eastAsia="楷体_GB2312"/>
          <w:lang w:eastAsia="zh-CN"/>
        </w:rPr>
        <w:t>除“全体同意事项”和“特别决议事项”以外的事项为“普通决议事项”。每一类别的“资产支持证券持有人”组成的“资产支持证券持有人大会”就“普通决议事项”所形成的决议，必须经单独或合计持有本类别“资产支持证券”“未偿本金余额”50%以上的“资产支持证券持有人”出席，且经出席的本类别“资产支持证券持有人”表决权总数的50%以上的同意。</w:t>
      </w:r>
    </w:p>
    <w:p w14:paraId="067E18B7">
      <w:pPr>
        <w:tabs>
          <w:tab w:val="left" w:pos="1800"/>
          <w:tab w:val="left" w:pos="1980"/>
        </w:tabs>
        <w:spacing w:line="360" w:lineRule="auto"/>
        <w:ind w:left="1133" w:leftChars="472"/>
        <w:jc w:val="both"/>
        <w:rPr>
          <w:rFonts w:eastAsia="楷体_GB2312"/>
          <w:color w:val="FF0000"/>
          <w:lang w:eastAsia="zh-CN"/>
        </w:rPr>
      </w:pPr>
      <w:r>
        <w:rPr>
          <w:rFonts w:eastAsia="楷体_GB2312"/>
          <w:b/>
          <w:bCs/>
          <w:i/>
          <w:iCs/>
          <w:color w:val="FF0000"/>
          <w:lang w:eastAsia="zh-CN"/>
        </w:rPr>
        <w:t>【注：普通同意事项的范围可根据具体项目情况进行调整。】</w:t>
      </w:r>
    </w:p>
    <w:p w14:paraId="2E86CAFF">
      <w:pPr>
        <w:tabs>
          <w:tab w:val="left" w:pos="1800"/>
          <w:tab w:val="left" w:pos="1980"/>
        </w:tabs>
        <w:spacing w:line="360" w:lineRule="auto"/>
        <w:ind w:left="851"/>
        <w:jc w:val="both"/>
        <w:rPr>
          <w:rFonts w:eastAsia="楷体_GB2312"/>
          <w:b/>
          <w:lang w:eastAsia="zh-CN"/>
        </w:rPr>
      </w:pPr>
    </w:p>
    <w:p w14:paraId="04265A0E">
      <w:pPr>
        <w:widowControl w:val="0"/>
        <w:numPr>
          <w:ilvl w:val="1"/>
          <w:numId w:val="8"/>
        </w:numPr>
        <w:tabs>
          <w:tab w:val="left" w:pos="1800"/>
          <w:tab w:val="left" w:pos="1980"/>
        </w:tabs>
        <w:spacing w:line="360" w:lineRule="auto"/>
        <w:jc w:val="both"/>
        <w:outlineLvl w:val="1"/>
        <w:rPr>
          <w:rFonts w:eastAsia="楷体_GB2312"/>
          <w:b/>
        </w:rPr>
      </w:pPr>
      <w:bookmarkStart w:id="592" w:name="_Toc201569442"/>
      <w:bookmarkStart w:id="593" w:name="_Toc172736608"/>
      <w:r>
        <w:rPr>
          <w:rFonts w:eastAsia="楷体_GB2312"/>
          <w:b/>
        </w:rPr>
        <w:t>决议之间的冲突</w:t>
      </w:r>
      <w:bookmarkEnd w:id="591"/>
      <w:bookmarkEnd w:id="592"/>
      <w:bookmarkEnd w:id="593"/>
    </w:p>
    <w:p w14:paraId="4E596E27">
      <w:pPr>
        <w:autoSpaceDE w:val="0"/>
        <w:autoSpaceDN w:val="0"/>
        <w:adjustRightInd w:val="0"/>
        <w:spacing w:line="360" w:lineRule="auto"/>
        <w:jc w:val="both"/>
        <w:rPr>
          <w:rFonts w:eastAsia="楷体_GB2312"/>
        </w:rPr>
      </w:pPr>
    </w:p>
    <w:p w14:paraId="57E3A84E">
      <w:pPr>
        <w:spacing w:line="360" w:lineRule="auto"/>
        <w:ind w:left="1080"/>
        <w:jc w:val="both"/>
        <w:rPr>
          <w:rFonts w:eastAsia="楷体_GB2312"/>
          <w:lang w:eastAsia="zh-CN"/>
        </w:rPr>
      </w:pPr>
      <w:r>
        <w:rPr>
          <w:rFonts w:eastAsia="楷体_GB2312"/>
          <w:lang w:eastAsia="zh-CN"/>
        </w:rPr>
        <w:t>如果不同类别“资产支持证券持有人大会”就同一事项所做的决议不同，或存在冲突，除非本合同另有约定，应按照如下规则确定各类别“资产支持证券持有人大会”决议的效力：如果</w:t>
      </w:r>
      <w:r>
        <w:rPr>
          <w:rFonts w:eastAsia="楷体_GB2312"/>
          <w:bCs/>
          <w:lang w:eastAsia="zh-CN"/>
        </w:rPr>
        <w:t>“</w:t>
      </w:r>
      <w:r>
        <w:rPr>
          <w:rFonts w:eastAsia="楷体_GB2312"/>
          <w:lang w:eastAsia="zh-CN"/>
        </w:rPr>
        <w:t>优先级资产支持证券</w:t>
      </w:r>
      <w:r>
        <w:rPr>
          <w:rFonts w:eastAsia="楷体_GB2312"/>
          <w:bCs/>
          <w:lang w:eastAsia="zh-CN"/>
        </w:rPr>
        <w:t>”</w:t>
      </w:r>
      <w:r>
        <w:rPr>
          <w:rFonts w:eastAsia="楷体_GB2312"/>
          <w:lang w:eastAsia="zh-CN"/>
        </w:rPr>
        <w:t>本息尚未清偿完毕，应以“优先级资产支持证券持有人”组成的</w:t>
      </w:r>
      <w:r>
        <w:rPr>
          <w:rFonts w:eastAsia="楷体_GB2312"/>
          <w:bCs/>
          <w:lang w:eastAsia="zh-CN"/>
        </w:rPr>
        <w:t>“</w:t>
      </w:r>
      <w:r>
        <w:rPr>
          <w:rFonts w:eastAsia="楷体_GB2312"/>
          <w:lang w:eastAsia="zh-CN"/>
        </w:rPr>
        <w:t>资产支持证券持有人大会</w:t>
      </w:r>
      <w:r>
        <w:rPr>
          <w:rFonts w:eastAsia="楷体_GB2312"/>
          <w:bCs/>
          <w:lang w:eastAsia="zh-CN"/>
        </w:rPr>
        <w:t>”</w:t>
      </w:r>
      <w:r>
        <w:rPr>
          <w:rFonts w:eastAsia="楷体_GB2312"/>
          <w:lang w:eastAsia="zh-CN"/>
        </w:rPr>
        <w:t>的决议为准；当全部</w:t>
      </w:r>
      <w:r>
        <w:rPr>
          <w:rFonts w:eastAsia="楷体_GB2312"/>
          <w:bCs/>
          <w:lang w:eastAsia="zh-CN"/>
        </w:rPr>
        <w:t>“优先级</w:t>
      </w:r>
      <w:r>
        <w:rPr>
          <w:rFonts w:eastAsia="楷体_GB2312"/>
          <w:lang w:eastAsia="zh-CN"/>
        </w:rPr>
        <w:t>资产支持证券</w:t>
      </w:r>
      <w:r>
        <w:rPr>
          <w:rFonts w:eastAsia="楷体_GB2312"/>
          <w:bCs/>
          <w:lang w:eastAsia="zh-CN"/>
        </w:rPr>
        <w:t>”本息</w:t>
      </w:r>
      <w:r>
        <w:rPr>
          <w:rFonts w:eastAsia="楷体_GB2312"/>
          <w:lang w:eastAsia="zh-CN"/>
        </w:rPr>
        <w:t>已清偿完毕，应以“次级资产支持证券持有人”组成的</w:t>
      </w:r>
      <w:r>
        <w:rPr>
          <w:rFonts w:eastAsia="楷体_GB2312"/>
          <w:bCs/>
          <w:lang w:eastAsia="zh-CN"/>
        </w:rPr>
        <w:t>“</w:t>
      </w:r>
      <w:r>
        <w:rPr>
          <w:rFonts w:eastAsia="楷体_GB2312"/>
          <w:lang w:eastAsia="zh-CN"/>
        </w:rPr>
        <w:t>资产支持证券持有人大会</w:t>
      </w:r>
      <w:r>
        <w:rPr>
          <w:rFonts w:eastAsia="楷体_GB2312"/>
          <w:bCs/>
          <w:lang w:eastAsia="zh-CN"/>
        </w:rPr>
        <w:t>”</w:t>
      </w:r>
      <w:r>
        <w:rPr>
          <w:rFonts w:eastAsia="楷体_GB2312"/>
          <w:lang w:eastAsia="zh-CN"/>
        </w:rPr>
        <w:t>的决议为准。</w:t>
      </w:r>
    </w:p>
    <w:p w14:paraId="53BCA5E1">
      <w:pPr>
        <w:tabs>
          <w:tab w:val="left" w:pos="1800"/>
          <w:tab w:val="left" w:pos="1980"/>
        </w:tabs>
        <w:spacing w:line="360" w:lineRule="auto"/>
        <w:ind w:left="1133" w:leftChars="472"/>
        <w:jc w:val="both"/>
        <w:rPr>
          <w:rFonts w:eastAsia="楷体_GB2312"/>
          <w:color w:val="FF0000"/>
          <w:lang w:eastAsia="zh-CN"/>
        </w:rPr>
      </w:pPr>
      <w:r>
        <w:rPr>
          <w:rFonts w:eastAsia="楷体_GB2312"/>
          <w:b/>
          <w:i/>
          <w:iCs/>
          <w:color w:val="FF0000"/>
          <w:lang w:eastAsia="zh-CN"/>
        </w:rPr>
        <w:t>【注：此处可根据资产支持证券分层情况进一步调整。】</w:t>
      </w:r>
    </w:p>
    <w:p w14:paraId="07349803">
      <w:pPr>
        <w:tabs>
          <w:tab w:val="left" w:pos="1800"/>
          <w:tab w:val="left" w:pos="1980"/>
        </w:tabs>
        <w:spacing w:line="360" w:lineRule="auto"/>
        <w:ind w:left="851"/>
        <w:jc w:val="both"/>
        <w:rPr>
          <w:rFonts w:eastAsia="楷体_GB2312"/>
          <w:lang w:eastAsia="zh-CN"/>
        </w:rPr>
      </w:pPr>
    </w:p>
    <w:p w14:paraId="07B85474">
      <w:pPr>
        <w:widowControl w:val="0"/>
        <w:numPr>
          <w:ilvl w:val="1"/>
          <w:numId w:val="8"/>
        </w:numPr>
        <w:spacing w:line="360" w:lineRule="auto"/>
        <w:jc w:val="both"/>
        <w:outlineLvl w:val="1"/>
        <w:rPr>
          <w:rFonts w:eastAsia="楷体_GB2312"/>
          <w:b/>
        </w:rPr>
      </w:pPr>
      <w:bookmarkStart w:id="594" w:name="_Toc172736610"/>
      <w:bookmarkStart w:id="595" w:name="_Ref201748170"/>
      <w:bookmarkStart w:id="596" w:name="_Toc201569444"/>
      <w:bookmarkStart w:id="597" w:name="_Toc152168751"/>
      <w:bookmarkStart w:id="598" w:name="_Toc152168195"/>
      <w:bookmarkStart w:id="599" w:name="_Toc151554361"/>
      <w:r>
        <w:rPr>
          <w:rFonts w:eastAsia="楷体_GB2312"/>
          <w:b/>
        </w:rPr>
        <w:t>决议的执行</w:t>
      </w:r>
      <w:bookmarkEnd w:id="594"/>
      <w:bookmarkEnd w:id="595"/>
      <w:bookmarkEnd w:id="596"/>
    </w:p>
    <w:p w14:paraId="458CA3CE">
      <w:pPr>
        <w:spacing w:line="360" w:lineRule="auto"/>
        <w:ind w:left="425"/>
        <w:jc w:val="both"/>
        <w:rPr>
          <w:rFonts w:eastAsia="楷体_GB2312"/>
          <w:b/>
        </w:rPr>
      </w:pPr>
    </w:p>
    <w:p w14:paraId="3F75027B">
      <w:pPr>
        <w:widowControl w:val="0"/>
        <w:numPr>
          <w:ilvl w:val="2"/>
          <w:numId w:val="8"/>
        </w:numPr>
        <w:tabs>
          <w:tab w:val="left" w:pos="1620"/>
          <w:tab w:val="left" w:pos="1980"/>
          <w:tab w:val="clear" w:pos="1997"/>
        </w:tabs>
        <w:spacing w:line="360" w:lineRule="auto"/>
        <w:ind w:left="1620" w:hanging="769"/>
        <w:jc w:val="both"/>
        <w:rPr>
          <w:rFonts w:eastAsia="楷体_GB2312"/>
          <w:b/>
          <w:lang w:eastAsia="zh-CN"/>
        </w:rPr>
      </w:pPr>
      <w:bookmarkStart w:id="600" w:name="_Ref161653618"/>
      <w:bookmarkStart w:id="601" w:name="_Ref173767756"/>
      <w:r>
        <w:rPr>
          <w:rFonts w:eastAsia="楷体_GB2312"/>
          <w:lang w:eastAsia="zh-CN"/>
        </w:rPr>
        <w:t>“资产支持证券持有人大会”的决议，由“资产支持证券持有人大会”选任的人执行。</w:t>
      </w:r>
      <w:bookmarkEnd w:id="600"/>
      <w:r>
        <w:rPr>
          <w:rFonts w:eastAsia="楷体_GB2312"/>
          <w:lang w:eastAsia="zh-CN"/>
        </w:rPr>
        <w:t>“资产支持证券持有人大会”可以授权“受托人”执行“资产支持证券持有人大会”的决议。</w:t>
      </w:r>
      <w:bookmarkEnd w:id="601"/>
    </w:p>
    <w:p w14:paraId="06ED1110">
      <w:pPr>
        <w:spacing w:line="360" w:lineRule="auto"/>
        <w:ind w:left="851"/>
        <w:jc w:val="both"/>
        <w:rPr>
          <w:rFonts w:eastAsia="楷体_GB2312"/>
          <w:b/>
          <w:lang w:eastAsia="zh-CN"/>
        </w:rPr>
      </w:pPr>
    </w:p>
    <w:p w14:paraId="4FB44743">
      <w:pPr>
        <w:widowControl w:val="0"/>
        <w:numPr>
          <w:ilvl w:val="2"/>
          <w:numId w:val="8"/>
        </w:numPr>
        <w:tabs>
          <w:tab w:val="left" w:pos="1620"/>
        </w:tabs>
        <w:spacing w:line="360" w:lineRule="auto"/>
        <w:ind w:left="1620" w:hanging="769"/>
        <w:jc w:val="both"/>
        <w:rPr>
          <w:rFonts w:eastAsia="楷体_GB2312"/>
          <w:b/>
          <w:lang w:eastAsia="zh-CN"/>
        </w:rPr>
      </w:pPr>
      <w:r>
        <w:rPr>
          <w:rFonts w:eastAsia="楷体_GB2312"/>
          <w:lang w:eastAsia="zh-CN"/>
        </w:rPr>
        <w:t>“资产支持证券持有人大会”选任的人，可以代表“资产支持证券持有人”，为全体“资产支持证券持有人”利益进行有关“信托”的诉讼或诉讼外的行为。</w:t>
      </w:r>
    </w:p>
    <w:p w14:paraId="521EB4DF">
      <w:pPr>
        <w:spacing w:line="360" w:lineRule="auto"/>
        <w:jc w:val="both"/>
        <w:rPr>
          <w:rFonts w:eastAsia="楷体_GB2312"/>
          <w:b/>
          <w:lang w:eastAsia="zh-CN"/>
        </w:rPr>
      </w:pPr>
    </w:p>
    <w:p w14:paraId="7F0DBF8D">
      <w:pPr>
        <w:widowControl w:val="0"/>
        <w:numPr>
          <w:ilvl w:val="2"/>
          <w:numId w:val="8"/>
        </w:numPr>
        <w:tabs>
          <w:tab w:val="left" w:pos="1620"/>
        </w:tabs>
        <w:spacing w:line="360" w:lineRule="auto"/>
        <w:ind w:left="1620" w:hanging="769"/>
        <w:jc w:val="both"/>
        <w:rPr>
          <w:rFonts w:eastAsia="楷体_GB2312"/>
          <w:b/>
          <w:lang w:eastAsia="zh-CN"/>
        </w:rPr>
      </w:pPr>
      <w:bookmarkStart w:id="602" w:name="OLE_LINK2"/>
      <w:r>
        <w:rPr>
          <w:rFonts w:eastAsia="楷体_GB2312"/>
          <w:lang w:eastAsia="zh-CN"/>
        </w:rPr>
        <w:t>按照本合同第</w:t>
      </w:r>
      <w:r>
        <w:rPr>
          <w:rFonts w:eastAsia="楷体_GB2312"/>
        </w:rPr>
        <w:fldChar w:fldCharType="begin"/>
      </w:r>
      <w:r>
        <w:rPr>
          <w:rFonts w:eastAsia="楷体_GB2312"/>
          <w:lang w:eastAsia="zh-CN"/>
        </w:rPr>
        <w:instrText xml:space="preserve"> REF _Ref201748170 \r \h  \* MERGEFORMAT </w:instrText>
      </w:r>
      <w:r>
        <w:rPr>
          <w:rFonts w:eastAsia="楷体_GB2312"/>
        </w:rPr>
        <w:fldChar w:fldCharType="separate"/>
      </w:r>
      <w:r>
        <w:rPr>
          <w:rFonts w:eastAsia="楷体_GB2312"/>
          <w:lang w:eastAsia="zh-CN"/>
        </w:rPr>
        <w:t>19.9</w:t>
      </w:r>
      <w:r>
        <w:rPr>
          <w:rFonts w:eastAsia="楷体_GB2312"/>
        </w:rPr>
        <w:fldChar w:fldCharType="end"/>
      </w:r>
      <w:r>
        <w:rPr>
          <w:rFonts w:eastAsia="楷体_GB2312"/>
          <w:lang w:eastAsia="zh-CN"/>
        </w:rPr>
        <w:t>款</w:t>
      </w:r>
      <w:r>
        <w:rPr>
          <w:rFonts w:eastAsia="楷体_GB2312"/>
          <w:bCs/>
          <w:lang w:eastAsia="zh-CN"/>
        </w:rPr>
        <w:t>约</w:t>
      </w:r>
      <w:r>
        <w:rPr>
          <w:rFonts w:eastAsia="楷体_GB2312"/>
          <w:lang w:eastAsia="zh-CN"/>
        </w:rPr>
        <w:t>定由“资产支持证券持有人”选任的人，其权限、报酬、报酬之计算方法及支付时期等事项，应由“资产支持证券持有人大会”于选任该等人时一并予以决议。</w:t>
      </w:r>
    </w:p>
    <w:bookmarkEnd w:id="602"/>
    <w:p w14:paraId="4D7A7DAE">
      <w:pPr>
        <w:spacing w:line="360" w:lineRule="auto"/>
        <w:ind w:left="851"/>
        <w:jc w:val="both"/>
        <w:rPr>
          <w:rFonts w:eastAsia="楷体_GB2312"/>
          <w:b/>
          <w:lang w:eastAsia="zh-CN"/>
        </w:rPr>
      </w:pPr>
    </w:p>
    <w:p w14:paraId="6F3466FB">
      <w:pPr>
        <w:widowControl w:val="0"/>
        <w:numPr>
          <w:ilvl w:val="1"/>
          <w:numId w:val="8"/>
        </w:numPr>
        <w:spacing w:line="360" w:lineRule="auto"/>
        <w:jc w:val="both"/>
        <w:outlineLvl w:val="1"/>
        <w:rPr>
          <w:rFonts w:eastAsia="楷体_GB2312"/>
          <w:b/>
        </w:rPr>
      </w:pPr>
      <w:bookmarkStart w:id="603" w:name="_Toc172736611"/>
      <w:bookmarkStart w:id="604" w:name="_Toc201569445"/>
      <w:r>
        <w:rPr>
          <w:rFonts w:eastAsia="楷体_GB2312"/>
          <w:b/>
        </w:rPr>
        <w:t>会议记录</w:t>
      </w:r>
      <w:bookmarkEnd w:id="603"/>
      <w:bookmarkEnd w:id="604"/>
    </w:p>
    <w:p w14:paraId="485FA52B">
      <w:pPr>
        <w:spacing w:line="360" w:lineRule="auto"/>
        <w:ind w:left="425"/>
        <w:jc w:val="both"/>
        <w:rPr>
          <w:rFonts w:eastAsia="楷体_GB2312"/>
          <w:b/>
        </w:rPr>
      </w:pPr>
    </w:p>
    <w:p w14:paraId="18503160">
      <w:pPr>
        <w:spacing w:line="360" w:lineRule="auto"/>
        <w:ind w:left="851"/>
        <w:jc w:val="both"/>
        <w:rPr>
          <w:rFonts w:eastAsia="楷体_GB2312"/>
          <w:b/>
          <w:lang w:eastAsia="zh-CN"/>
        </w:rPr>
      </w:pPr>
      <w:r>
        <w:rPr>
          <w:rFonts w:eastAsia="楷体_GB2312"/>
          <w:lang w:eastAsia="zh-CN"/>
        </w:rPr>
        <w:t>“资产支持证券持有人大会”应当将决议作成会议记录，召集人、“受托人”应当在会议记录上签字并盖章。会议记录、出席“资产支持证券持有人”的签名册及代理出席的授权委托书应由“受托人”一并保存，保存期限自“信托终止日”起不得少于十五年。</w:t>
      </w:r>
    </w:p>
    <w:p w14:paraId="5782DFAE">
      <w:pPr>
        <w:spacing w:line="360" w:lineRule="auto"/>
        <w:ind w:left="851"/>
        <w:jc w:val="both"/>
        <w:rPr>
          <w:rFonts w:eastAsia="楷体_GB2312"/>
          <w:b/>
          <w:lang w:eastAsia="zh-CN"/>
        </w:rPr>
      </w:pPr>
    </w:p>
    <w:p w14:paraId="52CBEBB4">
      <w:pPr>
        <w:widowControl w:val="0"/>
        <w:numPr>
          <w:ilvl w:val="1"/>
          <w:numId w:val="8"/>
        </w:numPr>
        <w:spacing w:line="360" w:lineRule="auto"/>
        <w:jc w:val="both"/>
        <w:outlineLvl w:val="1"/>
        <w:rPr>
          <w:rFonts w:eastAsia="楷体_GB2312"/>
          <w:b/>
        </w:rPr>
      </w:pPr>
      <w:bookmarkStart w:id="605" w:name="_Toc172736612"/>
      <w:bookmarkStart w:id="606" w:name="_Toc201569446"/>
      <w:r>
        <w:rPr>
          <w:rFonts w:eastAsia="楷体_GB2312"/>
          <w:b/>
        </w:rPr>
        <w:t>决议的备案与公告</w:t>
      </w:r>
      <w:bookmarkEnd w:id="597"/>
      <w:bookmarkEnd w:id="598"/>
      <w:bookmarkEnd w:id="599"/>
      <w:bookmarkEnd w:id="605"/>
      <w:bookmarkEnd w:id="606"/>
    </w:p>
    <w:p w14:paraId="741E3BE4">
      <w:pPr>
        <w:autoSpaceDE w:val="0"/>
        <w:autoSpaceDN w:val="0"/>
        <w:adjustRightInd w:val="0"/>
        <w:spacing w:line="360" w:lineRule="auto"/>
        <w:jc w:val="both"/>
        <w:rPr>
          <w:rFonts w:eastAsia="楷体_GB2312"/>
        </w:rPr>
      </w:pPr>
    </w:p>
    <w:p w14:paraId="46ECA26C">
      <w:pPr>
        <w:spacing w:line="360" w:lineRule="auto"/>
        <w:ind w:left="851"/>
        <w:jc w:val="both"/>
        <w:rPr>
          <w:rFonts w:eastAsia="楷体_GB2312"/>
          <w:lang w:eastAsia="zh-CN"/>
        </w:rPr>
      </w:pPr>
      <w:r>
        <w:rPr>
          <w:rFonts w:eastAsia="楷体_GB2312"/>
          <w:lang w:eastAsia="zh-CN"/>
        </w:rPr>
        <w:t>对于“资产支持证券持有人大会”形成的决议，“受托人”应在“资产支持证券持有人大会”结束后【】个“工作日”内报“人民银行”备案，并</w:t>
      </w:r>
      <w:r>
        <w:rPr>
          <w:rFonts w:hint="eastAsia" w:eastAsia="楷体_GB2312"/>
          <w:color w:val="000000"/>
        </w:rPr>
        <w:t>通过</w:t>
      </w:r>
      <w:r>
        <w:rPr>
          <w:rFonts w:eastAsia="楷体_GB2312"/>
          <w:color w:val="000000"/>
        </w:rPr>
        <w:t>“交易商协会”综合业务和信息服务平台、中国货币网、中国债券信息网、“北金所”官方网站及“交易商协会”认可的其他方式</w:t>
      </w:r>
      <w:r>
        <w:rPr>
          <w:rFonts w:eastAsia="楷体_GB2312"/>
          <w:lang w:eastAsia="zh-CN"/>
        </w:rPr>
        <w:t>予以公告。</w:t>
      </w:r>
    </w:p>
    <w:p w14:paraId="7F1FE82A">
      <w:pPr>
        <w:spacing w:line="360" w:lineRule="auto"/>
        <w:ind w:left="851"/>
        <w:jc w:val="both"/>
        <w:rPr>
          <w:rFonts w:eastAsia="楷体_GB2312"/>
          <w:color w:val="FF0000"/>
          <w:lang w:eastAsia="zh-CN"/>
        </w:rPr>
      </w:pPr>
      <w:r>
        <w:rPr>
          <w:rFonts w:eastAsia="楷体_GB2312"/>
          <w:b/>
          <w:i/>
          <w:color w:val="FF0000"/>
          <w:lang w:eastAsia="zh-CN"/>
        </w:rPr>
        <w:t>【注：资产支持证券持有人大会形成的决议的备案和信息披露方式应以届时适用的最新法规和信息披露规则的规定为准。】</w:t>
      </w:r>
    </w:p>
    <w:p w14:paraId="061A98C9">
      <w:pPr>
        <w:spacing w:line="360" w:lineRule="auto"/>
        <w:ind w:left="851"/>
        <w:jc w:val="both"/>
        <w:rPr>
          <w:rFonts w:eastAsia="楷体_GB2312"/>
          <w:lang w:eastAsia="zh-CN"/>
        </w:rPr>
      </w:pPr>
    </w:p>
    <w:bookmarkEnd w:id="568"/>
    <w:p w14:paraId="4563FE82">
      <w:pPr>
        <w:widowControl w:val="0"/>
        <w:numPr>
          <w:ilvl w:val="0"/>
          <w:numId w:val="8"/>
        </w:numPr>
        <w:spacing w:line="360" w:lineRule="auto"/>
        <w:jc w:val="both"/>
        <w:outlineLvl w:val="0"/>
        <w:rPr>
          <w:rFonts w:eastAsia="楷体_GB2312"/>
          <w:b/>
        </w:rPr>
      </w:pPr>
      <w:bookmarkStart w:id="607" w:name="_Toc120275183"/>
      <w:bookmarkEnd w:id="607"/>
      <w:bookmarkStart w:id="608" w:name="_Toc120277520"/>
      <w:bookmarkEnd w:id="608"/>
      <w:bookmarkStart w:id="609" w:name="_Toc120277266"/>
      <w:bookmarkEnd w:id="609"/>
      <w:bookmarkStart w:id="610" w:name="_Toc120276586"/>
      <w:bookmarkEnd w:id="610"/>
      <w:bookmarkStart w:id="611" w:name="_Toc120275182"/>
      <w:bookmarkEnd w:id="611"/>
      <w:bookmarkStart w:id="612" w:name="_Toc120276585"/>
      <w:bookmarkEnd w:id="612"/>
      <w:bookmarkStart w:id="613" w:name="_Toc120277521"/>
      <w:bookmarkEnd w:id="613"/>
      <w:bookmarkStart w:id="614" w:name="_Toc120277354"/>
      <w:bookmarkEnd w:id="614"/>
      <w:bookmarkStart w:id="615" w:name="_Toc120277265"/>
      <w:bookmarkEnd w:id="615"/>
      <w:bookmarkStart w:id="616" w:name="_Toc120149140"/>
      <w:bookmarkEnd w:id="616"/>
      <w:bookmarkStart w:id="617" w:name="_Toc120277355"/>
      <w:bookmarkEnd w:id="617"/>
      <w:bookmarkStart w:id="618" w:name="_Toc69138597"/>
      <w:bookmarkStart w:id="619" w:name="_Toc75510479"/>
      <w:bookmarkStart w:id="620" w:name="_Toc454484867"/>
      <w:bookmarkStart w:id="621" w:name="_Toc207007316"/>
      <w:bookmarkStart w:id="622" w:name="_Toc227955294"/>
      <w:bookmarkStart w:id="623" w:name="_Toc166105880"/>
      <w:bookmarkStart w:id="624" w:name="_Toc92612947"/>
      <w:r>
        <w:rPr>
          <w:rFonts w:eastAsia="楷体_GB2312"/>
          <w:b/>
        </w:rPr>
        <w:t>赔偿和免责</w:t>
      </w:r>
      <w:bookmarkEnd w:id="618"/>
      <w:bookmarkEnd w:id="619"/>
      <w:bookmarkEnd w:id="620"/>
      <w:bookmarkEnd w:id="621"/>
      <w:bookmarkEnd w:id="622"/>
      <w:bookmarkEnd w:id="623"/>
    </w:p>
    <w:p w14:paraId="28279081">
      <w:pPr>
        <w:spacing w:line="360" w:lineRule="auto"/>
        <w:jc w:val="both"/>
        <w:rPr>
          <w:rFonts w:eastAsia="楷体_GB2312"/>
          <w:bCs/>
        </w:rPr>
      </w:pPr>
    </w:p>
    <w:p w14:paraId="10DF5F16">
      <w:pPr>
        <w:widowControl w:val="0"/>
        <w:numPr>
          <w:ilvl w:val="1"/>
          <w:numId w:val="8"/>
        </w:numPr>
        <w:spacing w:line="360" w:lineRule="auto"/>
        <w:jc w:val="both"/>
        <w:outlineLvl w:val="1"/>
        <w:rPr>
          <w:rFonts w:eastAsia="楷体_GB2312"/>
          <w:b/>
        </w:rPr>
      </w:pPr>
      <w:r>
        <w:rPr>
          <w:rFonts w:eastAsia="楷体_GB2312"/>
          <w:b/>
        </w:rPr>
        <w:t>违约责任</w:t>
      </w:r>
    </w:p>
    <w:p w14:paraId="644F87A3">
      <w:pPr>
        <w:spacing w:line="360" w:lineRule="auto"/>
        <w:jc w:val="both"/>
        <w:rPr>
          <w:rFonts w:eastAsia="楷体_GB2312"/>
          <w:bCs/>
        </w:rPr>
      </w:pPr>
    </w:p>
    <w:p w14:paraId="5A135E57">
      <w:pPr>
        <w:spacing w:line="360" w:lineRule="auto"/>
        <w:ind w:left="851"/>
        <w:jc w:val="both"/>
        <w:rPr>
          <w:rFonts w:eastAsia="楷体_GB2312"/>
          <w:lang w:eastAsia="zh-CN"/>
        </w:rPr>
      </w:pPr>
      <w:r>
        <w:rPr>
          <w:rFonts w:eastAsia="楷体_GB2312"/>
          <w:lang w:eastAsia="zh-CN"/>
        </w:rPr>
        <w:t>如“委托人”、“受托人”或“受益人”未履行其在本合同项下的义务，或一方在本合同项下的声明、陈述、保证严重失实或不准确，则视为该方违约。除非本合同另有</w:t>
      </w:r>
      <w:r>
        <w:rPr>
          <w:rFonts w:eastAsia="楷体_GB2312"/>
          <w:bCs/>
          <w:lang w:eastAsia="zh-CN"/>
        </w:rPr>
        <w:t>约</w:t>
      </w:r>
      <w:r>
        <w:rPr>
          <w:rFonts w:eastAsia="楷体_GB2312"/>
          <w:lang w:eastAsia="zh-CN"/>
        </w:rPr>
        <w:t>定，违约方应向守约方承担继续履行、采取补救措施、赔偿守约方因此遭受的全部损失的违约责任。</w:t>
      </w:r>
    </w:p>
    <w:bookmarkEnd w:id="624"/>
    <w:p w14:paraId="34171F8D">
      <w:pPr>
        <w:spacing w:line="360" w:lineRule="auto"/>
        <w:jc w:val="both"/>
        <w:rPr>
          <w:rFonts w:eastAsia="楷体_GB2312"/>
          <w:b/>
          <w:lang w:eastAsia="zh-CN"/>
        </w:rPr>
      </w:pPr>
    </w:p>
    <w:p w14:paraId="762225EF">
      <w:pPr>
        <w:widowControl w:val="0"/>
        <w:numPr>
          <w:ilvl w:val="1"/>
          <w:numId w:val="8"/>
        </w:numPr>
        <w:spacing w:line="360" w:lineRule="auto"/>
        <w:jc w:val="both"/>
        <w:outlineLvl w:val="1"/>
        <w:rPr>
          <w:rFonts w:eastAsia="楷体_GB2312"/>
          <w:b/>
        </w:rPr>
      </w:pPr>
      <w:bookmarkStart w:id="625" w:name="_Toc110153468"/>
      <w:bookmarkStart w:id="626" w:name="_Toc201569450"/>
      <w:bookmarkStart w:id="627" w:name="_Toc111281842"/>
      <w:r>
        <w:rPr>
          <w:rFonts w:eastAsia="楷体_GB2312"/>
          <w:b/>
        </w:rPr>
        <w:t>受托</w:t>
      </w:r>
      <w:bookmarkStart w:id="628" w:name="_Toc92612949"/>
      <w:r>
        <w:rPr>
          <w:rFonts w:eastAsia="楷体_GB2312"/>
          <w:b/>
        </w:rPr>
        <w:t>人的赔偿责任</w:t>
      </w:r>
      <w:bookmarkEnd w:id="625"/>
      <w:bookmarkEnd w:id="626"/>
      <w:bookmarkEnd w:id="627"/>
    </w:p>
    <w:p w14:paraId="17162721">
      <w:pPr>
        <w:spacing w:line="360" w:lineRule="auto"/>
        <w:jc w:val="both"/>
        <w:rPr>
          <w:rFonts w:eastAsia="楷体_GB2312"/>
          <w:b/>
        </w:rPr>
      </w:pPr>
    </w:p>
    <w:bookmarkEnd w:id="628"/>
    <w:p w14:paraId="47E7E6A5">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“受托人”违反信托目的管理、违反</w:t>
      </w:r>
      <w:r>
        <w:rPr>
          <w:rFonts w:eastAsia="楷体_GB2312"/>
          <w:lang w:val="en-GB" w:eastAsia="zh-CN"/>
        </w:rPr>
        <w:t>“中国”“法律”</w:t>
      </w:r>
      <w:r>
        <w:rPr>
          <w:rFonts w:eastAsia="楷体_GB2312"/>
          <w:lang w:eastAsia="zh-CN"/>
        </w:rPr>
        <w:t>、处分“信托财产”或者管理、处分“信托财产”有重大过失致使“信托财产”遭受损失的，应当对“信托财产”予以赔偿。</w:t>
      </w:r>
    </w:p>
    <w:p w14:paraId="268810A0">
      <w:pPr>
        <w:tabs>
          <w:tab w:val="left" w:pos="1571"/>
        </w:tabs>
        <w:spacing w:line="360" w:lineRule="auto"/>
        <w:jc w:val="both"/>
        <w:rPr>
          <w:rFonts w:eastAsia="楷体_GB2312"/>
          <w:lang w:eastAsia="zh-CN"/>
        </w:rPr>
      </w:pPr>
    </w:p>
    <w:p w14:paraId="4CF284F1">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受托人”采取本合同约定之外的方式对“信托财产”的运用、处分所产生的收益，属于“信托财产”的一部分；由此给“信托财产”造成损失的，“受托人”应以其固有财产承担赔偿责任，但该等方式经“资产支持证券持有人大会”同意的除外。</w:t>
      </w:r>
    </w:p>
    <w:p w14:paraId="0EE301F2">
      <w:pPr>
        <w:spacing w:line="360" w:lineRule="auto"/>
        <w:jc w:val="both"/>
        <w:rPr>
          <w:rFonts w:eastAsia="楷体_GB2312"/>
          <w:lang w:eastAsia="zh-CN"/>
        </w:rPr>
      </w:pPr>
    </w:p>
    <w:p w14:paraId="35CE6613">
      <w:pPr>
        <w:widowControl w:val="0"/>
        <w:numPr>
          <w:ilvl w:val="1"/>
          <w:numId w:val="8"/>
        </w:numPr>
        <w:spacing w:line="360" w:lineRule="auto"/>
        <w:jc w:val="both"/>
        <w:outlineLvl w:val="1"/>
        <w:rPr>
          <w:rFonts w:eastAsia="楷体_GB2312"/>
          <w:b/>
        </w:rPr>
      </w:pPr>
      <w:bookmarkStart w:id="629" w:name="_Toc112069007"/>
      <w:bookmarkEnd w:id="629"/>
      <w:bookmarkStart w:id="630" w:name="_Toc112069008"/>
      <w:bookmarkEnd w:id="630"/>
      <w:bookmarkStart w:id="631" w:name="_Toc201569451"/>
      <w:bookmarkStart w:id="632" w:name="_Toc111281843"/>
      <w:r>
        <w:rPr>
          <w:rFonts w:eastAsia="楷体_GB2312"/>
          <w:b/>
        </w:rPr>
        <w:t>受托人的免责</w:t>
      </w:r>
      <w:bookmarkEnd w:id="631"/>
      <w:bookmarkEnd w:id="632"/>
    </w:p>
    <w:p w14:paraId="4A2EB37B">
      <w:pPr>
        <w:spacing w:line="360" w:lineRule="auto"/>
        <w:jc w:val="both"/>
        <w:rPr>
          <w:rFonts w:eastAsia="楷体_GB2312"/>
          <w:b/>
        </w:rPr>
      </w:pPr>
    </w:p>
    <w:p w14:paraId="7CA84195">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“受托人”承诺履行并仅履行</w:t>
      </w:r>
      <w:r>
        <w:rPr>
          <w:rFonts w:eastAsia="楷体_GB2312"/>
          <w:lang w:val="en-GB" w:eastAsia="zh-CN"/>
        </w:rPr>
        <w:t>“中国”“法律”规定</w:t>
      </w:r>
      <w:r>
        <w:rPr>
          <w:rFonts w:eastAsia="楷体_GB2312"/>
          <w:lang w:eastAsia="zh-CN"/>
        </w:rPr>
        <w:t>和本合同明确</w:t>
      </w:r>
      <w:r>
        <w:rPr>
          <w:rFonts w:eastAsia="楷体_GB2312"/>
          <w:bCs/>
          <w:lang w:eastAsia="zh-CN"/>
        </w:rPr>
        <w:t>约</w:t>
      </w:r>
      <w:r>
        <w:rPr>
          <w:rFonts w:eastAsia="楷体_GB2312"/>
          <w:lang w:eastAsia="zh-CN"/>
        </w:rPr>
        <w:t>定的职责和义务，“受托人”不承担任何默示的承诺或者义务。</w:t>
      </w:r>
    </w:p>
    <w:p w14:paraId="5DE8F168">
      <w:pPr>
        <w:tabs>
          <w:tab w:val="left" w:pos="1800"/>
          <w:tab w:val="left" w:pos="1980"/>
        </w:tabs>
        <w:spacing w:line="360" w:lineRule="auto"/>
        <w:ind w:left="1080"/>
        <w:jc w:val="both"/>
        <w:rPr>
          <w:rFonts w:eastAsia="楷体_GB2312"/>
          <w:lang w:eastAsia="zh-CN"/>
        </w:rPr>
      </w:pPr>
    </w:p>
    <w:p w14:paraId="4C81FB6C">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在“受托人”合理审慎地管理信托事务且不存在故意、欺诈或者重大过失或违反</w:t>
      </w:r>
      <w:r>
        <w:rPr>
          <w:rFonts w:eastAsia="楷体_GB2312"/>
          <w:lang w:val="en-GB" w:eastAsia="zh-CN"/>
        </w:rPr>
        <w:t>“中国”“法律”</w:t>
      </w:r>
      <w:r>
        <w:rPr>
          <w:rFonts w:eastAsia="楷体_GB2312"/>
          <w:lang w:eastAsia="zh-CN"/>
        </w:rPr>
        <w:t>的情形下，所发生的全部损失由“信托财产”承担，“受托人”对“信托财产”发生的损失不承担责任。</w:t>
      </w:r>
    </w:p>
    <w:p w14:paraId="31973381">
      <w:pPr>
        <w:widowControl w:val="0"/>
        <w:tabs>
          <w:tab w:val="left" w:pos="1620"/>
          <w:tab w:val="left" w:pos="1980"/>
        </w:tabs>
        <w:spacing w:line="360" w:lineRule="auto"/>
        <w:ind w:left="1620"/>
        <w:jc w:val="both"/>
        <w:rPr>
          <w:rFonts w:eastAsia="楷体_GB2312"/>
          <w:lang w:eastAsia="zh-CN"/>
        </w:rPr>
      </w:pPr>
    </w:p>
    <w:p w14:paraId="109FAA77">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受托人”完全信赖各专业机构会以专业的谨慎与注意履行其义务，并可以依赖其提供的任何书面的证明、报告或者意见和/或者在相关文件中的陈述与保证的真实、准确与完整，除非存在完全与充分的相反证据。</w:t>
      </w:r>
    </w:p>
    <w:p w14:paraId="585B5F76">
      <w:pPr>
        <w:pStyle w:val="40"/>
        <w:ind w:firstLine="480"/>
        <w:jc w:val="both"/>
        <w:rPr>
          <w:rFonts w:eastAsia="楷体_GB2312"/>
          <w:lang w:eastAsia="zh-CN"/>
        </w:rPr>
      </w:pPr>
    </w:p>
    <w:p w14:paraId="446A0F9A">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受托人”对“资产支持证券”的本金和收益不作任何保证或担保。“资产支持证券”仅代表“信托受益权”的相应份额。“资产支持证券”不代表“受托人”的负债，“资产支持证券”投资者的追索权仅限于“信托财产”。“受托人”除了承担在“《信托合同》”等“交易文件”所承诺的义务和责任外，不对“资产支持证券”可能产生的其他损失承担义务和责任。</w:t>
      </w:r>
    </w:p>
    <w:p w14:paraId="33E569B4">
      <w:pPr>
        <w:spacing w:line="360" w:lineRule="auto"/>
        <w:ind w:left="1620" w:hanging="769"/>
        <w:jc w:val="both"/>
        <w:rPr>
          <w:rFonts w:eastAsia="楷体_GB2312"/>
          <w:lang w:eastAsia="zh-CN"/>
        </w:rPr>
      </w:pPr>
    </w:p>
    <w:p w14:paraId="0314E14E">
      <w:pPr>
        <w:widowControl w:val="0"/>
        <w:numPr>
          <w:ilvl w:val="1"/>
          <w:numId w:val="8"/>
        </w:numPr>
        <w:spacing w:line="360" w:lineRule="auto"/>
        <w:jc w:val="both"/>
        <w:outlineLvl w:val="1"/>
        <w:rPr>
          <w:rFonts w:eastAsia="楷体_GB2312"/>
          <w:b/>
        </w:rPr>
      </w:pPr>
      <w:bookmarkStart w:id="633" w:name="_Toc111281844"/>
      <w:bookmarkStart w:id="634" w:name="_Toc201569452"/>
      <w:r>
        <w:rPr>
          <w:rFonts w:eastAsia="楷体_GB2312"/>
          <w:b/>
        </w:rPr>
        <w:t>委托人的免责</w:t>
      </w:r>
      <w:bookmarkEnd w:id="633"/>
      <w:bookmarkEnd w:id="634"/>
    </w:p>
    <w:p w14:paraId="531428AE">
      <w:pPr>
        <w:spacing w:line="360" w:lineRule="auto"/>
        <w:ind w:left="1620" w:hanging="769"/>
        <w:jc w:val="both"/>
        <w:rPr>
          <w:rFonts w:eastAsia="楷体_GB2312"/>
        </w:rPr>
      </w:pPr>
    </w:p>
    <w:p w14:paraId="47696FA8">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除“法律”另有规定外，“委托人”承诺履行并仅履行本合同明确</w:t>
      </w:r>
      <w:r>
        <w:rPr>
          <w:rFonts w:eastAsia="楷体_GB2312"/>
          <w:bCs/>
          <w:lang w:eastAsia="zh-CN"/>
        </w:rPr>
        <w:t>约</w:t>
      </w:r>
      <w:r>
        <w:rPr>
          <w:rFonts w:eastAsia="楷体_GB2312"/>
          <w:lang w:eastAsia="zh-CN"/>
        </w:rPr>
        <w:t>定的职责，“委托人”不承担任何默示的承诺或者义务，并不作出任何进一步的陈述与保证。</w:t>
      </w:r>
    </w:p>
    <w:p w14:paraId="32ED65B6">
      <w:pPr>
        <w:tabs>
          <w:tab w:val="left" w:pos="1620"/>
        </w:tabs>
        <w:spacing w:line="360" w:lineRule="auto"/>
        <w:ind w:left="1620" w:hanging="769"/>
        <w:jc w:val="both"/>
        <w:rPr>
          <w:rFonts w:eastAsia="楷体_GB2312"/>
          <w:lang w:eastAsia="zh-CN"/>
        </w:rPr>
      </w:pPr>
    </w:p>
    <w:p w14:paraId="5863BD40">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委托人”对“资产支持证券”的本金和收益不作任何保证或担保。“资产支持证券”仅代表“信托受益权”的相应份额。“资产支持证券”不代表“发起机构”的负债，“资产支持证券”投资者的追索权仅限于“信托财产”。“发起机构”除了承担“交易文件”中所承诺的义务和责任外，不对“资产支持证券”中可能产生的其他损失承担义务和责任。</w:t>
      </w:r>
    </w:p>
    <w:p w14:paraId="05601AB1">
      <w:pPr>
        <w:tabs>
          <w:tab w:val="left" w:pos="1620"/>
        </w:tabs>
        <w:spacing w:line="360" w:lineRule="auto"/>
        <w:ind w:left="1620" w:hanging="769"/>
        <w:jc w:val="both"/>
        <w:rPr>
          <w:rFonts w:eastAsia="楷体_GB2312"/>
          <w:lang w:eastAsia="zh-CN"/>
        </w:rPr>
      </w:pPr>
    </w:p>
    <w:p w14:paraId="52ECB4FE">
      <w:pPr>
        <w:widowControl w:val="0"/>
        <w:numPr>
          <w:ilvl w:val="0"/>
          <w:numId w:val="8"/>
        </w:numPr>
        <w:spacing w:line="360" w:lineRule="auto"/>
        <w:jc w:val="both"/>
        <w:outlineLvl w:val="0"/>
        <w:rPr>
          <w:rFonts w:eastAsia="楷体_GB2312"/>
          <w:b/>
        </w:rPr>
      </w:pPr>
      <w:bookmarkStart w:id="635" w:name="_Ref173768358"/>
      <w:bookmarkStart w:id="636" w:name="_Toc110153469"/>
      <w:bookmarkStart w:id="637" w:name="_Toc69138598"/>
      <w:bookmarkStart w:id="638" w:name="_Toc201569453"/>
      <w:bookmarkStart w:id="639" w:name="_Toc227955295"/>
      <w:bookmarkStart w:id="640" w:name="_Toc166105881"/>
      <w:bookmarkStart w:id="641" w:name="_Toc207007317"/>
      <w:bookmarkStart w:id="642" w:name="_Toc454484868"/>
      <w:bookmarkStart w:id="643" w:name="_Toc75510480"/>
      <w:bookmarkStart w:id="644" w:name="_Toc111281845"/>
      <w:r>
        <w:rPr>
          <w:rFonts w:eastAsia="楷体_GB2312"/>
          <w:b/>
        </w:rPr>
        <w:t>信息</w:t>
      </w:r>
      <w:bookmarkStart w:id="645" w:name="_Toc92612950"/>
      <w:r>
        <w:rPr>
          <w:rFonts w:eastAsia="楷体_GB2312"/>
          <w:b/>
        </w:rPr>
        <w:t>披露</w:t>
      </w:r>
      <w:bookmarkEnd w:id="635"/>
      <w:bookmarkEnd w:id="636"/>
      <w:bookmarkEnd w:id="637"/>
      <w:bookmarkEnd w:id="638"/>
      <w:bookmarkEnd w:id="639"/>
      <w:bookmarkEnd w:id="640"/>
      <w:bookmarkEnd w:id="641"/>
      <w:bookmarkEnd w:id="642"/>
      <w:bookmarkEnd w:id="643"/>
      <w:bookmarkEnd w:id="644"/>
    </w:p>
    <w:p w14:paraId="5DE8530E">
      <w:pPr>
        <w:pStyle w:val="40"/>
        <w:tabs>
          <w:tab w:val="left" w:pos="425"/>
        </w:tabs>
        <w:spacing w:line="360" w:lineRule="auto"/>
        <w:ind w:left="425" w:firstLine="0" w:firstLineChars="0"/>
        <w:jc w:val="both"/>
        <w:rPr>
          <w:rFonts w:eastAsia="楷体_GB2312"/>
          <w:b/>
          <w:bCs/>
          <w:i/>
          <w:iCs/>
          <w:color w:val="FF0000"/>
          <w:kern w:val="2"/>
        </w:rPr>
      </w:pPr>
      <w:r>
        <w:rPr>
          <w:rFonts w:eastAsia="楷体_GB2312"/>
          <w:b/>
          <w:bCs/>
          <w:i/>
          <w:iCs/>
          <w:color w:val="FF0000"/>
          <w:kern w:val="2"/>
        </w:rPr>
        <w:t>【注：对信息披露方式的约定应根据届时适用的信息披露规则进行调整。】</w:t>
      </w:r>
    </w:p>
    <w:bookmarkEnd w:id="645"/>
    <w:p w14:paraId="34C737AC">
      <w:pPr>
        <w:tabs>
          <w:tab w:val="left" w:pos="1571"/>
        </w:tabs>
        <w:spacing w:line="360" w:lineRule="auto"/>
        <w:ind w:left="1620" w:hanging="769"/>
        <w:jc w:val="both"/>
        <w:rPr>
          <w:rFonts w:eastAsia="楷体_GB2312"/>
          <w:b/>
        </w:rPr>
      </w:pPr>
    </w:p>
    <w:p w14:paraId="59AF976D">
      <w:pPr>
        <w:widowControl w:val="0"/>
        <w:numPr>
          <w:ilvl w:val="1"/>
          <w:numId w:val="8"/>
        </w:numPr>
        <w:tabs>
          <w:tab w:val="left" w:pos="1800"/>
          <w:tab w:val="left" w:pos="1980"/>
        </w:tabs>
        <w:spacing w:line="360" w:lineRule="auto"/>
        <w:jc w:val="both"/>
        <w:rPr>
          <w:rFonts w:eastAsia="楷体_GB2312"/>
          <w:lang w:eastAsia="zh-CN"/>
        </w:rPr>
      </w:pPr>
      <w:bookmarkStart w:id="646" w:name="_Ref111698061"/>
      <w:r>
        <w:rPr>
          <w:rFonts w:eastAsia="楷体_GB2312"/>
          <w:lang w:eastAsia="zh-CN"/>
        </w:rPr>
        <w:t>“受托人”应通过“交易商协会”综合业务和信息服务平台、中国货币网、中国债券信息网、“北金所”官方网站及“交易商协会”认可的其他方式进行相关的信息披露。“受托人”应保证信息披露真实、准确和完整，不得有虚假记载、误导性陈述和重大遗漏。</w:t>
      </w:r>
      <w:bookmarkEnd w:id="646"/>
    </w:p>
    <w:p w14:paraId="4051178D">
      <w:pPr>
        <w:spacing w:line="360" w:lineRule="auto"/>
        <w:jc w:val="both"/>
        <w:rPr>
          <w:rFonts w:eastAsia="楷体_GB2312"/>
          <w:lang w:eastAsia="zh-CN"/>
        </w:rPr>
      </w:pPr>
    </w:p>
    <w:p w14:paraId="020145BB">
      <w:pPr>
        <w:widowControl w:val="0"/>
        <w:numPr>
          <w:ilvl w:val="1"/>
          <w:numId w:val="8"/>
        </w:numPr>
        <w:tabs>
          <w:tab w:val="left" w:pos="1800"/>
          <w:tab w:val="left" w:pos="1980"/>
        </w:tabs>
        <w:spacing w:line="360" w:lineRule="auto"/>
        <w:jc w:val="both"/>
        <w:rPr>
          <w:rFonts w:eastAsia="楷体_GB2312"/>
          <w:lang w:eastAsia="zh-CN"/>
        </w:rPr>
      </w:pPr>
      <w:r>
        <w:rPr>
          <w:rFonts w:eastAsia="楷体_GB2312"/>
          <w:lang w:eastAsia="zh-CN"/>
        </w:rPr>
        <w:t>“委托人”和接受“受托人”委托提供相关服务的机构应按照本合同和相关合同的约定，及时向“受托人”提供有关信息报告，并保证其向“受托人”所提供信息真实、准确和完整。</w:t>
      </w:r>
    </w:p>
    <w:p w14:paraId="05DCD1AE">
      <w:pPr>
        <w:tabs>
          <w:tab w:val="left" w:pos="1800"/>
          <w:tab w:val="left" w:pos="1980"/>
        </w:tabs>
        <w:spacing w:line="360" w:lineRule="auto"/>
        <w:ind w:left="1080"/>
        <w:jc w:val="both"/>
        <w:rPr>
          <w:rFonts w:eastAsia="楷体_GB2312"/>
          <w:lang w:eastAsia="zh-CN"/>
        </w:rPr>
      </w:pPr>
    </w:p>
    <w:p w14:paraId="0364C347">
      <w:pPr>
        <w:widowControl w:val="0"/>
        <w:numPr>
          <w:ilvl w:val="1"/>
          <w:numId w:val="8"/>
        </w:numPr>
        <w:tabs>
          <w:tab w:val="left" w:pos="1800"/>
          <w:tab w:val="left" w:pos="1980"/>
        </w:tabs>
        <w:spacing w:line="360" w:lineRule="auto"/>
        <w:jc w:val="both"/>
        <w:rPr>
          <w:rFonts w:eastAsia="楷体_GB2312"/>
          <w:lang w:eastAsia="zh-CN"/>
        </w:rPr>
      </w:pPr>
      <w:r>
        <w:rPr>
          <w:rFonts w:eastAsia="楷体_GB2312"/>
          <w:lang w:eastAsia="zh-CN"/>
        </w:rPr>
        <w:t>“委托人”、“受托人”等相关知情人在信息披露前不得泄露拟披露的信息。</w:t>
      </w:r>
    </w:p>
    <w:p w14:paraId="4BA434B4">
      <w:pPr>
        <w:tabs>
          <w:tab w:val="left" w:pos="1800"/>
          <w:tab w:val="left" w:pos="1980"/>
        </w:tabs>
        <w:spacing w:line="360" w:lineRule="auto"/>
        <w:ind w:left="1080"/>
        <w:jc w:val="both"/>
        <w:rPr>
          <w:rFonts w:eastAsia="楷体_GB2312"/>
          <w:lang w:eastAsia="zh-CN"/>
        </w:rPr>
      </w:pPr>
    </w:p>
    <w:p w14:paraId="7586B7A1">
      <w:pPr>
        <w:widowControl w:val="0"/>
        <w:numPr>
          <w:ilvl w:val="1"/>
          <w:numId w:val="8"/>
        </w:numPr>
        <w:tabs>
          <w:tab w:val="left" w:pos="1800"/>
          <w:tab w:val="left" w:pos="1980"/>
        </w:tabs>
        <w:spacing w:line="360" w:lineRule="auto"/>
        <w:jc w:val="both"/>
        <w:rPr>
          <w:rFonts w:eastAsia="楷体_GB2312"/>
          <w:lang w:eastAsia="zh-CN"/>
        </w:rPr>
      </w:pPr>
      <w:r>
        <w:rPr>
          <w:rFonts w:eastAsia="楷体_GB2312"/>
          <w:lang w:eastAsia="zh-CN"/>
        </w:rPr>
        <w:t>“受托人”应于每个“受托机构报告日”向</w:t>
      </w:r>
      <w:r>
        <w:rPr>
          <w:rFonts w:eastAsia="楷体_GB2312"/>
          <w:color w:val="000000"/>
        </w:rPr>
        <w:t>“交易商协会”综合业务和信息服务平台、中国货币网、中国债券信息网、“北金所”官方网站及“交易商协会”认可的其他方式</w:t>
      </w:r>
      <w:r>
        <w:rPr>
          <w:rFonts w:eastAsia="楷体_GB2312"/>
          <w:lang w:eastAsia="zh-CN"/>
        </w:rPr>
        <w:t>提供“受托机构报告”（格式见本合同</w:t>
      </w:r>
      <w:r>
        <w:rPr>
          <w:rFonts w:eastAsia="楷体_GB2312"/>
          <w:b/>
          <w:i/>
          <w:lang w:eastAsia="zh-CN"/>
        </w:rPr>
        <w:t>附件九</w:t>
      </w:r>
      <w:r>
        <w:rPr>
          <w:rFonts w:eastAsia="楷体_GB2312"/>
          <w:lang w:eastAsia="zh-CN"/>
        </w:rPr>
        <w:t>），反映当期“资产支持证券”对应的“信托财产”状况和各级别“资产支持证券”对应的本息支付信息。</w:t>
      </w:r>
    </w:p>
    <w:p w14:paraId="4C3F976B">
      <w:pPr>
        <w:tabs>
          <w:tab w:val="left" w:pos="1800"/>
          <w:tab w:val="left" w:pos="1980"/>
        </w:tabs>
        <w:spacing w:line="360" w:lineRule="auto"/>
        <w:ind w:left="1080"/>
        <w:jc w:val="both"/>
        <w:rPr>
          <w:rFonts w:eastAsia="楷体_GB2312"/>
          <w:lang w:eastAsia="zh-CN"/>
        </w:rPr>
      </w:pPr>
    </w:p>
    <w:p w14:paraId="3EA0CE7F">
      <w:pPr>
        <w:widowControl w:val="0"/>
        <w:numPr>
          <w:ilvl w:val="1"/>
          <w:numId w:val="8"/>
        </w:numPr>
        <w:tabs>
          <w:tab w:val="left" w:pos="1800"/>
          <w:tab w:val="left" w:pos="1980"/>
        </w:tabs>
        <w:spacing w:line="360" w:lineRule="auto"/>
        <w:jc w:val="both"/>
        <w:rPr>
          <w:rFonts w:eastAsia="楷体_GB2312"/>
          <w:lang w:eastAsia="zh-CN"/>
        </w:rPr>
      </w:pPr>
      <w:r>
        <w:rPr>
          <w:rFonts w:eastAsia="楷体_GB2312"/>
          <w:lang w:eastAsia="zh-CN"/>
        </w:rPr>
        <w:t>在每年4月30日前，“受托人”公布经“审计师”审计的上年度的“受托机构报告”。为出具审计报告，“审计师”有权查阅、审计“受托人”、“贷款服务机构”、“资金保管机构”的相关账目、文件等与“信托”相关的资料；“受托人”、“贷款服务机构”、“资金保管机构”应</w:t>
      </w:r>
      <w:r>
        <w:rPr>
          <w:rFonts w:hint="eastAsia" w:eastAsia="楷体_GB2312"/>
          <w:lang w:eastAsia="zh-CN"/>
        </w:rPr>
        <w:t>给予</w:t>
      </w:r>
      <w:r>
        <w:rPr>
          <w:rFonts w:eastAsia="楷体_GB2312"/>
          <w:lang w:eastAsia="zh-CN"/>
        </w:rPr>
        <w:t>配合。</w:t>
      </w:r>
    </w:p>
    <w:p w14:paraId="3A1EA3D2">
      <w:pPr>
        <w:tabs>
          <w:tab w:val="left" w:pos="1800"/>
          <w:tab w:val="left" w:pos="1980"/>
        </w:tabs>
        <w:spacing w:line="360" w:lineRule="auto"/>
        <w:ind w:left="1080"/>
        <w:jc w:val="both"/>
        <w:rPr>
          <w:rFonts w:eastAsia="楷体_GB2312"/>
          <w:lang w:eastAsia="zh-CN"/>
        </w:rPr>
      </w:pPr>
    </w:p>
    <w:p w14:paraId="447F8648">
      <w:pPr>
        <w:widowControl w:val="0"/>
        <w:numPr>
          <w:ilvl w:val="1"/>
          <w:numId w:val="8"/>
        </w:numPr>
        <w:tabs>
          <w:tab w:val="left" w:pos="1800"/>
          <w:tab w:val="left" w:pos="1980"/>
        </w:tabs>
        <w:spacing w:line="360" w:lineRule="auto"/>
        <w:jc w:val="both"/>
        <w:rPr>
          <w:rFonts w:eastAsia="楷体_GB2312"/>
          <w:lang w:eastAsia="zh-CN"/>
        </w:rPr>
      </w:pPr>
      <w:r>
        <w:rPr>
          <w:rFonts w:eastAsia="楷体_GB2312"/>
          <w:lang w:eastAsia="zh-CN"/>
        </w:rPr>
        <w:t>“受托人”应与“评级机构”就“优先级资产支持证券”跟踪评级的有关安排作出约定，并应于“优先级资产支持证券”存续期限内每年的7月31日前向“资产支持证券持有人”披露上年度的跟踪评级报告。“受托人”应于每个“受托机构报告日”向“评级机构”提供“受托机构报告”，如发生“特别决议事项”或以下第</w:t>
      </w:r>
      <w:r>
        <w:rPr>
          <w:rFonts w:eastAsia="楷体_GB2312"/>
        </w:rPr>
        <w:fldChar w:fldCharType="begin"/>
      </w:r>
      <w:r>
        <w:rPr>
          <w:rFonts w:eastAsia="楷体_GB2312"/>
          <w:lang w:eastAsia="zh-CN"/>
        </w:rPr>
        <w:instrText xml:space="preserve"> REF _Ref207007513 \r \h  \* MERGEFORMAT </w:instrText>
      </w:r>
      <w:r>
        <w:rPr>
          <w:rFonts w:eastAsia="楷体_GB2312"/>
        </w:rPr>
        <w:fldChar w:fldCharType="separate"/>
      </w:r>
      <w:r>
        <w:rPr>
          <w:rFonts w:eastAsia="楷体_GB2312"/>
          <w:lang w:eastAsia="zh-CN"/>
        </w:rPr>
        <w:t>21.7</w:t>
      </w:r>
      <w:r>
        <w:rPr>
          <w:rFonts w:eastAsia="楷体_GB2312"/>
        </w:rPr>
        <w:fldChar w:fldCharType="end"/>
      </w:r>
      <w:r>
        <w:rPr>
          <w:rFonts w:eastAsia="楷体_GB2312"/>
          <w:lang w:eastAsia="zh-CN"/>
        </w:rPr>
        <w:t>款所称临时性重大事件时，“受托人”应在知道或者应当知道事件</w:t>
      </w:r>
      <w:r>
        <w:rPr>
          <w:rFonts w:hint="eastAsia" w:eastAsia="楷体_GB2312"/>
          <w:lang w:eastAsia="zh-CN"/>
        </w:rPr>
        <w:t>发生</w:t>
      </w:r>
      <w:r>
        <w:rPr>
          <w:rFonts w:eastAsia="楷体_GB2312"/>
          <w:lang w:eastAsia="zh-CN"/>
        </w:rPr>
        <w:t>后的【】个“工作日”内通知“评级机构”。</w:t>
      </w:r>
    </w:p>
    <w:p w14:paraId="6B4F4D92">
      <w:pPr>
        <w:tabs>
          <w:tab w:val="left" w:pos="1800"/>
          <w:tab w:val="left" w:pos="1980"/>
        </w:tabs>
        <w:spacing w:line="360" w:lineRule="auto"/>
        <w:jc w:val="both"/>
        <w:rPr>
          <w:rFonts w:eastAsia="楷体_GB2312"/>
          <w:lang w:eastAsia="zh-CN"/>
        </w:rPr>
      </w:pPr>
    </w:p>
    <w:p w14:paraId="5C5FDCF0">
      <w:pPr>
        <w:widowControl w:val="0"/>
        <w:numPr>
          <w:ilvl w:val="1"/>
          <w:numId w:val="8"/>
        </w:numPr>
        <w:tabs>
          <w:tab w:val="left" w:pos="1800"/>
          <w:tab w:val="left" w:pos="1980"/>
        </w:tabs>
        <w:spacing w:line="360" w:lineRule="auto"/>
        <w:jc w:val="both"/>
        <w:rPr>
          <w:rFonts w:eastAsia="楷体_GB2312"/>
          <w:lang w:eastAsia="zh-CN"/>
        </w:rPr>
      </w:pPr>
      <w:bookmarkStart w:id="647" w:name="_Ref207007513"/>
      <w:r>
        <w:rPr>
          <w:rFonts w:eastAsia="楷体_GB2312"/>
          <w:lang w:eastAsia="zh-CN"/>
        </w:rPr>
        <w:t>在发生对“信托财产”价值具有实质性影响的临时性重大事件时，“受托人”应在知道或者应当知道事件</w:t>
      </w:r>
      <w:r>
        <w:rPr>
          <w:rFonts w:hint="eastAsia" w:eastAsia="楷体_GB2312"/>
          <w:lang w:eastAsia="zh-CN"/>
        </w:rPr>
        <w:t>发生</w:t>
      </w:r>
      <w:r>
        <w:rPr>
          <w:rFonts w:eastAsia="楷体_GB2312"/>
          <w:lang w:eastAsia="zh-CN"/>
        </w:rPr>
        <w:t>后的【】个“工作日”内向“同业拆借中心”和“登记托管机构”提交信息披露材料，并向“人民银行”、“金融监管总局”和“交易商协会”报告。本条所称临时性重大事件包括但不限于以下情形：</w:t>
      </w:r>
      <w:bookmarkEnd w:id="647"/>
    </w:p>
    <w:p w14:paraId="64ABC99D">
      <w:pPr>
        <w:tabs>
          <w:tab w:val="left" w:pos="1800"/>
          <w:tab w:val="left" w:pos="1980"/>
        </w:tabs>
        <w:spacing w:line="360" w:lineRule="auto"/>
        <w:ind w:left="1080"/>
        <w:jc w:val="both"/>
        <w:rPr>
          <w:rFonts w:eastAsia="楷体_GB2312"/>
          <w:lang w:eastAsia="zh-CN"/>
        </w:rPr>
      </w:pPr>
    </w:p>
    <w:p w14:paraId="2D62717D">
      <w:pPr>
        <w:widowControl w:val="0"/>
        <w:numPr>
          <w:ilvl w:val="0"/>
          <w:numId w:val="39"/>
        </w:numPr>
        <w:spacing w:line="360" w:lineRule="auto"/>
        <w:ind w:left="996" w:leftChars="415"/>
        <w:jc w:val="both"/>
        <w:rPr>
          <w:rFonts w:eastAsia="楷体_GB2312"/>
          <w:lang w:eastAsia="zh-CN"/>
        </w:rPr>
      </w:pPr>
      <w:r>
        <w:rPr>
          <w:rFonts w:eastAsia="楷体_GB2312"/>
          <w:lang w:eastAsia="zh-CN"/>
        </w:rPr>
        <w:t>“受托人”不能或预期不能按时支付“优先级资产支持证券”的当期本息；</w:t>
      </w:r>
    </w:p>
    <w:p w14:paraId="34A8A001">
      <w:pPr>
        <w:widowControl w:val="0"/>
        <w:spacing w:line="360" w:lineRule="auto"/>
        <w:ind w:left="996" w:leftChars="415"/>
        <w:jc w:val="both"/>
        <w:rPr>
          <w:rFonts w:eastAsia="楷体_GB2312"/>
          <w:lang w:eastAsia="zh-CN"/>
        </w:rPr>
      </w:pPr>
    </w:p>
    <w:p w14:paraId="440F06CD">
      <w:pPr>
        <w:widowControl w:val="0"/>
        <w:numPr>
          <w:ilvl w:val="0"/>
          <w:numId w:val="39"/>
        </w:numPr>
        <w:spacing w:line="360" w:lineRule="auto"/>
        <w:ind w:left="996" w:leftChars="415"/>
        <w:jc w:val="both"/>
        <w:rPr>
          <w:rFonts w:eastAsia="楷体_GB2312"/>
          <w:lang w:eastAsia="zh-CN"/>
        </w:rPr>
      </w:pPr>
      <w:r>
        <w:rPr>
          <w:rFonts w:eastAsia="楷体_GB2312"/>
          <w:lang w:eastAsia="zh-CN"/>
        </w:rPr>
        <w:t>发生任何“违约事件”、“贷款服务机构解任事件”、“受托人解任事件”、“加速清偿事件”或“权利完善事件”之(a)至(d)项；</w:t>
      </w:r>
    </w:p>
    <w:p w14:paraId="0F84C868">
      <w:pPr>
        <w:pStyle w:val="40"/>
        <w:spacing w:line="360" w:lineRule="auto"/>
        <w:ind w:left="996" w:leftChars="415" w:firstLine="480"/>
        <w:jc w:val="both"/>
        <w:rPr>
          <w:rFonts w:eastAsia="楷体_GB2312"/>
          <w:lang w:eastAsia="zh-CN"/>
        </w:rPr>
      </w:pPr>
    </w:p>
    <w:p w14:paraId="740900C4">
      <w:pPr>
        <w:widowControl w:val="0"/>
        <w:numPr>
          <w:ilvl w:val="0"/>
          <w:numId w:val="39"/>
        </w:numPr>
        <w:spacing w:line="360" w:lineRule="auto"/>
        <w:ind w:left="996" w:leftChars="415"/>
        <w:jc w:val="both"/>
        <w:rPr>
          <w:rFonts w:eastAsia="楷体_GB2312"/>
          <w:lang w:eastAsia="zh-CN"/>
        </w:rPr>
      </w:pPr>
      <w:r>
        <w:rPr>
          <w:rFonts w:eastAsia="楷体_GB2312"/>
          <w:lang w:eastAsia="zh-CN"/>
        </w:rPr>
        <w:t>“受托人”、“贷款服务机构”或“资金保管机构”等为证券化提供服务的机构发生变更；</w:t>
      </w:r>
    </w:p>
    <w:p w14:paraId="186F47E1">
      <w:pPr>
        <w:pStyle w:val="40"/>
        <w:spacing w:line="360" w:lineRule="auto"/>
        <w:ind w:left="996" w:leftChars="415" w:firstLine="480"/>
        <w:jc w:val="both"/>
        <w:rPr>
          <w:rFonts w:eastAsia="楷体_GB2312"/>
          <w:lang w:eastAsia="zh-CN"/>
        </w:rPr>
      </w:pPr>
    </w:p>
    <w:p w14:paraId="00255324">
      <w:pPr>
        <w:widowControl w:val="0"/>
        <w:numPr>
          <w:ilvl w:val="0"/>
          <w:numId w:val="39"/>
        </w:numPr>
        <w:spacing w:line="360" w:lineRule="auto"/>
        <w:ind w:left="996" w:leftChars="415"/>
        <w:jc w:val="both"/>
        <w:rPr>
          <w:rFonts w:eastAsia="楷体_GB2312"/>
          <w:lang w:eastAsia="zh-CN"/>
        </w:rPr>
      </w:pPr>
      <w:r>
        <w:rPr>
          <w:rFonts w:eastAsia="楷体_GB2312"/>
          <w:lang w:eastAsia="zh-CN"/>
        </w:rPr>
        <w:t>“受托人”和“贷款服务机构”或“资金保管机构”出现违法、违规或违约行为，可能对“优先级资产支持证券持有人”造成“重大不利影响”；</w:t>
      </w:r>
    </w:p>
    <w:p w14:paraId="32F33BBC">
      <w:pPr>
        <w:widowControl w:val="0"/>
        <w:spacing w:line="360" w:lineRule="auto"/>
        <w:ind w:left="996" w:leftChars="415"/>
        <w:jc w:val="both"/>
        <w:rPr>
          <w:rFonts w:eastAsia="楷体_GB2312"/>
          <w:lang w:eastAsia="zh-CN"/>
        </w:rPr>
      </w:pPr>
    </w:p>
    <w:p w14:paraId="384762DB">
      <w:pPr>
        <w:widowControl w:val="0"/>
        <w:numPr>
          <w:ilvl w:val="0"/>
          <w:numId w:val="39"/>
        </w:numPr>
        <w:spacing w:line="360" w:lineRule="auto"/>
        <w:ind w:left="996" w:leftChars="415"/>
        <w:jc w:val="both"/>
        <w:rPr>
          <w:rFonts w:eastAsia="楷体_GB2312"/>
          <w:lang w:eastAsia="zh-CN"/>
        </w:rPr>
      </w:pPr>
      <w:r>
        <w:rPr>
          <w:rFonts w:eastAsia="楷体_GB2312"/>
          <w:lang w:eastAsia="zh-CN"/>
        </w:rPr>
        <w:t>“优先级资产支持证券”的信用评级发生变化；</w:t>
      </w:r>
    </w:p>
    <w:p w14:paraId="25A83F55">
      <w:pPr>
        <w:widowControl w:val="0"/>
        <w:spacing w:line="360" w:lineRule="auto"/>
        <w:ind w:left="996" w:leftChars="415"/>
        <w:jc w:val="both"/>
        <w:rPr>
          <w:rFonts w:eastAsia="楷体_GB2312"/>
          <w:lang w:eastAsia="zh-CN"/>
        </w:rPr>
      </w:pPr>
    </w:p>
    <w:p w14:paraId="42925634">
      <w:pPr>
        <w:widowControl w:val="0"/>
        <w:numPr>
          <w:ilvl w:val="0"/>
          <w:numId w:val="39"/>
        </w:numPr>
        <w:spacing w:line="360" w:lineRule="auto"/>
        <w:ind w:left="996" w:leftChars="415"/>
        <w:jc w:val="both"/>
        <w:rPr>
          <w:rFonts w:eastAsia="楷体_GB2312"/>
          <w:lang w:eastAsia="zh-CN"/>
        </w:rPr>
      </w:pPr>
      <w:r>
        <w:rPr>
          <w:rFonts w:eastAsia="楷体_GB2312"/>
          <w:lang w:eastAsia="zh-CN"/>
        </w:rPr>
        <w:t>“受托人”、“发起机构”、“贷款服务机构”或“资金保管机构”等为证券化提供服务的机构的经营情况发生重大变化，或者作出减资、合并、分立、解散、申请破产等决定，可能降低其从事证券化业务水平，对“资产支持证券持有人”的利益造成“重大不利影响”；</w:t>
      </w:r>
    </w:p>
    <w:p w14:paraId="0301D6D2">
      <w:pPr>
        <w:widowControl w:val="0"/>
        <w:spacing w:line="360" w:lineRule="auto"/>
        <w:ind w:left="996" w:leftChars="415"/>
        <w:jc w:val="both"/>
        <w:rPr>
          <w:rFonts w:eastAsia="楷体_GB2312"/>
          <w:lang w:eastAsia="zh-CN"/>
        </w:rPr>
      </w:pPr>
    </w:p>
    <w:p w14:paraId="789AE62A">
      <w:pPr>
        <w:widowControl w:val="0"/>
        <w:numPr>
          <w:ilvl w:val="0"/>
          <w:numId w:val="39"/>
        </w:numPr>
        <w:spacing w:line="360" w:lineRule="auto"/>
        <w:ind w:left="996" w:leftChars="415"/>
        <w:jc w:val="both"/>
        <w:rPr>
          <w:rFonts w:eastAsia="楷体_GB2312"/>
          <w:lang w:eastAsia="zh-CN"/>
        </w:rPr>
      </w:pPr>
      <w:r>
        <w:rPr>
          <w:rFonts w:eastAsia="楷体_GB2312"/>
          <w:lang w:eastAsia="zh-CN"/>
        </w:rPr>
        <w:t>“交易商协会”、“人民银行”、“金融监管总局”等“监管部门”规定应公告的其他事项；</w:t>
      </w:r>
    </w:p>
    <w:p w14:paraId="697CDC15">
      <w:pPr>
        <w:widowControl w:val="0"/>
        <w:spacing w:line="360" w:lineRule="auto"/>
        <w:ind w:left="996" w:leftChars="415"/>
        <w:jc w:val="both"/>
        <w:rPr>
          <w:rFonts w:eastAsia="楷体_GB2312"/>
          <w:lang w:eastAsia="zh-CN"/>
        </w:rPr>
      </w:pPr>
    </w:p>
    <w:p w14:paraId="76140816">
      <w:pPr>
        <w:widowControl w:val="0"/>
        <w:numPr>
          <w:ilvl w:val="0"/>
          <w:numId w:val="39"/>
        </w:numPr>
        <w:spacing w:line="360" w:lineRule="auto"/>
        <w:ind w:left="996" w:leftChars="415"/>
        <w:jc w:val="both"/>
        <w:rPr>
          <w:rFonts w:eastAsia="楷体_GB2312"/>
          <w:lang w:eastAsia="zh-CN"/>
        </w:rPr>
      </w:pPr>
      <w:r>
        <w:rPr>
          <w:rFonts w:eastAsia="楷体_GB2312"/>
          <w:lang w:eastAsia="zh-CN"/>
        </w:rPr>
        <w:t>“中国”“法律”规定应公告的其他事项。</w:t>
      </w:r>
    </w:p>
    <w:p w14:paraId="79873ADC">
      <w:pPr>
        <w:widowControl w:val="0"/>
        <w:spacing w:line="360" w:lineRule="auto"/>
        <w:ind w:left="1838"/>
        <w:jc w:val="both"/>
        <w:rPr>
          <w:rFonts w:eastAsia="楷体_GB2312"/>
          <w:b/>
          <w:lang w:eastAsia="zh-CN"/>
        </w:rPr>
      </w:pPr>
      <w:bookmarkStart w:id="648" w:name="_Toc120277284"/>
      <w:bookmarkEnd w:id="648"/>
      <w:bookmarkStart w:id="649" w:name="_Toc120277373"/>
      <w:bookmarkEnd w:id="649"/>
      <w:bookmarkStart w:id="650" w:name="_Toc120275202"/>
      <w:bookmarkEnd w:id="650"/>
      <w:bookmarkStart w:id="651" w:name="_Toc150895755"/>
      <w:bookmarkEnd w:id="651"/>
      <w:bookmarkStart w:id="652" w:name="_Toc120276605"/>
      <w:bookmarkEnd w:id="652"/>
      <w:bookmarkStart w:id="653" w:name="_Toc120275203"/>
      <w:bookmarkEnd w:id="653"/>
      <w:bookmarkStart w:id="654" w:name="_Toc120277374"/>
      <w:bookmarkEnd w:id="654"/>
      <w:bookmarkStart w:id="655" w:name="_Toc120277538"/>
      <w:bookmarkEnd w:id="655"/>
      <w:bookmarkStart w:id="656" w:name="_Toc120277539"/>
      <w:bookmarkEnd w:id="656"/>
      <w:bookmarkStart w:id="657" w:name="_Toc120276606"/>
      <w:bookmarkEnd w:id="657"/>
      <w:bookmarkStart w:id="658" w:name="_Toc120277285"/>
      <w:bookmarkEnd w:id="658"/>
    </w:p>
    <w:p w14:paraId="53EA0853">
      <w:pPr>
        <w:widowControl w:val="0"/>
        <w:numPr>
          <w:ilvl w:val="0"/>
          <w:numId w:val="8"/>
        </w:numPr>
        <w:spacing w:line="360" w:lineRule="auto"/>
        <w:jc w:val="both"/>
        <w:outlineLvl w:val="0"/>
        <w:rPr>
          <w:rFonts w:eastAsia="楷体_GB2312"/>
          <w:b/>
        </w:rPr>
      </w:pPr>
      <w:bookmarkStart w:id="659" w:name="_Toc166105882"/>
      <w:bookmarkStart w:id="660" w:name="_Toc201569467"/>
      <w:bookmarkStart w:id="661" w:name="_Toc207007318"/>
      <w:bookmarkStart w:id="662" w:name="_Toc227955296"/>
      <w:bookmarkStart w:id="663" w:name="_Ref57884060"/>
      <w:bookmarkStart w:id="664" w:name="_Toc69138599"/>
      <w:bookmarkStart w:id="665" w:name="_Ref201747591"/>
      <w:bookmarkStart w:id="666" w:name="_Toc110153479"/>
      <w:bookmarkStart w:id="667" w:name="_Toc454484869"/>
      <w:bookmarkStart w:id="668" w:name="_Toc75510481"/>
      <w:bookmarkStart w:id="669" w:name="_Toc111281854"/>
      <w:r>
        <w:rPr>
          <w:rFonts w:eastAsia="楷体_GB2312"/>
          <w:b/>
        </w:rPr>
        <w:t>保</w:t>
      </w:r>
      <w:bookmarkStart w:id="670" w:name="_Toc106417453"/>
      <w:bookmarkEnd w:id="670"/>
      <w:bookmarkStart w:id="671" w:name="_Toc106417450"/>
      <w:bookmarkEnd w:id="671"/>
      <w:bookmarkStart w:id="672" w:name="_Toc106417447"/>
      <w:bookmarkEnd w:id="672"/>
      <w:bookmarkStart w:id="673" w:name="_Toc106417448"/>
      <w:bookmarkEnd w:id="673"/>
      <w:bookmarkStart w:id="674" w:name="_Toc106417451"/>
      <w:bookmarkEnd w:id="674"/>
      <w:bookmarkStart w:id="675" w:name="_Toc106417449"/>
      <w:bookmarkEnd w:id="675"/>
      <w:r>
        <w:rPr>
          <w:rFonts w:eastAsia="楷体_GB2312"/>
          <w:b/>
        </w:rPr>
        <w:t>密</w:t>
      </w:r>
      <w:bookmarkStart w:id="676" w:name="_Toc92612961"/>
      <w:r>
        <w:rPr>
          <w:rFonts w:eastAsia="楷体_GB2312"/>
          <w:b/>
        </w:rPr>
        <w:t>条款</w:t>
      </w:r>
      <w:bookmarkEnd w:id="659"/>
      <w:bookmarkEnd w:id="660"/>
      <w:bookmarkEnd w:id="661"/>
      <w:bookmarkEnd w:id="662"/>
      <w:bookmarkEnd w:id="663"/>
      <w:bookmarkEnd w:id="664"/>
      <w:bookmarkEnd w:id="665"/>
      <w:bookmarkEnd w:id="666"/>
      <w:bookmarkEnd w:id="667"/>
      <w:bookmarkEnd w:id="668"/>
      <w:bookmarkEnd w:id="669"/>
    </w:p>
    <w:p w14:paraId="544E427A">
      <w:pPr>
        <w:widowControl w:val="0"/>
        <w:spacing w:line="360" w:lineRule="auto"/>
        <w:ind w:left="425"/>
        <w:jc w:val="both"/>
        <w:rPr>
          <w:rFonts w:eastAsia="楷体_GB2312"/>
          <w:b/>
        </w:rPr>
      </w:pPr>
    </w:p>
    <w:bookmarkEnd w:id="676"/>
    <w:p w14:paraId="5959127E">
      <w:pPr>
        <w:widowControl w:val="0"/>
        <w:numPr>
          <w:ilvl w:val="1"/>
          <w:numId w:val="8"/>
        </w:numPr>
        <w:spacing w:line="360" w:lineRule="auto"/>
        <w:jc w:val="both"/>
        <w:rPr>
          <w:rFonts w:eastAsia="楷体_GB2312"/>
          <w:lang w:eastAsia="zh-CN"/>
        </w:rPr>
      </w:pPr>
      <w:bookmarkStart w:id="677" w:name="_Ref306888644"/>
      <w:bookmarkStart w:id="678" w:name="_Toc201569468"/>
      <w:bookmarkStart w:id="679" w:name="_Toc110153480"/>
      <w:bookmarkStart w:id="680" w:name="_Ref107894767"/>
      <w:r>
        <w:rPr>
          <w:rFonts w:eastAsia="楷体_GB2312"/>
          <w:lang w:eastAsia="zh-CN"/>
        </w:rPr>
        <w:t>一方对与其他方的业务、财务或其他事项相关的具有保密性质的信息，以及因履行本合同或其他“交易文件”而获得的任何涉及“信托财产”或“借款人”、“共同借款人”（如有）的信息（包括但不限于“基础资产清单”、“账户记录”和“数据文件夹”中的“借款人”、“共同借款人”（如有）相关信息）（以下简称“保密信息”）负有保密义务。除其他有关保密协议另有</w:t>
      </w:r>
      <w:r>
        <w:rPr>
          <w:rFonts w:eastAsia="楷体_GB2312"/>
          <w:bCs/>
          <w:lang w:eastAsia="zh-CN"/>
        </w:rPr>
        <w:t>约</w:t>
      </w:r>
      <w:r>
        <w:rPr>
          <w:rFonts w:eastAsia="楷体_GB2312"/>
          <w:lang w:eastAsia="zh-CN"/>
        </w:rPr>
        <w:t>定外，接受或处理保密信息的一方应当：</w:t>
      </w:r>
      <w:bookmarkEnd w:id="677"/>
    </w:p>
    <w:p w14:paraId="49275340">
      <w:pPr>
        <w:widowControl w:val="0"/>
        <w:spacing w:line="360" w:lineRule="auto"/>
        <w:ind w:left="992"/>
        <w:jc w:val="both"/>
        <w:rPr>
          <w:rFonts w:eastAsia="楷体_GB2312"/>
          <w:lang w:eastAsia="zh-CN"/>
        </w:rPr>
      </w:pPr>
    </w:p>
    <w:p w14:paraId="04B1922C">
      <w:pPr>
        <w:widowControl w:val="0"/>
        <w:numPr>
          <w:ilvl w:val="0"/>
          <w:numId w:val="40"/>
        </w:numPr>
        <w:spacing w:line="360" w:lineRule="auto"/>
        <w:ind w:left="996" w:leftChars="415"/>
        <w:jc w:val="both"/>
        <w:rPr>
          <w:rFonts w:eastAsia="楷体_GB2312"/>
          <w:lang w:eastAsia="zh-CN"/>
        </w:rPr>
      </w:pPr>
      <w:r>
        <w:rPr>
          <w:rFonts w:eastAsia="楷体_GB2312"/>
          <w:lang w:eastAsia="zh-CN"/>
        </w:rPr>
        <w:t>对保密信息予以严格保密；</w:t>
      </w:r>
    </w:p>
    <w:p w14:paraId="2B41663F">
      <w:pPr>
        <w:pStyle w:val="50"/>
        <w:overflowPunct w:val="0"/>
        <w:spacing w:after="0" w:line="360" w:lineRule="auto"/>
        <w:ind w:left="630"/>
        <w:rPr>
          <w:rFonts w:eastAsia="楷体_GB2312"/>
          <w:lang w:eastAsia="zh-CN"/>
        </w:rPr>
      </w:pPr>
    </w:p>
    <w:p w14:paraId="06FC4493">
      <w:pPr>
        <w:widowControl w:val="0"/>
        <w:numPr>
          <w:ilvl w:val="0"/>
          <w:numId w:val="40"/>
        </w:numPr>
        <w:spacing w:line="360" w:lineRule="auto"/>
        <w:ind w:left="996" w:leftChars="415"/>
        <w:jc w:val="both"/>
        <w:rPr>
          <w:rFonts w:eastAsia="楷体_GB2312"/>
          <w:lang w:eastAsia="zh-CN"/>
        </w:rPr>
      </w:pPr>
      <w:r>
        <w:rPr>
          <w:rFonts w:eastAsia="楷体_GB2312"/>
          <w:lang w:eastAsia="zh-CN"/>
        </w:rPr>
        <w:t>未经披露方的书面同意，只能将所收到的保密信息用于本合同</w:t>
      </w:r>
      <w:r>
        <w:rPr>
          <w:rFonts w:eastAsia="楷体_GB2312"/>
          <w:bCs/>
          <w:lang w:eastAsia="zh-CN"/>
        </w:rPr>
        <w:t>约</w:t>
      </w:r>
      <w:r>
        <w:rPr>
          <w:rFonts w:eastAsia="楷体_GB2312"/>
          <w:lang w:eastAsia="zh-CN"/>
        </w:rPr>
        <w:t>定的目的，而不得用于其他任何目的或用途；</w:t>
      </w:r>
    </w:p>
    <w:p w14:paraId="16DF6C09">
      <w:pPr>
        <w:pStyle w:val="40"/>
        <w:spacing w:line="360" w:lineRule="auto"/>
        <w:ind w:firstLine="480"/>
        <w:jc w:val="both"/>
        <w:rPr>
          <w:rFonts w:eastAsia="楷体_GB2312"/>
          <w:lang w:eastAsia="zh-CN"/>
        </w:rPr>
      </w:pPr>
    </w:p>
    <w:p w14:paraId="14404454">
      <w:pPr>
        <w:widowControl w:val="0"/>
        <w:numPr>
          <w:ilvl w:val="0"/>
          <w:numId w:val="40"/>
        </w:numPr>
        <w:spacing w:line="360" w:lineRule="auto"/>
        <w:ind w:left="996" w:leftChars="415"/>
        <w:jc w:val="both"/>
        <w:rPr>
          <w:rFonts w:eastAsia="楷体_GB2312"/>
          <w:lang w:eastAsia="zh-CN"/>
        </w:rPr>
      </w:pPr>
      <w:r>
        <w:rPr>
          <w:rFonts w:eastAsia="楷体_GB2312"/>
          <w:lang w:eastAsia="zh-CN"/>
        </w:rPr>
        <w:t>除对履行其工作职责而需知道保密信息的本方雇员外，不向任何人或实体披露上述保密信息。</w:t>
      </w:r>
    </w:p>
    <w:p w14:paraId="008A00B1">
      <w:pPr>
        <w:widowControl w:val="0"/>
        <w:spacing w:line="360" w:lineRule="auto"/>
        <w:jc w:val="both"/>
        <w:rPr>
          <w:rFonts w:eastAsia="楷体_GB2312"/>
          <w:lang w:val="en-GB" w:eastAsia="zh-CN"/>
        </w:rPr>
      </w:pPr>
    </w:p>
    <w:p w14:paraId="4949464A">
      <w:pPr>
        <w:widowControl w:val="0"/>
        <w:numPr>
          <w:ilvl w:val="1"/>
          <w:numId w:val="8"/>
        </w:numPr>
        <w:spacing w:line="360" w:lineRule="auto"/>
        <w:jc w:val="both"/>
        <w:rPr>
          <w:rFonts w:eastAsia="楷体_GB2312"/>
          <w:lang w:eastAsia="zh-CN"/>
        </w:rPr>
      </w:pPr>
      <w:r>
        <w:rPr>
          <w:rFonts w:eastAsia="楷体_GB2312"/>
          <w:lang w:eastAsia="zh-CN"/>
        </w:rPr>
        <w:t>第</w:t>
      </w:r>
      <w:r>
        <w:rPr>
          <w:rFonts w:eastAsia="楷体_GB2312"/>
        </w:rPr>
        <w:fldChar w:fldCharType="begin"/>
      </w:r>
      <w:r>
        <w:rPr>
          <w:rFonts w:eastAsia="楷体_GB2312"/>
          <w:lang w:eastAsia="zh-CN"/>
        </w:rPr>
        <w:instrText xml:space="preserve"> REF _Ref306888644 \r \h  \* MERGEFORMAT </w:instrText>
      </w:r>
      <w:r>
        <w:rPr>
          <w:rFonts w:eastAsia="楷体_GB2312"/>
        </w:rPr>
        <w:fldChar w:fldCharType="separate"/>
      </w:r>
      <w:r>
        <w:rPr>
          <w:rFonts w:eastAsia="楷体_GB2312"/>
          <w:lang w:eastAsia="zh-CN"/>
        </w:rPr>
        <w:t>22.1</w:t>
      </w:r>
      <w:r>
        <w:rPr>
          <w:rFonts w:eastAsia="楷体_GB2312"/>
        </w:rPr>
        <w:fldChar w:fldCharType="end"/>
      </w:r>
      <w:r>
        <w:rPr>
          <w:rFonts w:eastAsia="楷体_GB2312"/>
          <w:lang w:eastAsia="zh-CN"/>
        </w:rPr>
        <w:t>款的</w:t>
      </w:r>
      <w:r>
        <w:rPr>
          <w:rFonts w:eastAsia="楷体_GB2312"/>
          <w:bCs/>
          <w:lang w:eastAsia="zh-CN"/>
        </w:rPr>
        <w:t>约</w:t>
      </w:r>
      <w:r>
        <w:rPr>
          <w:rFonts w:eastAsia="楷体_GB2312"/>
          <w:lang w:eastAsia="zh-CN"/>
        </w:rPr>
        <w:t>定不适用于下述资料及其相关信息：</w:t>
      </w:r>
    </w:p>
    <w:p w14:paraId="1B1A635F">
      <w:pPr>
        <w:spacing w:line="360" w:lineRule="auto"/>
        <w:ind w:left="485" w:leftChars="202"/>
        <w:jc w:val="both"/>
        <w:rPr>
          <w:rFonts w:eastAsia="楷体_GB2312"/>
          <w:lang w:eastAsia="zh-CN"/>
        </w:rPr>
      </w:pPr>
    </w:p>
    <w:p w14:paraId="5E62F453">
      <w:pPr>
        <w:widowControl w:val="0"/>
        <w:numPr>
          <w:ilvl w:val="0"/>
          <w:numId w:val="41"/>
        </w:numPr>
        <w:spacing w:line="360" w:lineRule="auto"/>
        <w:ind w:left="996" w:leftChars="415"/>
        <w:jc w:val="both"/>
        <w:rPr>
          <w:rFonts w:eastAsia="楷体_GB2312"/>
          <w:lang w:eastAsia="zh-CN"/>
        </w:rPr>
      </w:pPr>
      <w:bookmarkStart w:id="681" w:name="_DV_M580"/>
      <w:bookmarkEnd w:id="681"/>
      <w:bookmarkStart w:id="682" w:name="_DV_M582"/>
      <w:bookmarkEnd w:id="682"/>
      <w:bookmarkStart w:id="683" w:name="_DV_M581"/>
      <w:bookmarkEnd w:id="683"/>
      <w:r>
        <w:rPr>
          <w:rFonts w:eastAsia="楷体_GB2312"/>
          <w:lang w:eastAsia="zh-CN"/>
        </w:rPr>
        <w:t>有相关书面记录能够证明在披露方向接受方披露之前已为接受方所知的资料及其相关信息；</w:t>
      </w:r>
    </w:p>
    <w:p w14:paraId="1543F291">
      <w:pPr>
        <w:pStyle w:val="51"/>
        <w:spacing w:after="0" w:line="360" w:lineRule="auto"/>
        <w:ind w:left="1560"/>
        <w:rPr>
          <w:rFonts w:eastAsia="楷体_GB2312"/>
          <w:lang w:eastAsia="zh-CN"/>
        </w:rPr>
      </w:pPr>
    </w:p>
    <w:p w14:paraId="6ABD530E">
      <w:pPr>
        <w:widowControl w:val="0"/>
        <w:numPr>
          <w:ilvl w:val="0"/>
          <w:numId w:val="41"/>
        </w:numPr>
        <w:spacing w:line="360" w:lineRule="auto"/>
        <w:ind w:left="996" w:leftChars="415"/>
        <w:jc w:val="both"/>
        <w:rPr>
          <w:rFonts w:eastAsia="楷体_GB2312"/>
          <w:lang w:eastAsia="zh-CN"/>
        </w:rPr>
      </w:pPr>
      <w:bookmarkStart w:id="684" w:name="_DV_M583"/>
      <w:bookmarkEnd w:id="684"/>
      <w:r>
        <w:rPr>
          <w:rFonts w:eastAsia="楷体_GB2312"/>
          <w:lang w:eastAsia="zh-CN"/>
        </w:rPr>
        <w:t>非因一方的违约行为而成为公共信息的信息；</w:t>
      </w:r>
    </w:p>
    <w:p w14:paraId="7C282AA1">
      <w:pPr>
        <w:pStyle w:val="51"/>
        <w:spacing w:after="0" w:line="360" w:lineRule="auto"/>
        <w:rPr>
          <w:rFonts w:eastAsia="楷体_GB2312"/>
          <w:lang w:eastAsia="zh-CN"/>
        </w:rPr>
      </w:pPr>
    </w:p>
    <w:p w14:paraId="2BF86DEE">
      <w:pPr>
        <w:widowControl w:val="0"/>
        <w:numPr>
          <w:ilvl w:val="0"/>
          <w:numId w:val="41"/>
        </w:numPr>
        <w:spacing w:line="360" w:lineRule="auto"/>
        <w:ind w:left="996" w:leftChars="415"/>
        <w:jc w:val="both"/>
        <w:rPr>
          <w:rFonts w:eastAsia="楷体_GB2312"/>
          <w:lang w:eastAsia="zh-CN"/>
        </w:rPr>
      </w:pPr>
      <w:r>
        <w:rPr>
          <w:rFonts w:eastAsia="楷体_GB2312"/>
          <w:lang w:eastAsia="zh-CN"/>
        </w:rPr>
        <w:t>接受方从对该等资料和信息不承担任何保密义务的第三方获得的资料和信息；</w:t>
      </w:r>
    </w:p>
    <w:p w14:paraId="749E1EA5">
      <w:pPr>
        <w:pStyle w:val="51"/>
        <w:spacing w:after="0" w:line="360" w:lineRule="auto"/>
        <w:rPr>
          <w:rFonts w:eastAsia="楷体_GB2312"/>
          <w:lang w:eastAsia="zh-CN"/>
        </w:rPr>
      </w:pPr>
    </w:p>
    <w:p w14:paraId="710AA250">
      <w:pPr>
        <w:widowControl w:val="0"/>
        <w:numPr>
          <w:ilvl w:val="0"/>
          <w:numId w:val="41"/>
        </w:numPr>
        <w:spacing w:line="360" w:lineRule="auto"/>
        <w:ind w:left="996" w:leftChars="415"/>
        <w:jc w:val="both"/>
        <w:rPr>
          <w:rFonts w:eastAsia="楷体_GB2312"/>
          <w:lang w:eastAsia="zh-CN"/>
        </w:rPr>
      </w:pPr>
      <w:r>
        <w:rPr>
          <w:rFonts w:eastAsia="楷体_GB2312"/>
          <w:lang w:eastAsia="zh-CN"/>
        </w:rPr>
        <w:t>因履行信息披露义务而已向公众公布的文件中包含的资料和信息。</w:t>
      </w:r>
    </w:p>
    <w:p w14:paraId="4001D95D">
      <w:pPr>
        <w:pStyle w:val="51"/>
        <w:spacing w:after="0" w:line="360" w:lineRule="auto"/>
        <w:ind w:left="1224"/>
        <w:rPr>
          <w:rFonts w:eastAsia="楷体_GB2312"/>
          <w:lang w:eastAsia="zh-CN"/>
        </w:rPr>
      </w:pPr>
      <w:bookmarkStart w:id="685" w:name="_DV_M586"/>
      <w:bookmarkEnd w:id="685"/>
      <w:bookmarkStart w:id="686" w:name="_DV_M584"/>
      <w:bookmarkEnd w:id="686"/>
      <w:bookmarkStart w:id="687" w:name="_DV_M585"/>
      <w:bookmarkEnd w:id="687"/>
    </w:p>
    <w:p w14:paraId="21FC99D5">
      <w:pPr>
        <w:widowControl w:val="0"/>
        <w:numPr>
          <w:ilvl w:val="1"/>
          <w:numId w:val="8"/>
        </w:numPr>
        <w:spacing w:line="360" w:lineRule="auto"/>
        <w:jc w:val="both"/>
        <w:rPr>
          <w:rFonts w:eastAsia="楷体_GB2312"/>
          <w:lang w:eastAsia="zh-CN"/>
        </w:rPr>
      </w:pPr>
      <w:bookmarkStart w:id="688" w:name="_DV_M587"/>
      <w:bookmarkEnd w:id="688"/>
      <w:r>
        <w:rPr>
          <w:rFonts w:eastAsia="楷体_GB2312"/>
          <w:lang w:eastAsia="zh-CN"/>
        </w:rPr>
        <w:t>第</w:t>
      </w:r>
      <w:r>
        <w:rPr>
          <w:rFonts w:eastAsia="楷体_GB2312"/>
        </w:rPr>
        <w:fldChar w:fldCharType="begin"/>
      </w:r>
      <w:r>
        <w:rPr>
          <w:rFonts w:eastAsia="楷体_GB2312"/>
          <w:lang w:eastAsia="zh-CN"/>
        </w:rPr>
        <w:instrText xml:space="preserve"> REF _Ref306888644 \r \h  \* MERGEFORMAT </w:instrText>
      </w:r>
      <w:r>
        <w:rPr>
          <w:rFonts w:eastAsia="楷体_GB2312"/>
        </w:rPr>
        <w:fldChar w:fldCharType="separate"/>
      </w:r>
      <w:r>
        <w:rPr>
          <w:rFonts w:eastAsia="楷体_GB2312"/>
          <w:lang w:eastAsia="zh-CN"/>
        </w:rPr>
        <w:t>22.1</w:t>
      </w:r>
      <w:r>
        <w:rPr>
          <w:rFonts w:eastAsia="楷体_GB2312"/>
        </w:rPr>
        <w:fldChar w:fldCharType="end"/>
      </w:r>
      <w:r>
        <w:rPr>
          <w:rFonts w:eastAsia="楷体_GB2312"/>
          <w:lang w:eastAsia="zh-CN"/>
        </w:rPr>
        <w:t>款的</w:t>
      </w:r>
      <w:r>
        <w:rPr>
          <w:rFonts w:eastAsia="楷体_GB2312"/>
          <w:bCs/>
          <w:lang w:eastAsia="zh-CN"/>
        </w:rPr>
        <w:t>约</w:t>
      </w:r>
      <w:r>
        <w:rPr>
          <w:rFonts w:eastAsia="楷体_GB2312"/>
          <w:lang w:eastAsia="zh-CN"/>
        </w:rPr>
        <w:t>定不适用于一方的以下信息披露：</w:t>
      </w:r>
    </w:p>
    <w:p w14:paraId="72A63A12">
      <w:pPr>
        <w:pStyle w:val="51"/>
        <w:spacing w:after="0" w:line="360" w:lineRule="auto"/>
        <w:rPr>
          <w:rFonts w:eastAsia="楷体_GB2312"/>
          <w:lang w:eastAsia="zh-CN"/>
        </w:rPr>
      </w:pPr>
      <w:bookmarkStart w:id="689" w:name="_DV_M588"/>
      <w:bookmarkEnd w:id="689"/>
    </w:p>
    <w:p w14:paraId="6E0EBF7E">
      <w:pPr>
        <w:pStyle w:val="51"/>
        <w:numPr>
          <w:ilvl w:val="3"/>
          <w:numId w:val="42"/>
        </w:numPr>
        <w:tabs>
          <w:tab w:val="left" w:pos="1440"/>
        </w:tabs>
        <w:spacing w:after="0" w:line="360" w:lineRule="auto"/>
        <w:ind w:hanging="447"/>
        <w:rPr>
          <w:rFonts w:eastAsia="楷体_GB2312"/>
          <w:lang w:eastAsia="zh-CN"/>
        </w:rPr>
      </w:pPr>
      <w:r>
        <w:rPr>
          <w:rFonts w:eastAsia="楷体_GB2312"/>
          <w:lang w:eastAsia="zh-CN"/>
        </w:rPr>
        <w:t>该方根据任何应适用的“法律”、有管辖权的“政府机构”、</w:t>
      </w:r>
      <w:r>
        <w:rPr>
          <w:rFonts w:eastAsia="楷体_GB2312"/>
          <w:lang w:val="en-US" w:eastAsia="zh-CN"/>
        </w:rPr>
        <w:t>“</w:t>
      </w:r>
      <w:r>
        <w:rPr>
          <w:rFonts w:eastAsia="楷体_GB2312"/>
          <w:lang w:eastAsia="zh-CN"/>
        </w:rPr>
        <w:t>监管</w:t>
      </w:r>
      <w:r>
        <w:rPr>
          <w:rFonts w:eastAsia="楷体_GB2312"/>
          <w:lang w:val="en-US" w:eastAsia="zh-CN"/>
        </w:rPr>
        <w:t>部门”</w:t>
      </w:r>
      <w:r>
        <w:rPr>
          <w:rFonts w:eastAsia="楷体_GB2312"/>
          <w:lang w:eastAsia="zh-CN"/>
        </w:rPr>
        <w:t>、税收主管机关或相关交易市场管理机构的指示或要求（无论是否具有法律强制力）而披露的信息；</w:t>
      </w:r>
    </w:p>
    <w:p w14:paraId="46D547D3">
      <w:pPr>
        <w:pStyle w:val="51"/>
        <w:spacing w:after="0" w:line="360" w:lineRule="auto"/>
        <w:ind w:left="1440"/>
        <w:rPr>
          <w:rFonts w:eastAsia="楷体_GB2312"/>
          <w:lang w:eastAsia="zh-CN"/>
        </w:rPr>
      </w:pPr>
    </w:p>
    <w:p w14:paraId="7F3137A6">
      <w:pPr>
        <w:pStyle w:val="51"/>
        <w:numPr>
          <w:ilvl w:val="3"/>
          <w:numId w:val="42"/>
        </w:numPr>
        <w:tabs>
          <w:tab w:val="left" w:pos="1440"/>
        </w:tabs>
        <w:spacing w:after="0" w:line="360" w:lineRule="auto"/>
        <w:ind w:hanging="447"/>
        <w:rPr>
          <w:rFonts w:eastAsia="楷体_GB2312"/>
          <w:lang w:eastAsia="zh-CN"/>
        </w:rPr>
      </w:pPr>
      <w:bookmarkStart w:id="690" w:name="_DV_M589"/>
      <w:bookmarkEnd w:id="690"/>
      <w:r>
        <w:rPr>
          <w:rFonts w:eastAsia="楷体_GB2312"/>
          <w:lang w:eastAsia="zh-CN"/>
        </w:rPr>
        <w:t>该方为行使、维护或强制执行其在“交易文件”项下的任何权利或为履行其在“交易文件”项下的任何义务，而仅向为上述目的需要获知相关信息的人披露的信息；</w:t>
      </w:r>
    </w:p>
    <w:p w14:paraId="1E30DEE2">
      <w:pPr>
        <w:pStyle w:val="51"/>
        <w:spacing w:after="0" w:line="360" w:lineRule="auto"/>
        <w:rPr>
          <w:rFonts w:eastAsia="楷体_GB2312"/>
          <w:lang w:eastAsia="zh-CN"/>
        </w:rPr>
      </w:pPr>
    </w:p>
    <w:p w14:paraId="53E33614">
      <w:pPr>
        <w:pStyle w:val="51"/>
        <w:numPr>
          <w:ilvl w:val="3"/>
          <w:numId w:val="42"/>
        </w:numPr>
        <w:tabs>
          <w:tab w:val="left" w:pos="1440"/>
        </w:tabs>
        <w:spacing w:after="0" w:line="360" w:lineRule="auto"/>
        <w:ind w:hanging="447"/>
        <w:rPr>
          <w:rFonts w:eastAsia="楷体_GB2312"/>
          <w:lang w:eastAsia="zh-CN"/>
        </w:rPr>
      </w:pPr>
      <w:r>
        <w:rPr>
          <w:rFonts w:eastAsia="楷体_GB2312"/>
          <w:lang w:eastAsia="zh-CN"/>
        </w:rPr>
        <w:t>该方向必须获知相关信息以履行其在“交易文件”项下义务的任何主体披露的信息；</w:t>
      </w:r>
    </w:p>
    <w:p w14:paraId="4E9E7D06">
      <w:pPr>
        <w:pStyle w:val="51"/>
        <w:spacing w:after="0" w:line="360" w:lineRule="auto"/>
        <w:rPr>
          <w:rFonts w:eastAsia="楷体_GB2312"/>
          <w:lang w:eastAsia="zh-CN"/>
        </w:rPr>
      </w:pPr>
    </w:p>
    <w:p w14:paraId="312F2E44">
      <w:pPr>
        <w:pStyle w:val="51"/>
        <w:numPr>
          <w:ilvl w:val="3"/>
          <w:numId w:val="42"/>
        </w:numPr>
        <w:tabs>
          <w:tab w:val="left" w:pos="1440"/>
        </w:tabs>
        <w:spacing w:after="0" w:line="360" w:lineRule="auto"/>
        <w:ind w:hanging="447"/>
        <w:rPr>
          <w:rFonts w:eastAsia="楷体_GB2312"/>
          <w:lang w:eastAsia="zh-CN"/>
        </w:rPr>
      </w:pPr>
      <w:r>
        <w:rPr>
          <w:rFonts w:eastAsia="楷体_GB2312"/>
          <w:lang w:eastAsia="zh-CN"/>
        </w:rPr>
        <w:t>该方向已签署保密协议的中介服务机构披露的必要信息；</w:t>
      </w:r>
    </w:p>
    <w:p w14:paraId="7A0EAD6F">
      <w:pPr>
        <w:pStyle w:val="51"/>
        <w:spacing w:after="0" w:line="360" w:lineRule="auto"/>
        <w:rPr>
          <w:rFonts w:eastAsia="楷体_GB2312"/>
          <w:lang w:eastAsia="zh-CN"/>
        </w:rPr>
      </w:pPr>
    </w:p>
    <w:p w14:paraId="20206726">
      <w:pPr>
        <w:pStyle w:val="51"/>
        <w:numPr>
          <w:ilvl w:val="3"/>
          <w:numId w:val="42"/>
        </w:numPr>
        <w:tabs>
          <w:tab w:val="left" w:pos="1440"/>
        </w:tabs>
        <w:spacing w:after="0" w:line="360" w:lineRule="auto"/>
        <w:ind w:hanging="447"/>
        <w:rPr>
          <w:rFonts w:eastAsia="楷体_GB2312"/>
          <w:lang w:eastAsia="zh-CN"/>
        </w:rPr>
      </w:pPr>
      <w:r>
        <w:rPr>
          <w:rFonts w:eastAsia="楷体_GB2312"/>
          <w:lang w:eastAsia="zh-CN"/>
        </w:rPr>
        <w:t>经与保密信息有关的各方同意而披露的信息；</w:t>
      </w:r>
    </w:p>
    <w:p w14:paraId="1621DEF8">
      <w:pPr>
        <w:pStyle w:val="51"/>
        <w:spacing w:after="0" w:line="360" w:lineRule="auto"/>
        <w:rPr>
          <w:rFonts w:eastAsia="楷体_GB2312"/>
          <w:lang w:eastAsia="zh-CN"/>
        </w:rPr>
      </w:pPr>
    </w:p>
    <w:p w14:paraId="2C73927B">
      <w:pPr>
        <w:pStyle w:val="51"/>
        <w:numPr>
          <w:ilvl w:val="3"/>
          <w:numId w:val="42"/>
        </w:numPr>
        <w:tabs>
          <w:tab w:val="left" w:pos="1440"/>
        </w:tabs>
        <w:spacing w:after="0" w:line="360" w:lineRule="auto"/>
        <w:ind w:hanging="447"/>
        <w:rPr>
          <w:rFonts w:eastAsia="楷体_GB2312"/>
          <w:lang w:eastAsia="zh-CN"/>
        </w:rPr>
      </w:pPr>
      <w:r>
        <w:rPr>
          <w:rFonts w:eastAsia="楷体_GB2312"/>
          <w:lang w:eastAsia="zh-CN"/>
        </w:rPr>
        <w:t>应“评级机构”或“资产支持证券持有人”的要求，向其或与其签署保密协议的中介服务机构披露的信息（涉及“借款人”、“共同借款人”</w:t>
      </w:r>
      <w:r>
        <w:rPr>
          <w:rFonts w:eastAsia="楷体_GB2312"/>
          <w:lang w:val="en-US" w:eastAsia="zh-CN"/>
        </w:rPr>
        <w:t>（如有）</w:t>
      </w:r>
      <w:r>
        <w:rPr>
          <w:rFonts w:eastAsia="楷体_GB2312"/>
          <w:lang w:eastAsia="zh-CN"/>
        </w:rPr>
        <w:t>的信息除外）。</w:t>
      </w:r>
    </w:p>
    <w:bookmarkEnd w:id="678"/>
    <w:bookmarkEnd w:id="679"/>
    <w:bookmarkEnd w:id="680"/>
    <w:p w14:paraId="68C74FF9">
      <w:pPr>
        <w:widowControl w:val="0"/>
        <w:spacing w:line="360" w:lineRule="auto"/>
        <w:jc w:val="both"/>
        <w:rPr>
          <w:rFonts w:eastAsia="楷体_GB2312"/>
          <w:b/>
          <w:lang w:eastAsia="zh-CN"/>
        </w:rPr>
      </w:pPr>
      <w:bookmarkStart w:id="691" w:name="_DV_M590"/>
      <w:bookmarkEnd w:id="691"/>
      <w:bookmarkStart w:id="692" w:name="_Toc106417456"/>
      <w:bookmarkEnd w:id="692"/>
      <w:bookmarkStart w:id="693" w:name="_Toc106417457"/>
      <w:bookmarkEnd w:id="693"/>
      <w:bookmarkStart w:id="694" w:name="_Toc201569471"/>
      <w:bookmarkStart w:id="695" w:name="_Toc207007319"/>
      <w:bookmarkStart w:id="696" w:name="_Toc111281856"/>
      <w:bookmarkStart w:id="697" w:name="_Toc110153483"/>
    </w:p>
    <w:p w14:paraId="4153F4C0">
      <w:pPr>
        <w:widowControl w:val="0"/>
        <w:numPr>
          <w:ilvl w:val="1"/>
          <w:numId w:val="8"/>
        </w:numPr>
        <w:spacing w:line="360" w:lineRule="auto"/>
        <w:jc w:val="both"/>
        <w:rPr>
          <w:rFonts w:eastAsia="楷体_GB2312"/>
          <w:b/>
          <w:lang w:eastAsia="zh-CN"/>
        </w:rPr>
      </w:pPr>
      <w:r>
        <w:rPr>
          <w:rFonts w:eastAsia="楷体_GB2312"/>
          <w:lang w:eastAsia="zh-CN"/>
        </w:rPr>
        <w:t>本第</w:t>
      </w:r>
      <w:r>
        <w:rPr>
          <w:rFonts w:eastAsia="楷体_GB2312"/>
        </w:rPr>
        <w:fldChar w:fldCharType="begin"/>
      </w:r>
      <w:r>
        <w:rPr>
          <w:rFonts w:eastAsia="楷体_GB2312"/>
          <w:lang w:eastAsia="zh-CN"/>
        </w:rPr>
        <w:instrText xml:space="preserve"> REF _Ref201747591 \r \h  \* MERGEFORMAT </w:instrText>
      </w:r>
      <w:r>
        <w:rPr>
          <w:rFonts w:eastAsia="楷体_GB2312"/>
        </w:rPr>
        <w:fldChar w:fldCharType="separate"/>
      </w:r>
      <w:r>
        <w:rPr>
          <w:rFonts w:eastAsia="楷体_GB2312"/>
          <w:lang w:eastAsia="zh-CN"/>
        </w:rPr>
        <w:t>22</w:t>
      </w:r>
      <w:r>
        <w:rPr>
          <w:rFonts w:eastAsia="楷体_GB2312"/>
        </w:rPr>
        <w:fldChar w:fldCharType="end"/>
      </w:r>
      <w:r>
        <w:rPr>
          <w:rFonts w:eastAsia="楷体_GB2312"/>
          <w:lang w:eastAsia="zh-CN"/>
        </w:rPr>
        <w:t>条的</w:t>
      </w:r>
      <w:r>
        <w:rPr>
          <w:rFonts w:eastAsia="楷体_GB2312"/>
          <w:bCs/>
          <w:lang w:eastAsia="zh-CN"/>
        </w:rPr>
        <w:t>约</w:t>
      </w:r>
      <w:r>
        <w:rPr>
          <w:rFonts w:eastAsia="楷体_GB2312"/>
          <w:lang w:eastAsia="zh-CN"/>
        </w:rPr>
        <w:t>定在本合同终止后仍然有效。</w:t>
      </w:r>
    </w:p>
    <w:p w14:paraId="4CE135CD">
      <w:pPr>
        <w:widowControl w:val="0"/>
        <w:tabs>
          <w:tab w:val="left" w:pos="425"/>
          <w:tab w:val="left" w:pos="992"/>
        </w:tabs>
        <w:spacing w:line="360" w:lineRule="auto"/>
        <w:ind w:left="992"/>
        <w:jc w:val="both"/>
        <w:rPr>
          <w:rFonts w:eastAsia="楷体_GB2312"/>
          <w:b/>
          <w:lang w:eastAsia="zh-CN"/>
        </w:rPr>
      </w:pPr>
    </w:p>
    <w:p w14:paraId="76D9E152">
      <w:pPr>
        <w:widowControl w:val="0"/>
        <w:numPr>
          <w:ilvl w:val="1"/>
          <w:numId w:val="8"/>
        </w:numPr>
        <w:spacing w:line="360" w:lineRule="auto"/>
        <w:jc w:val="both"/>
        <w:rPr>
          <w:rFonts w:eastAsia="楷体_GB2312"/>
          <w:b/>
          <w:lang w:eastAsia="zh-CN"/>
        </w:rPr>
      </w:pPr>
      <w:r>
        <w:rPr>
          <w:rFonts w:eastAsia="楷体_GB2312"/>
          <w:lang w:eastAsia="zh-CN"/>
        </w:rPr>
        <w:t>任何一方违反本第</w:t>
      </w:r>
      <w:r>
        <w:rPr>
          <w:rFonts w:eastAsia="楷体_GB2312"/>
          <w:lang w:eastAsia="zh-CN"/>
        </w:rPr>
        <w:fldChar w:fldCharType="begin"/>
      </w:r>
      <w:r>
        <w:rPr>
          <w:rFonts w:eastAsia="楷体_GB2312"/>
          <w:lang w:eastAsia="zh-CN"/>
        </w:rPr>
        <w:instrText xml:space="preserve"> REF _Ref57884060 \r \h  \* MERGEFORMAT </w:instrText>
      </w:r>
      <w:r>
        <w:rPr>
          <w:rFonts w:eastAsia="楷体_GB2312"/>
          <w:lang w:eastAsia="zh-CN"/>
        </w:rPr>
        <w:fldChar w:fldCharType="separate"/>
      </w:r>
      <w:r>
        <w:rPr>
          <w:rFonts w:eastAsia="楷体_GB2312"/>
          <w:lang w:eastAsia="zh-CN"/>
        </w:rPr>
        <w:t>22</w:t>
      </w:r>
      <w:r>
        <w:rPr>
          <w:rFonts w:eastAsia="楷体_GB2312"/>
          <w:lang w:eastAsia="zh-CN"/>
        </w:rPr>
        <w:fldChar w:fldCharType="end"/>
      </w:r>
      <w:r>
        <w:rPr>
          <w:rFonts w:eastAsia="楷体_GB2312"/>
          <w:lang w:eastAsia="zh-CN"/>
        </w:rPr>
        <w:t>条的约定，应承担由此给另一方或“信托财产”造成的损失。</w:t>
      </w:r>
    </w:p>
    <w:p w14:paraId="1FA5FD8D">
      <w:pPr>
        <w:widowControl w:val="0"/>
        <w:spacing w:line="360" w:lineRule="auto"/>
        <w:ind w:left="992"/>
        <w:jc w:val="both"/>
        <w:rPr>
          <w:rFonts w:eastAsia="楷体_GB2312"/>
          <w:b/>
          <w:lang w:eastAsia="zh-CN"/>
        </w:rPr>
      </w:pPr>
    </w:p>
    <w:p w14:paraId="3DFCE051">
      <w:pPr>
        <w:widowControl w:val="0"/>
        <w:numPr>
          <w:ilvl w:val="0"/>
          <w:numId w:val="8"/>
        </w:numPr>
        <w:spacing w:line="360" w:lineRule="auto"/>
        <w:jc w:val="both"/>
        <w:outlineLvl w:val="0"/>
        <w:rPr>
          <w:rFonts w:eastAsia="楷体_GB2312"/>
          <w:b/>
        </w:rPr>
      </w:pPr>
      <w:bookmarkStart w:id="698" w:name="_Toc69138600"/>
      <w:bookmarkStart w:id="699" w:name="_Toc454484870"/>
      <w:bookmarkStart w:id="700" w:name="_Toc227955297"/>
      <w:bookmarkStart w:id="701" w:name="_Toc75510482"/>
      <w:bookmarkStart w:id="702" w:name="_Toc166105883"/>
      <w:r>
        <w:rPr>
          <w:rFonts w:eastAsia="楷体_GB2312"/>
          <w:b/>
        </w:rPr>
        <w:t>不可抗力</w:t>
      </w:r>
      <w:bookmarkEnd w:id="694"/>
      <w:bookmarkEnd w:id="695"/>
      <w:bookmarkEnd w:id="696"/>
      <w:bookmarkEnd w:id="698"/>
      <w:bookmarkEnd w:id="699"/>
      <w:bookmarkEnd w:id="700"/>
      <w:bookmarkEnd w:id="701"/>
      <w:bookmarkEnd w:id="702"/>
    </w:p>
    <w:p w14:paraId="293651F4">
      <w:pPr>
        <w:spacing w:line="360" w:lineRule="auto"/>
        <w:jc w:val="both"/>
        <w:rPr>
          <w:rFonts w:eastAsia="楷体_GB2312"/>
          <w:b/>
        </w:rPr>
      </w:pPr>
    </w:p>
    <w:p w14:paraId="23F2BEE8">
      <w:pPr>
        <w:widowControl w:val="0"/>
        <w:numPr>
          <w:ilvl w:val="1"/>
          <w:numId w:val="8"/>
        </w:numPr>
        <w:spacing w:line="360" w:lineRule="auto"/>
        <w:jc w:val="both"/>
        <w:rPr>
          <w:rFonts w:eastAsia="楷体_GB2312"/>
          <w:b/>
          <w:lang w:eastAsia="zh-CN"/>
        </w:rPr>
      </w:pPr>
      <w:r>
        <w:rPr>
          <w:rFonts w:eastAsia="楷体_GB2312"/>
          <w:lang w:eastAsia="zh-CN"/>
        </w:rPr>
        <w:t>不可抗力事件是指本合同一方不能合理控制、不可预见或即使预见亦无法避免的事件，该事件妨碍、影响或延误任何一方根据本合同履行其全部或部分义务。该事件包括但不限于地震、台风、洪水、火灾、瘟疫、其他天灾、战争、政变、骚乱、罢工或其他类似事件，以及新法规或国家政策颁布或对原法规或国家政策的修改等因素。</w:t>
      </w:r>
    </w:p>
    <w:p w14:paraId="329285C7">
      <w:pPr>
        <w:autoSpaceDE w:val="0"/>
        <w:autoSpaceDN w:val="0"/>
        <w:adjustRightInd w:val="0"/>
        <w:spacing w:line="360" w:lineRule="auto"/>
        <w:ind w:left="420"/>
        <w:jc w:val="both"/>
        <w:rPr>
          <w:rFonts w:eastAsia="楷体_GB2312"/>
          <w:b/>
          <w:lang w:eastAsia="zh-CN"/>
        </w:rPr>
      </w:pPr>
    </w:p>
    <w:p w14:paraId="3A22DF50">
      <w:pPr>
        <w:widowControl w:val="0"/>
        <w:numPr>
          <w:ilvl w:val="1"/>
          <w:numId w:val="8"/>
        </w:numPr>
        <w:autoSpaceDE w:val="0"/>
        <w:autoSpaceDN w:val="0"/>
        <w:adjustRightInd w:val="0"/>
        <w:spacing w:line="360" w:lineRule="auto"/>
        <w:jc w:val="both"/>
        <w:rPr>
          <w:rFonts w:eastAsia="楷体_GB2312"/>
          <w:b/>
          <w:lang w:eastAsia="zh-CN"/>
        </w:rPr>
      </w:pPr>
      <w:r>
        <w:rPr>
          <w:rFonts w:eastAsia="楷体_GB2312"/>
          <w:lang w:eastAsia="zh-CN"/>
        </w:rPr>
        <w:t>如发生不可抗力事件，则遭受该事件的一方应立即用可能的快捷方式通知对方，并在【】日内提供证明文件说明有关事件的细节和不能履行或部分不能履行或需延迟履行本合同的原因。本合同双方应在协商一致的基础上决定是否延期履行本合同或终止本合同，并达成书面协议。</w:t>
      </w:r>
    </w:p>
    <w:p w14:paraId="66DDC67E">
      <w:pPr>
        <w:autoSpaceDE w:val="0"/>
        <w:autoSpaceDN w:val="0"/>
        <w:adjustRightInd w:val="0"/>
        <w:spacing w:line="360" w:lineRule="auto"/>
        <w:jc w:val="both"/>
        <w:rPr>
          <w:rFonts w:eastAsia="楷体_GB2312"/>
          <w:b/>
          <w:lang w:eastAsia="zh-CN"/>
        </w:rPr>
      </w:pPr>
    </w:p>
    <w:p w14:paraId="6514C615">
      <w:pPr>
        <w:widowControl w:val="0"/>
        <w:numPr>
          <w:ilvl w:val="1"/>
          <w:numId w:val="8"/>
        </w:numPr>
        <w:autoSpaceDE w:val="0"/>
        <w:autoSpaceDN w:val="0"/>
        <w:adjustRightInd w:val="0"/>
        <w:spacing w:line="360" w:lineRule="auto"/>
        <w:jc w:val="both"/>
        <w:rPr>
          <w:rFonts w:eastAsia="楷体_GB2312"/>
          <w:lang w:eastAsia="zh-CN"/>
        </w:rPr>
      </w:pPr>
      <w:r>
        <w:rPr>
          <w:rFonts w:eastAsia="楷体_GB2312"/>
          <w:lang w:eastAsia="zh-CN"/>
        </w:rPr>
        <w:t>如果发生不可抗力事件致使“委托人”或“受托人”：为本合同项下交易提供服务的通信或计算机设备无法工作；为本合同项下交易提供服务的相关设备或上述设备无法操作；或不能履行或迟延履行本合同项下之各项义务；则“委托人”或“受托人”对无法履行或迟延履行其在本合同项下的义务不承担任何责任，但“委托人”或“受托人”迟延履行其在本合同项下义务后发生不可抗力的，“委托人”或“受托人”对无法履行或迟延履行其在本合同项下的义务不能免除责任。“委托人”或“受托人”在不可抗力发生后，应尽最大努力减少由此可能造成的损失。</w:t>
      </w:r>
    </w:p>
    <w:p w14:paraId="69000C90">
      <w:pPr>
        <w:spacing w:line="360" w:lineRule="auto"/>
        <w:jc w:val="both"/>
        <w:rPr>
          <w:rFonts w:eastAsia="楷体_GB2312"/>
          <w:b/>
          <w:lang w:eastAsia="zh-CN"/>
        </w:rPr>
      </w:pPr>
    </w:p>
    <w:p w14:paraId="41EED098">
      <w:pPr>
        <w:widowControl w:val="0"/>
        <w:numPr>
          <w:ilvl w:val="0"/>
          <w:numId w:val="8"/>
        </w:numPr>
        <w:spacing w:line="360" w:lineRule="auto"/>
        <w:jc w:val="both"/>
        <w:outlineLvl w:val="0"/>
        <w:rPr>
          <w:rFonts w:eastAsia="楷体_GB2312"/>
          <w:b/>
        </w:rPr>
      </w:pPr>
      <w:bookmarkStart w:id="703" w:name="_Toc201569472"/>
      <w:bookmarkStart w:id="704" w:name="_Ref111020368"/>
      <w:bookmarkStart w:id="705" w:name="_Toc75510483"/>
      <w:bookmarkStart w:id="706" w:name="_Toc166105884"/>
      <w:bookmarkStart w:id="707" w:name="_Toc454484871"/>
      <w:bookmarkStart w:id="708" w:name="_Toc111281857"/>
      <w:bookmarkStart w:id="709" w:name="_Toc207007320"/>
      <w:bookmarkStart w:id="710" w:name="_Toc69138601"/>
      <w:bookmarkStart w:id="711" w:name="_Toc227955298"/>
      <w:r>
        <w:rPr>
          <w:rFonts w:eastAsia="楷体_GB2312"/>
          <w:b/>
        </w:rPr>
        <w:t>法律</w:t>
      </w:r>
      <w:bookmarkStart w:id="712" w:name="_Toc92612965"/>
      <w:r>
        <w:rPr>
          <w:rFonts w:eastAsia="楷体_GB2312"/>
          <w:b/>
        </w:rPr>
        <w:t>适用和争议解决</w:t>
      </w:r>
      <w:bookmarkEnd w:id="697"/>
      <w:bookmarkEnd w:id="703"/>
      <w:bookmarkEnd w:id="704"/>
      <w:bookmarkEnd w:id="705"/>
      <w:bookmarkEnd w:id="706"/>
      <w:bookmarkEnd w:id="707"/>
      <w:bookmarkEnd w:id="708"/>
      <w:bookmarkEnd w:id="709"/>
      <w:bookmarkEnd w:id="710"/>
      <w:bookmarkEnd w:id="711"/>
    </w:p>
    <w:p w14:paraId="01C540B9">
      <w:pPr>
        <w:spacing w:line="360" w:lineRule="auto"/>
        <w:jc w:val="both"/>
        <w:rPr>
          <w:rFonts w:eastAsia="楷体_GB2312"/>
          <w:b/>
        </w:rPr>
      </w:pPr>
    </w:p>
    <w:bookmarkEnd w:id="712"/>
    <w:p w14:paraId="0750A319">
      <w:pPr>
        <w:widowControl w:val="0"/>
        <w:numPr>
          <w:ilvl w:val="1"/>
          <w:numId w:val="8"/>
        </w:numPr>
        <w:spacing w:line="360" w:lineRule="auto"/>
        <w:jc w:val="both"/>
        <w:rPr>
          <w:rFonts w:eastAsia="楷体_GB2312"/>
          <w:lang w:eastAsia="zh-CN"/>
        </w:rPr>
      </w:pPr>
      <w:r>
        <w:rPr>
          <w:rFonts w:eastAsia="楷体_GB2312"/>
          <w:lang w:eastAsia="zh-CN"/>
        </w:rPr>
        <w:t>本合同的订立、生效、履行、解释、修改、争议解决和终止等事项适用“中国”“法律”。</w:t>
      </w:r>
    </w:p>
    <w:p w14:paraId="3B8D97CD">
      <w:pPr>
        <w:spacing w:line="360" w:lineRule="auto"/>
        <w:jc w:val="both"/>
        <w:rPr>
          <w:rFonts w:eastAsia="楷体_GB2312"/>
          <w:lang w:eastAsia="zh-CN"/>
        </w:rPr>
      </w:pPr>
    </w:p>
    <w:p w14:paraId="42057A44">
      <w:pPr>
        <w:widowControl w:val="0"/>
        <w:numPr>
          <w:ilvl w:val="1"/>
          <w:numId w:val="8"/>
        </w:numPr>
        <w:spacing w:line="360" w:lineRule="auto"/>
        <w:jc w:val="both"/>
        <w:rPr>
          <w:rFonts w:eastAsia="楷体_GB2312"/>
          <w:lang w:eastAsia="zh-CN"/>
        </w:rPr>
      </w:pPr>
      <w:r>
        <w:rPr>
          <w:rFonts w:eastAsia="楷体_GB2312"/>
          <w:lang w:eastAsia="zh-CN"/>
        </w:rPr>
        <w:t>对于“委托人”和“受托人”在履行本合同中发生的争议，由双方协商解决。如争议在本合同一方向对方发出通知后【】日内仍未获解决，则任何一方均有权将争议提交【】仲裁委员会，按该会届时有效的仲裁规则在【】进行仲裁。仲裁裁决是终局性的，对双方均有约束力。除非仲裁裁决另有规定，双方为仲裁而实际支付的费用（包括但不限于仲裁费和合理的律师费）由败诉方承担。</w:t>
      </w:r>
    </w:p>
    <w:p w14:paraId="67305559">
      <w:pPr>
        <w:spacing w:line="360" w:lineRule="auto"/>
        <w:jc w:val="both"/>
        <w:rPr>
          <w:rFonts w:eastAsia="楷体_GB2312"/>
          <w:lang w:eastAsia="zh-CN"/>
        </w:rPr>
      </w:pPr>
    </w:p>
    <w:p w14:paraId="44471E95">
      <w:pPr>
        <w:widowControl w:val="0"/>
        <w:numPr>
          <w:ilvl w:val="1"/>
          <w:numId w:val="8"/>
        </w:numPr>
        <w:spacing w:line="360" w:lineRule="auto"/>
        <w:jc w:val="both"/>
        <w:rPr>
          <w:rFonts w:eastAsia="楷体_GB2312"/>
          <w:lang w:eastAsia="zh-CN"/>
        </w:rPr>
      </w:pPr>
      <w:r>
        <w:rPr>
          <w:rFonts w:eastAsia="楷体_GB2312"/>
          <w:lang w:eastAsia="zh-CN"/>
        </w:rPr>
        <w:t>在仲裁过程中，除双方有争议正在进行仲裁的事项以外，双方应继续履行其他部分的义务。</w:t>
      </w:r>
    </w:p>
    <w:p w14:paraId="776D1F81">
      <w:pPr>
        <w:pStyle w:val="40"/>
        <w:spacing w:line="360" w:lineRule="auto"/>
        <w:ind w:left="905" w:leftChars="377" w:firstLine="0" w:firstLineChars="0"/>
        <w:jc w:val="both"/>
        <w:rPr>
          <w:rFonts w:eastAsia="楷体_GB2312"/>
          <w:b/>
          <w:i/>
          <w:iCs/>
          <w:color w:val="FF0000"/>
          <w:lang w:eastAsia="zh-CN"/>
        </w:rPr>
      </w:pPr>
      <w:r>
        <w:rPr>
          <w:rFonts w:eastAsia="楷体_GB2312"/>
          <w:b/>
          <w:i/>
          <w:iCs/>
          <w:color w:val="FF0000"/>
        </w:rPr>
        <w:t>【注：争议解决方式以及管辖/仲裁地可调整。】</w:t>
      </w:r>
    </w:p>
    <w:p w14:paraId="305E8EDA">
      <w:pPr>
        <w:spacing w:line="360" w:lineRule="auto"/>
        <w:jc w:val="both"/>
        <w:rPr>
          <w:rFonts w:eastAsia="楷体_GB2312"/>
          <w:lang w:eastAsia="zh-CN"/>
        </w:rPr>
      </w:pPr>
    </w:p>
    <w:p w14:paraId="369B05C1">
      <w:pPr>
        <w:widowControl w:val="0"/>
        <w:numPr>
          <w:ilvl w:val="0"/>
          <w:numId w:val="8"/>
        </w:numPr>
        <w:spacing w:line="360" w:lineRule="auto"/>
        <w:jc w:val="both"/>
        <w:outlineLvl w:val="0"/>
        <w:rPr>
          <w:rFonts w:eastAsia="楷体_GB2312"/>
          <w:b/>
        </w:rPr>
      </w:pPr>
      <w:bookmarkStart w:id="713" w:name="_Toc166105885"/>
      <w:bookmarkStart w:id="714" w:name="_Toc69138602"/>
      <w:bookmarkStart w:id="715" w:name="_Toc207007321"/>
      <w:bookmarkStart w:id="716" w:name="_Toc454484872"/>
      <w:bookmarkStart w:id="717" w:name="_Toc75510484"/>
      <w:bookmarkStart w:id="718" w:name="_Toc227955299"/>
      <w:r>
        <w:rPr>
          <w:rFonts w:eastAsia="楷体_GB2312"/>
          <w:b/>
        </w:rPr>
        <w:t>有限追索和诉讼禁止</w:t>
      </w:r>
      <w:bookmarkEnd w:id="713"/>
      <w:bookmarkEnd w:id="714"/>
      <w:bookmarkEnd w:id="715"/>
      <w:bookmarkEnd w:id="716"/>
      <w:bookmarkEnd w:id="717"/>
      <w:bookmarkEnd w:id="718"/>
    </w:p>
    <w:p w14:paraId="74389EAB">
      <w:pPr>
        <w:spacing w:line="360" w:lineRule="auto"/>
        <w:jc w:val="both"/>
        <w:rPr>
          <w:rFonts w:eastAsia="楷体_GB2312"/>
        </w:rPr>
      </w:pPr>
    </w:p>
    <w:p w14:paraId="3B2BF2FE">
      <w:pPr>
        <w:spacing w:line="360" w:lineRule="auto"/>
        <w:ind w:left="485" w:leftChars="202"/>
        <w:jc w:val="both"/>
        <w:rPr>
          <w:rFonts w:eastAsia="楷体_GB2312"/>
          <w:lang w:eastAsia="zh-CN"/>
        </w:rPr>
      </w:pPr>
      <w:r>
        <w:rPr>
          <w:rFonts w:eastAsia="楷体_GB2312"/>
          <w:lang w:eastAsia="zh-CN"/>
        </w:rPr>
        <w:t>本合同项下各信托当事人同意，“受托人”对“资产支持证券”的收益不作任何保证或担保，“资产支持证券”仅代表“信托受益权”的相应份额，不构成“受托人”的负债，除针对“受托人”提起的因其自身过失、欺诈、故意的不当行为或违反“交易文件”项下的义务而提起的诉讼或仲裁，针对“信托”、“受托人”的义务以及“受托人”在“资产支持证券”项下的义务的追索权，只限于“信托财产”以及按照“《信托合同》”确定的顺序不时可供使用的金额。对于根据本合同运用“信托财产”及/或其实现的收益后仍未满足的“资产支持证券”项下的金额，“资产支持证券持有人”针对“信托”或“受托人”不享有索赔或追索权，在这种情况下，“资产支持证券”项下的权利应被放弃或消灭。本合同项下各信托当事人承诺，在“信托”的存续期间（自“信托生效日”起至“信托终止日”），任何一方不得为终止“信托”的目的而提起任何诉讼或仲裁程序；为避免疑问，本条不限制任何一方因其他方的欺诈、违约、故意的不当行为或疏忽所遭受的损失而针对该方提起的诉讼或仲裁程序。</w:t>
      </w:r>
    </w:p>
    <w:p w14:paraId="2015D144">
      <w:pPr>
        <w:spacing w:line="360" w:lineRule="auto"/>
        <w:jc w:val="both"/>
        <w:rPr>
          <w:rFonts w:eastAsia="楷体_GB2312"/>
          <w:lang w:eastAsia="zh-CN"/>
        </w:rPr>
      </w:pPr>
    </w:p>
    <w:p w14:paraId="0009F320">
      <w:pPr>
        <w:widowControl w:val="0"/>
        <w:numPr>
          <w:ilvl w:val="0"/>
          <w:numId w:val="8"/>
        </w:numPr>
        <w:spacing w:line="360" w:lineRule="auto"/>
        <w:jc w:val="both"/>
        <w:outlineLvl w:val="0"/>
        <w:rPr>
          <w:rFonts w:eastAsia="楷体_GB2312"/>
          <w:b/>
        </w:rPr>
      </w:pPr>
      <w:bookmarkStart w:id="719" w:name="_Toc173872461"/>
      <w:bookmarkStart w:id="720" w:name="_Toc227955300"/>
      <w:bookmarkStart w:id="721" w:name="_Toc207007322"/>
      <w:bookmarkStart w:id="722" w:name="_Toc146102907"/>
      <w:bookmarkStart w:id="723" w:name="_Toc69138603"/>
      <w:bookmarkStart w:id="724" w:name="_Toc454484873"/>
      <w:bookmarkStart w:id="725" w:name="_Toc199759413"/>
      <w:bookmarkStart w:id="726" w:name="_Toc75510485"/>
      <w:bookmarkStart w:id="727" w:name="_Toc166105886"/>
      <w:r>
        <w:rPr>
          <w:rFonts w:eastAsia="楷体_GB2312"/>
          <w:b/>
        </w:rPr>
        <w:t>合同的转让</w:t>
      </w:r>
      <w:bookmarkEnd w:id="719"/>
      <w:bookmarkEnd w:id="720"/>
      <w:bookmarkEnd w:id="721"/>
      <w:bookmarkEnd w:id="722"/>
      <w:bookmarkEnd w:id="723"/>
      <w:bookmarkEnd w:id="724"/>
      <w:bookmarkEnd w:id="725"/>
      <w:bookmarkEnd w:id="726"/>
      <w:bookmarkEnd w:id="727"/>
    </w:p>
    <w:p w14:paraId="18C0C8CD">
      <w:pPr>
        <w:spacing w:line="360" w:lineRule="auto"/>
        <w:jc w:val="both"/>
        <w:rPr>
          <w:rFonts w:eastAsia="楷体_GB2312"/>
          <w:b/>
          <w:bCs/>
        </w:rPr>
      </w:pPr>
    </w:p>
    <w:p w14:paraId="36E42077">
      <w:pPr>
        <w:widowControl w:val="0"/>
        <w:numPr>
          <w:ilvl w:val="1"/>
          <w:numId w:val="8"/>
        </w:numPr>
        <w:spacing w:line="360" w:lineRule="auto"/>
        <w:jc w:val="both"/>
        <w:rPr>
          <w:rFonts w:eastAsia="楷体_GB2312"/>
          <w:lang w:eastAsia="zh-CN"/>
        </w:rPr>
      </w:pPr>
      <w:bookmarkStart w:id="728" w:name="_DV_M327"/>
      <w:bookmarkEnd w:id="728"/>
      <w:r>
        <w:rPr>
          <w:rFonts w:eastAsia="楷体_GB2312"/>
          <w:lang w:eastAsia="zh-CN"/>
        </w:rPr>
        <w:t>除非本合同另有约定，未经本合同双方事先书面同意并事先通知“评级机构”，任何一方不得转让其在本合同项下的权利或义务，或在前述权利或义务上向第三方设定质押或其他担保。</w:t>
      </w:r>
    </w:p>
    <w:p w14:paraId="68BE3B01">
      <w:pPr>
        <w:spacing w:line="360" w:lineRule="auto"/>
        <w:jc w:val="both"/>
        <w:rPr>
          <w:rFonts w:eastAsia="楷体_GB2312"/>
          <w:b/>
          <w:bCs/>
          <w:lang w:eastAsia="zh-CN"/>
        </w:rPr>
      </w:pPr>
    </w:p>
    <w:p w14:paraId="64EA91D1">
      <w:pPr>
        <w:widowControl w:val="0"/>
        <w:numPr>
          <w:ilvl w:val="1"/>
          <w:numId w:val="8"/>
        </w:numPr>
        <w:spacing w:line="360" w:lineRule="auto"/>
        <w:jc w:val="both"/>
        <w:rPr>
          <w:rFonts w:eastAsia="楷体_GB2312"/>
          <w:lang w:eastAsia="zh-CN"/>
        </w:rPr>
      </w:pPr>
      <w:bookmarkStart w:id="729" w:name="_DV_M328"/>
      <w:bookmarkEnd w:id="729"/>
      <w:bookmarkStart w:id="730" w:name="_Ref111374751"/>
      <w:r>
        <w:rPr>
          <w:rFonts w:eastAsia="楷体_GB2312"/>
          <w:lang w:eastAsia="zh-CN"/>
        </w:rPr>
        <w:t>本合同对双方及其继任者、允许的受让人均具有约束力。</w:t>
      </w:r>
    </w:p>
    <w:p w14:paraId="15E8F3D1">
      <w:pPr>
        <w:spacing w:line="360" w:lineRule="auto"/>
        <w:jc w:val="both"/>
        <w:rPr>
          <w:rFonts w:eastAsia="楷体_GB2312"/>
          <w:lang w:eastAsia="zh-CN"/>
        </w:rPr>
      </w:pPr>
    </w:p>
    <w:p w14:paraId="24DE5A31">
      <w:pPr>
        <w:widowControl w:val="0"/>
        <w:numPr>
          <w:ilvl w:val="1"/>
          <w:numId w:val="8"/>
        </w:numPr>
        <w:spacing w:line="360" w:lineRule="auto"/>
        <w:jc w:val="both"/>
        <w:rPr>
          <w:rFonts w:eastAsia="楷体_GB2312"/>
          <w:lang w:eastAsia="zh-CN"/>
        </w:rPr>
      </w:pPr>
      <w:bookmarkStart w:id="731" w:name="_DV_M329"/>
      <w:bookmarkEnd w:id="731"/>
      <w:r>
        <w:rPr>
          <w:rFonts w:eastAsia="楷体_GB2312"/>
          <w:lang w:eastAsia="zh-CN"/>
        </w:rPr>
        <w:t>如“受托人”根据本合同的约定被更换，则其继任者将承继被更换“受托人”在本合同项下的权利义务。</w:t>
      </w:r>
      <w:bookmarkEnd w:id="730"/>
    </w:p>
    <w:p w14:paraId="0136C54C">
      <w:pPr>
        <w:spacing w:line="360" w:lineRule="auto"/>
        <w:jc w:val="both"/>
        <w:rPr>
          <w:rFonts w:eastAsia="楷体_GB2312"/>
          <w:lang w:eastAsia="zh-CN"/>
        </w:rPr>
      </w:pPr>
    </w:p>
    <w:p w14:paraId="2D3BB0A1">
      <w:pPr>
        <w:widowControl w:val="0"/>
        <w:numPr>
          <w:ilvl w:val="0"/>
          <w:numId w:val="8"/>
        </w:numPr>
        <w:spacing w:line="360" w:lineRule="auto"/>
        <w:jc w:val="both"/>
        <w:outlineLvl w:val="0"/>
        <w:rPr>
          <w:rFonts w:eastAsia="楷体_GB2312"/>
          <w:b/>
        </w:rPr>
      </w:pPr>
      <w:bookmarkStart w:id="732" w:name="_Toc454484874"/>
      <w:bookmarkStart w:id="733" w:name="_Toc111281858"/>
      <w:bookmarkStart w:id="734" w:name="_Toc207007323"/>
      <w:bookmarkStart w:id="735" w:name="_Toc69138604"/>
      <w:bookmarkStart w:id="736" w:name="_Toc166105887"/>
      <w:bookmarkStart w:id="737" w:name="_Toc75510486"/>
      <w:bookmarkStart w:id="738" w:name="_Toc227955301"/>
      <w:bookmarkStart w:id="739" w:name="_Toc110153484"/>
      <w:bookmarkStart w:id="740" w:name="_Toc201569473"/>
      <w:r>
        <w:rPr>
          <w:rFonts w:eastAsia="楷体_GB2312"/>
          <w:b/>
        </w:rPr>
        <w:t>通知</w:t>
      </w:r>
      <w:bookmarkStart w:id="741" w:name="_Toc92612966"/>
      <w:r>
        <w:rPr>
          <w:rFonts w:eastAsia="楷体_GB2312"/>
          <w:b/>
        </w:rPr>
        <w:t>和送达</w:t>
      </w:r>
      <w:bookmarkEnd w:id="732"/>
      <w:bookmarkEnd w:id="733"/>
      <w:bookmarkEnd w:id="734"/>
      <w:bookmarkEnd w:id="735"/>
      <w:bookmarkEnd w:id="736"/>
      <w:bookmarkEnd w:id="737"/>
      <w:bookmarkEnd w:id="738"/>
      <w:bookmarkEnd w:id="739"/>
      <w:bookmarkEnd w:id="740"/>
    </w:p>
    <w:p w14:paraId="65F3D6EC">
      <w:pPr>
        <w:spacing w:line="360" w:lineRule="auto"/>
        <w:jc w:val="both"/>
        <w:rPr>
          <w:rFonts w:eastAsia="楷体_GB2312"/>
        </w:rPr>
      </w:pPr>
    </w:p>
    <w:p w14:paraId="5688F72F">
      <w:pPr>
        <w:widowControl w:val="0"/>
        <w:numPr>
          <w:ilvl w:val="1"/>
          <w:numId w:val="8"/>
        </w:numPr>
        <w:spacing w:line="360" w:lineRule="auto"/>
        <w:jc w:val="both"/>
        <w:rPr>
          <w:rFonts w:eastAsia="楷体_GB2312"/>
          <w:lang w:eastAsia="zh-CN"/>
        </w:rPr>
      </w:pPr>
      <w:r>
        <w:rPr>
          <w:rFonts w:eastAsia="楷体_GB2312"/>
          <w:lang w:eastAsia="zh-CN"/>
        </w:rPr>
        <w:t>本合同项下对各方（或“评级机构”）的任何通知均应以书面形式作出，以专人送达、特快专递、挂号信件、传真或电子邮件方式递送，并且如果本合同另有要求，每一份通知均应抄送给其他各相关各方。</w:t>
      </w:r>
    </w:p>
    <w:p w14:paraId="5F7FA754">
      <w:pPr>
        <w:spacing w:line="360" w:lineRule="auto"/>
        <w:jc w:val="both"/>
        <w:rPr>
          <w:rFonts w:eastAsia="楷体_GB2312"/>
          <w:b/>
          <w:bCs/>
          <w:lang w:eastAsia="zh-CN"/>
        </w:rPr>
      </w:pPr>
    </w:p>
    <w:p w14:paraId="3F4338E0">
      <w:pPr>
        <w:widowControl w:val="0"/>
        <w:numPr>
          <w:ilvl w:val="1"/>
          <w:numId w:val="8"/>
        </w:numPr>
        <w:spacing w:line="360" w:lineRule="auto"/>
        <w:jc w:val="both"/>
        <w:rPr>
          <w:rFonts w:eastAsia="楷体_GB2312"/>
          <w:lang w:eastAsia="zh-CN"/>
        </w:rPr>
      </w:pPr>
      <w:bookmarkStart w:id="742" w:name="_DV_M332"/>
      <w:bookmarkEnd w:id="742"/>
      <w:r>
        <w:rPr>
          <w:rFonts w:eastAsia="楷体_GB2312"/>
          <w:lang w:eastAsia="zh-CN"/>
        </w:rPr>
        <w:t>通知在下列日期视为送达被通知方（同时采用多种方式的，以最先到达者为准）：</w:t>
      </w:r>
    </w:p>
    <w:p w14:paraId="10E9D0C7">
      <w:pPr>
        <w:widowControl w:val="0"/>
        <w:numPr>
          <w:ilvl w:val="0"/>
          <w:numId w:val="43"/>
        </w:numPr>
        <w:tabs>
          <w:tab w:val="left" w:pos="990"/>
          <w:tab w:val="clear" w:pos="1260"/>
        </w:tabs>
        <w:autoSpaceDE w:val="0"/>
        <w:autoSpaceDN w:val="0"/>
        <w:adjustRightInd w:val="0"/>
        <w:spacing w:line="360" w:lineRule="auto"/>
        <w:ind w:left="1418" w:hanging="425"/>
        <w:jc w:val="both"/>
        <w:rPr>
          <w:rFonts w:eastAsia="楷体_GB2312"/>
          <w:lang w:eastAsia="zh-CN"/>
        </w:rPr>
      </w:pPr>
      <w:bookmarkStart w:id="743" w:name="_DV_M333"/>
      <w:bookmarkEnd w:id="743"/>
      <w:r>
        <w:rPr>
          <w:rFonts w:eastAsia="楷体_GB2312"/>
          <w:lang w:eastAsia="zh-CN"/>
        </w:rPr>
        <w:t>专人送达：通知方取得的被通知方签收单所示日；</w:t>
      </w:r>
    </w:p>
    <w:p w14:paraId="74FB2F3E">
      <w:pPr>
        <w:widowControl w:val="0"/>
        <w:numPr>
          <w:ilvl w:val="0"/>
          <w:numId w:val="43"/>
        </w:numPr>
        <w:tabs>
          <w:tab w:val="left" w:pos="990"/>
          <w:tab w:val="clear" w:pos="1260"/>
        </w:tabs>
        <w:autoSpaceDE w:val="0"/>
        <w:autoSpaceDN w:val="0"/>
        <w:adjustRightInd w:val="0"/>
        <w:spacing w:line="360" w:lineRule="auto"/>
        <w:ind w:left="1418" w:hanging="425"/>
        <w:jc w:val="both"/>
        <w:rPr>
          <w:rFonts w:eastAsia="楷体_GB2312"/>
          <w:lang w:eastAsia="zh-CN"/>
        </w:rPr>
      </w:pPr>
      <w:r>
        <w:rPr>
          <w:rFonts w:eastAsia="楷体_GB2312"/>
          <w:lang w:eastAsia="zh-CN"/>
        </w:rPr>
        <w:t>特快专递：发出通知方持有的投邮凭证所示日后第【】个“工作日”；</w:t>
      </w:r>
    </w:p>
    <w:p w14:paraId="63504C44">
      <w:pPr>
        <w:widowControl w:val="0"/>
        <w:numPr>
          <w:ilvl w:val="0"/>
          <w:numId w:val="43"/>
        </w:numPr>
        <w:tabs>
          <w:tab w:val="left" w:pos="990"/>
          <w:tab w:val="clear" w:pos="1260"/>
        </w:tabs>
        <w:autoSpaceDE w:val="0"/>
        <w:autoSpaceDN w:val="0"/>
        <w:adjustRightInd w:val="0"/>
        <w:spacing w:line="360" w:lineRule="auto"/>
        <w:ind w:left="1418" w:hanging="425"/>
        <w:jc w:val="both"/>
        <w:rPr>
          <w:rFonts w:eastAsia="楷体_GB2312"/>
          <w:lang w:eastAsia="zh-CN"/>
        </w:rPr>
      </w:pPr>
      <w:bookmarkStart w:id="744" w:name="_DV_M334"/>
      <w:bookmarkEnd w:id="744"/>
      <w:r>
        <w:rPr>
          <w:rFonts w:eastAsia="楷体_GB2312"/>
          <w:lang w:eastAsia="zh-CN"/>
        </w:rPr>
        <w:t>挂号信邮递：发出通知方持有的国内挂号函件收据所示日后第【】个“工作日”；</w:t>
      </w:r>
    </w:p>
    <w:p w14:paraId="1A8AB887">
      <w:pPr>
        <w:widowControl w:val="0"/>
        <w:numPr>
          <w:ilvl w:val="0"/>
          <w:numId w:val="43"/>
        </w:numPr>
        <w:tabs>
          <w:tab w:val="left" w:pos="990"/>
          <w:tab w:val="clear" w:pos="1260"/>
        </w:tabs>
        <w:autoSpaceDE w:val="0"/>
        <w:autoSpaceDN w:val="0"/>
        <w:adjustRightInd w:val="0"/>
        <w:spacing w:line="360" w:lineRule="auto"/>
        <w:ind w:left="1418" w:hanging="425"/>
        <w:jc w:val="both"/>
        <w:rPr>
          <w:rFonts w:eastAsia="楷体_GB2312"/>
          <w:lang w:eastAsia="zh-CN"/>
        </w:rPr>
      </w:pPr>
      <w:r>
        <w:rPr>
          <w:rFonts w:eastAsia="楷体_GB2312"/>
          <w:lang w:eastAsia="zh-CN"/>
        </w:rPr>
        <w:t>传真：收到成功发送确认后的第【】个</w:t>
      </w:r>
      <w:r>
        <w:rPr>
          <w:rFonts w:eastAsia="楷体_GB2312"/>
          <w:bCs/>
          <w:lang w:eastAsia="zh-CN"/>
        </w:rPr>
        <w:t>“</w:t>
      </w:r>
      <w:r>
        <w:rPr>
          <w:rFonts w:eastAsia="楷体_GB2312"/>
          <w:lang w:eastAsia="zh-CN"/>
        </w:rPr>
        <w:t>工作日</w:t>
      </w:r>
      <w:r>
        <w:rPr>
          <w:rFonts w:eastAsia="楷体_GB2312"/>
          <w:bCs/>
          <w:lang w:eastAsia="zh-CN"/>
        </w:rPr>
        <w:t>”</w:t>
      </w:r>
      <w:r>
        <w:rPr>
          <w:rFonts w:eastAsia="楷体_GB2312"/>
          <w:lang w:eastAsia="zh-CN"/>
        </w:rPr>
        <w:t>；</w:t>
      </w:r>
    </w:p>
    <w:p w14:paraId="56D5D521">
      <w:pPr>
        <w:widowControl w:val="0"/>
        <w:numPr>
          <w:ilvl w:val="0"/>
          <w:numId w:val="43"/>
        </w:numPr>
        <w:tabs>
          <w:tab w:val="left" w:pos="990"/>
          <w:tab w:val="clear" w:pos="1260"/>
        </w:tabs>
        <w:autoSpaceDE w:val="0"/>
        <w:autoSpaceDN w:val="0"/>
        <w:adjustRightInd w:val="0"/>
        <w:spacing w:line="360" w:lineRule="auto"/>
        <w:ind w:left="1418" w:hanging="425"/>
        <w:jc w:val="both"/>
        <w:rPr>
          <w:rFonts w:eastAsia="楷体_GB2312"/>
          <w:lang w:eastAsia="zh-CN"/>
        </w:rPr>
      </w:pPr>
      <w:r>
        <w:rPr>
          <w:rFonts w:eastAsia="楷体_GB2312"/>
          <w:lang w:eastAsia="zh-CN"/>
        </w:rPr>
        <w:t>电子邮件：通知方系统显示的电子邮件成功发出之日。</w:t>
      </w:r>
    </w:p>
    <w:p w14:paraId="645E34C5">
      <w:pPr>
        <w:widowControl w:val="0"/>
        <w:autoSpaceDE w:val="0"/>
        <w:autoSpaceDN w:val="0"/>
        <w:adjustRightInd w:val="0"/>
        <w:spacing w:line="360" w:lineRule="auto"/>
        <w:ind w:left="1259"/>
        <w:jc w:val="both"/>
        <w:rPr>
          <w:rFonts w:eastAsia="楷体_GB2312"/>
          <w:lang w:eastAsia="zh-CN"/>
        </w:rPr>
      </w:pPr>
    </w:p>
    <w:p w14:paraId="0D1B44FB">
      <w:pPr>
        <w:widowControl w:val="0"/>
        <w:numPr>
          <w:ilvl w:val="1"/>
          <w:numId w:val="8"/>
        </w:numPr>
        <w:spacing w:line="360" w:lineRule="auto"/>
        <w:jc w:val="both"/>
        <w:rPr>
          <w:rFonts w:eastAsia="楷体_GB2312"/>
          <w:lang w:eastAsia="zh-CN"/>
        </w:rPr>
      </w:pPr>
      <w:r>
        <w:rPr>
          <w:rFonts w:eastAsia="楷体_GB2312"/>
          <w:lang w:eastAsia="zh-CN"/>
        </w:rPr>
        <w:t>本合同项下的任何通知、报告或其他通信以及抄送给其他各方的副本，均应按以下联系方式或各方不时根据本条款通知其他各方的联系方式发送给相关各方：</w:t>
      </w:r>
    </w:p>
    <w:p w14:paraId="6A321BBC">
      <w:pPr>
        <w:spacing w:line="360" w:lineRule="auto"/>
        <w:ind w:left="425"/>
        <w:jc w:val="both"/>
        <w:rPr>
          <w:rFonts w:eastAsia="楷体_GB2312"/>
          <w:b/>
          <w:bCs/>
          <w:lang w:eastAsia="zh-CN"/>
        </w:rPr>
      </w:pPr>
    </w:p>
    <w:tbl>
      <w:tblPr>
        <w:tblStyle w:val="31"/>
        <w:tblpPr w:leftFromText="180" w:rightFromText="180" w:vertAnchor="text" w:tblpXSpec="center" w:tblpY="1"/>
        <w:tblOverlap w:val="never"/>
        <w:tblW w:w="8640" w:type="dxa"/>
        <w:tblInd w:w="0" w:type="dxa"/>
        <w:tblLayout w:type="fixed"/>
        <w:tblCellMar>
          <w:top w:w="0" w:type="dxa"/>
          <w:left w:w="108" w:type="dxa"/>
          <w:bottom w:w="0" w:type="dxa"/>
          <w:right w:w="108" w:type="dxa"/>
        </w:tblCellMar>
      </w:tblPr>
      <w:tblGrid>
        <w:gridCol w:w="3097"/>
        <w:gridCol w:w="5543"/>
      </w:tblGrid>
      <w:tr w14:paraId="17FCE0A6">
        <w:tblPrEx>
          <w:tblCellMar>
            <w:top w:w="0" w:type="dxa"/>
            <w:left w:w="108" w:type="dxa"/>
            <w:bottom w:w="0" w:type="dxa"/>
            <w:right w:w="108" w:type="dxa"/>
          </w:tblCellMar>
        </w:tblPrEx>
        <w:tc>
          <w:tcPr>
            <w:tcW w:w="3097" w:type="dxa"/>
            <w:tcBorders>
              <w:top w:val="nil"/>
              <w:left w:val="nil"/>
              <w:bottom w:val="nil"/>
              <w:right w:val="nil"/>
            </w:tcBorders>
          </w:tcPr>
          <w:p w14:paraId="1F5EF13C">
            <w:pPr>
              <w:spacing w:line="360" w:lineRule="auto"/>
              <w:jc w:val="both"/>
              <w:rPr>
                <w:rFonts w:eastAsia="楷体_GB2312"/>
                <w:lang w:eastAsia="zh-CN"/>
              </w:rPr>
            </w:pPr>
            <w:bookmarkStart w:id="745" w:name="_Hlk116575054"/>
            <w:r>
              <w:rPr>
                <w:rFonts w:eastAsia="楷体_GB2312"/>
                <w:lang w:eastAsia="zh-CN"/>
              </w:rPr>
              <w:t>委托人、贷款服务机构：</w:t>
            </w:r>
          </w:p>
        </w:tc>
        <w:tc>
          <w:tcPr>
            <w:tcW w:w="5543" w:type="dxa"/>
            <w:tcBorders>
              <w:top w:val="nil"/>
              <w:left w:val="nil"/>
              <w:bottom w:val="nil"/>
              <w:right w:val="nil"/>
            </w:tcBorders>
          </w:tcPr>
          <w:p w14:paraId="185960E4">
            <w:pPr>
              <w:spacing w:line="360" w:lineRule="auto"/>
              <w:jc w:val="both"/>
              <w:rPr>
                <w:rFonts w:eastAsia="楷体_GB2312"/>
                <w:lang w:eastAsia="zh-CN"/>
              </w:rPr>
            </w:pPr>
            <w:r>
              <w:rPr>
                <w:rFonts w:eastAsia="楷体_GB2312"/>
                <w:b/>
                <w:bCs/>
                <w:lang w:eastAsia="zh-CN"/>
              </w:rPr>
              <w:t>【发起机构全称】</w:t>
            </w:r>
            <w:r>
              <w:rPr>
                <w:rFonts w:eastAsia="楷体_GB2312"/>
                <w:lang w:eastAsia="zh-CN"/>
              </w:rPr>
              <w:br w:type="textWrapping"/>
            </w:r>
            <w:r>
              <w:rPr>
                <w:rFonts w:eastAsia="楷体_GB2312"/>
                <w:lang w:eastAsia="zh-CN"/>
              </w:rPr>
              <w:t>地址：【】</w:t>
            </w:r>
            <w:r>
              <w:rPr>
                <w:rFonts w:eastAsia="楷体_GB2312"/>
                <w:lang w:eastAsia="zh-CN"/>
              </w:rPr>
              <w:br w:type="textWrapping"/>
            </w:r>
            <w:r>
              <w:rPr>
                <w:rFonts w:eastAsia="楷体_GB2312"/>
                <w:lang w:eastAsia="zh-CN"/>
              </w:rPr>
              <w:t>邮编：</w:t>
            </w:r>
            <w:bookmarkStart w:id="746" w:name="_Hlk24640097"/>
            <w:r>
              <w:rPr>
                <w:rFonts w:eastAsia="楷体_GB2312"/>
                <w:lang w:eastAsia="zh-CN"/>
              </w:rPr>
              <w:t>【】</w:t>
            </w:r>
            <w:bookmarkEnd w:id="746"/>
          </w:p>
          <w:p w14:paraId="37E6D95B">
            <w:pPr>
              <w:spacing w:line="360" w:lineRule="auto"/>
              <w:jc w:val="both"/>
              <w:rPr>
                <w:rFonts w:eastAsia="楷体_GB2312"/>
                <w:lang w:eastAsia="zh-CN"/>
              </w:rPr>
            </w:pPr>
            <w:r>
              <w:rPr>
                <w:rFonts w:eastAsia="楷体_GB2312"/>
                <w:lang w:eastAsia="zh-CN"/>
              </w:rPr>
              <w:t>电话：【】</w:t>
            </w:r>
            <w:r>
              <w:rPr>
                <w:rFonts w:eastAsia="楷体_GB2312"/>
                <w:lang w:eastAsia="zh-CN"/>
              </w:rPr>
              <w:br w:type="textWrapping"/>
            </w:r>
            <w:r>
              <w:rPr>
                <w:rFonts w:eastAsia="楷体_GB2312"/>
                <w:lang w:eastAsia="zh-CN"/>
              </w:rPr>
              <w:t>传真：【】</w:t>
            </w:r>
          </w:p>
          <w:p w14:paraId="2E2D3953">
            <w:pPr>
              <w:spacing w:line="360" w:lineRule="auto"/>
              <w:jc w:val="both"/>
              <w:rPr>
                <w:rFonts w:eastAsia="楷体_GB2312"/>
                <w:lang w:eastAsia="zh-CN"/>
              </w:rPr>
            </w:pPr>
            <w:r>
              <w:rPr>
                <w:rFonts w:eastAsia="楷体_GB2312"/>
                <w:lang w:eastAsia="zh-CN"/>
              </w:rPr>
              <w:t>电子邮箱：【】</w:t>
            </w:r>
            <w:r>
              <w:rPr>
                <w:rFonts w:eastAsia="楷体_GB2312"/>
                <w:lang w:eastAsia="zh-CN"/>
              </w:rPr>
              <w:br w:type="textWrapping"/>
            </w:r>
            <w:r>
              <w:rPr>
                <w:rFonts w:eastAsia="楷体_GB2312"/>
                <w:lang w:eastAsia="zh-CN"/>
              </w:rPr>
              <w:t>联系人：【】</w:t>
            </w:r>
          </w:p>
        </w:tc>
      </w:tr>
      <w:tr w14:paraId="3CD8507F">
        <w:tblPrEx>
          <w:tblCellMar>
            <w:top w:w="0" w:type="dxa"/>
            <w:left w:w="108" w:type="dxa"/>
            <w:bottom w:w="0" w:type="dxa"/>
            <w:right w:w="108" w:type="dxa"/>
          </w:tblCellMar>
        </w:tblPrEx>
        <w:tc>
          <w:tcPr>
            <w:tcW w:w="3097" w:type="dxa"/>
            <w:tcBorders>
              <w:top w:val="nil"/>
              <w:left w:val="nil"/>
              <w:bottom w:val="nil"/>
              <w:right w:val="nil"/>
            </w:tcBorders>
          </w:tcPr>
          <w:p w14:paraId="5B42FC52">
            <w:pPr>
              <w:spacing w:line="360" w:lineRule="auto"/>
              <w:jc w:val="both"/>
              <w:rPr>
                <w:rFonts w:eastAsia="楷体_GB2312"/>
              </w:rPr>
            </w:pPr>
            <w:r>
              <w:rPr>
                <w:rFonts w:eastAsia="楷体_GB2312"/>
              </w:rPr>
              <w:t>受托人：</w:t>
            </w:r>
          </w:p>
        </w:tc>
        <w:tc>
          <w:tcPr>
            <w:tcW w:w="5543" w:type="dxa"/>
            <w:tcBorders>
              <w:top w:val="nil"/>
              <w:left w:val="nil"/>
              <w:bottom w:val="nil"/>
              <w:right w:val="nil"/>
            </w:tcBorders>
          </w:tcPr>
          <w:p w14:paraId="33D6C296">
            <w:pPr>
              <w:spacing w:line="360" w:lineRule="auto"/>
              <w:jc w:val="both"/>
              <w:rPr>
                <w:rFonts w:eastAsia="楷体_GB2312"/>
                <w:lang w:eastAsia="zh-CN"/>
              </w:rPr>
            </w:pPr>
            <w:r>
              <w:rPr>
                <w:rFonts w:eastAsia="楷体_GB2312"/>
                <w:b/>
                <w:lang w:eastAsia="zh-CN"/>
              </w:rPr>
              <w:t>【受托机构全称】</w:t>
            </w:r>
            <w:r>
              <w:rPr>
                <w:rFonts w:eastAsia="楷体_GB2312"/>
                <w:lang w:eastAsia="zh-CN"/>
              </w:rPr>
              <w:br w:type="textWrapping"/>
            </w:r>
            <w:r>
              <w:rPr>
                <w:rFonts w:eastAsia="楷体_GB2312"/>
                <w:lang w:eastAsia="zh-CN"/>
              </w:rPr>
              <w:t>地址：【】</w:t>
            </w:r>
          </w:p>
          <w:p w14:paraId="50F3C471">
            <w:pPr>
              <w:spacing w:line="360" w:lineRule="auto"/>
              <w:jc w:val="both"/>
              <w:rPr>
                <w:rFonts w:eastAsia="楷体_GB2312"/>
                <w:lang w:eastAsia="zh-CN"/>
              </w:rPr>
            </w:pPr>
            <w:r>
              <w:rPr>
                <w:rFonts w:eastAsia="楷体_GB2312"/>
                <w:lang w:eastAsia="zh-CN"/>
              </w:rPr>
              <w:t>邮编：【】</w:t>
            </w:r>
            <w:r>
              <w:rPr>
                <w:rFonts w:eastAsia="楷体_GB2312"/>
                <w:lang w:eastAsia="zh-CN"/>
              </w:rPr>
              <w:br w:type="textWrapping"/>
            </w:r>
            <w:r>
              <w:rPr>
                <w:rFonts w:eastAsia="楷体_GB2312"/>
                <w:lang w:eastAsia="zh-CN"/>
              </w:rPr>
              <w:t>电话：</w:t>
            </w:r>
            <w:bookmarkStart w:id="747" w:name="_Hlk84842701"/>
            <w:r>
              <w:rPr>
                <w:rFonts w:eastAsia="楷体_GB2312"/>
                <w:lang w:eastAsia="zh-CN"/>
              </w:rPr>
              <w:t>【】</w:t>
            </w:r>
            <w:bookmarkEnd w:id="747"/>
          </w:p>
          <w:p w14:paraId="32C3F59F">
            <w:pPr>
              <w:spacing w:line="360" w:lineRule="auto"/>
              <w:jc w:val="both"/>
              <w:rPr>
                <w:rFonts w:eastAsia="楷体_GB2312"/>
                <w:lang w:eastAsia="zh-CN"/>
              </w:rPr>
            </w:pPr>
            <w:r>
              <w:rPr>
                <w:rFonts w:eastAsia="楷体_GB2312"/>
                <w:lang w:eastAsia="zh-CN"/>
              </w:rPr>
              <w:t>传真：【】</w:t>
            </w:r>
          </w:p>
          <w:p w14:paraId="22B2B50C">
            <w:pPr>
              <w:spacing w:line="360" w:lineRule="auto"/>
              <w:jc w:val="both"/>
              <w:rPr>
                <w:rFonts w:eastAsia="楷体_GB2312"/>
                <w:lang w:eastAsia="zh-CN"/>
              </w:rPr>
            </w:pPr>
            <w:r>
              <w:rPr>
                <w:rFonts w:eastAsia="楷体_GB2312"/>
                <w:lang w:eastAsia="zh-CN"/>
              </w:rPr>
              <w:t>电子邮箱：【】</w:t>
            </w:r>
            <w:r>
              <w:rPr>
                <w:rFonts w:eastAsia="楷体_GB2312"/>
                <w:lang w:eastAsia="zh-CN"/>
              </w:rPr>
              <w:br w:type="textWrapping"/>
            </w:r>
            <w:r>
              <w:rPr>
                <w:rFonts w:eastAsia="楷体_GB2312"/>
                <w:lang w:eastAsia="zh-CN"/>
              </w:rPr>
              <w:t>联系人：【】</w:t>
            </w:r>
          </w:p>
        </w:tc>
      </w:tr>
      <w:tr w14:paraId="4E072B87">
        <w:tblPrEx>
          <w:tblCellMar>
            <w:top w:w="0" w:type="dxa"/>
            <w:left w:w="108" w:type="dxa"/>
            <w:bottom w:w="0" w:type="dxa"/>
            <w:right w:w="108" w:type="dxa"/>
          </w:tblCellMar>
        </w:tblPrEx>
        <w:tc>
          <w:tcPr>
            <w:tcW w:w="3097" w:type="dxa"/>
            <w:tcBorders>
              <w:top w:val="nil"/>
              <w:left w:val="nil"/>
              <w:bottom w:val="nil"/>
              <w:right w:val="nil"/>
            </w:tcBorders>
          </w:tcPr>
          <w:p w14:paraId="5194E862">
            <w:pPr>
              <w:spacing w:line="360" w:lineRule="auto"/>
              <w:jc w:val="both"/>
              <w:rPr>
                <w:rFonts w:eastAsia="楷体_GB2312"/>
              </w:rPr>
            </w:pPr>
            <w:r>
              <w:rPr>
                <w:rFonts w:eastAsia="楷体_GB2312"/>
              </w:rPr>
              <w:t>评级机构：</w:t>
            </w:r>
          </w:p>
        </w:tc>
        <w:tc>
          <w:tcPr>
            <w:tcW w:w="5543" w:type="dxa"/>
            <w:tcBorders>
              <w:top w:val="nil"/>
              <w:left w:val="nil"/>
              <w:bottom w:val="nil"/>
              <w:right w:val="nil"/>
            </w:tcBorders>
          </w:tcPr>
          <w:p w14:paraId="58A3E60B">
            <w:pPr>
              <w:spacing w:line="360" w:lineRule="auto"/>
              <w:jc w:val="both"/>
              <w:rPr>
                <w:rFonts w:eastAsia="楷体_GB2312"/>
                <w:lang w:eastAsia="zh-CN"/>
              </w:rPr>
            </w:pPr>
            <w:r>
              <w:rPr>
                <w:rFonts w:eastAsia="楷体_GB2312"/>
                <w:b/>
                <w:bCs/>
                <w:lang w:eastAsia="zh-CN"/>
              </w:rPr>
              <w:t>【评级机构1全称】</w:t>
            </w:r>
            <w:r>
              <w:rPr>
                <w:rFonts w:eastAsia="楷体_GB2312"/>
                <w:lang w:eastAsia="zh-CN"/>
              </w:rPr>
              <w:br w:type="textWrapping"/>
            </w:r>
            <w:r>
              <w:rPr>
                <w:rFonts w:eastAsia="楷体_GB2312"/>
                <w:lang w:eastAsia="zh-CN"/>
              </w:rPr>
              <w:t>地址：【】</w:t>
            </w:r>
            <w:r>
              <w:rPr>
                <w:rFonts w:eastAsia="楷体_GB2312"/>
                <w:lang w:eastAsia="zh-CN"/>
              </w:rPr>
              <w:br w:type="textWrapping"/>
            </w:r>
            <w:r>
              <w:rPr>
                <w:rFonts w:eastAsia="楷体_GB2312"/>
                <w:lang w:eastAsia="zh-CN"/>
              </w:rPr>
              <w:t>邮编：【】</w:t>
            </w:r>
            <w:r>
              <w:rPr>
                <w:rFonts w:eastAsia="楷体_GB2312"/>
                <w:lang w:eastAsia="zh-CN"/>
              </w:rPr>
              <w:br w:type="textWrapping"/>
            </w:r>
            <w:r>
              <w:rPr>
                <w:rFonts w:eastAsia="楷体_GB2312"/>
                <w:lang w:eastAsia="zh-CN"/>
              </w:rPr>
              <w:t>电话：【】</w:t>
            </w:r>
            <w:r>
              <w:rPr>
                <w:rFonts w:eastAsia="楷体_GB2312"/>
                <w:lang w:eastAsia="zh-CN"/>
              </w:rPr>
              <w:br w:type="textWrapping"/>
            </w:r>
            <w:r>
              <w:rPr>
                <w:rFonts w:eastAsia="楷体_GB2312"/>
                <w:lang w:eastAsia="zh-CN"/>
              </w:rPr>
              <w:t>传真：【】</w:t>
            </w:r>
          </w:p>
          <w:p w14:paraId="22BD2A29">
            <w:pPr>
              <w:spacing w:line="360" w:lineRule="auto"/>
              <w:jc w:val="both"/>
              <w:rPr>
                <w:rFonts w:eastAsia="楷体_GB2312"/>
                <w:szCs w:val="21"/>
                <w:lang w:eastAsia="zh-CN"/>
              </w:rPr>
            </w:pPr>
            <w:r>
              <w:rPr>
                <w:rFonts w:eastAsia="楷体_GB2312"/>
                <w:lang w:eastAsia="zh-CN"/>
              </w:rPr>
              <w:t>电子邮箱：【】</w:t>
            </w:r>
            <w:r>
              <w:rPr>
                <w:rFonts w:eastAsia="楷体_GB2312"/>
                <w:lang w:eastAsia="zh-CN"/>
              </w:rPr>
              <w:br w:type="textWrapping"/>
            </w:r>
            <w:r>
              <w:rPr>
                <w:rFonts w:eastAsia="楷体_GB2312"/>
                <w:lang w:eastAsia="zh-CN"/>
              </w:rPr>
              <w:t>联系人：【】</w:t>
            </w:r>
          </w:p>
        </w:tc>
      </w:tr>
      <w:tr w14:paraId="2058FC88">
        <w:tblPrEx>
          <w:tblCellMar>
            <w:top w:w="0" w:type="dxa"/>
            <w:left w:w="108" w:type="dxa"/>
            <w:bottom w:w="0" w:type="dxa"/>
            <w:right w:w="108" w:type="dxa"/>
          </w:tblCellMar>
        </w:tblPrEx>
        <w:tc>
          <w:tcPr>
            <w:tcW w:w="3097" w:type="dxa"/>
            <w:tcBorders>
              <w:top w:val="nil"/>
              <w:left w:val="nil"/>
              <w:bottom w:val="nil"/>
              <w:right w:val="nil"/>
            </w:tcBorders>
          </w:tcPr>
          <w:p w14:paraId="041DC292">
            <w:pPr>
              <w:spacing w:line="360" w:lineRule="auto"/>
              <w:jc w:val="both"/>
              <w:rPr>
                <w:rFonts w:eastAsia="楷体_GB2312"/>
              </w:rPr>
            </w:pPr>
            <w:r>
              <w:rPr>
                <w:rFonts w:eastAsia="楷体_GB2312"/>
              </w:rPr>
              <w:t>评级机构：</w:t>
            </w:r>
          </w:p>
        </w:tc>
        <w:tc>
          <w:tcPr>
            <w:tcW w:w="5543" w:type="dxa"/>
            <w:tcBorders>
              <w:top w:val="nil"/>
              <w:left w:val="nil"/>
              <w:bottom w:val="nil"/>
              <w:right w:val="nil"/>
            </w:tcBorders>
          </w:tcPr>
          <w:p w14:paraId="04BE1D6E">
            <w:pPr>
              <w:spacing w:line="360" w:lineRule="auto"/>
              <w:jc w:val="both"/>
              <w:rPr>
                <w:rFonts w:eastAsia="楷体_GB2312"/>
                <w:lang w:eastAsia="zh-CN"/>
              </w:rPr>
            </w:pPr>
            <w:r>
              <w:rPr>
                <w:rFonts w:eastAsia="楷体_GB2312"/>
                <w:b/>
                <w:lang w:eastAsia="zh-CN"/>
              </w:rPr>
              <w:t>【评级机构2全称】</w:t>
            </w:r>
            <w:r>
              <w:rPr>
                <w:rFonts w:eastAsia="楷体_GB2312"/>
                <w:lang w:eastAsia="zh-CN"/>
              </w:rPr>
              <w:br w:type="textWrapping"/>
            </w:r>
            <w:r>
              <w:rPr>
                <w:rFonts w:eastAsia="楷体_GB2312"/>
                <w:lang w:eastAsia="zh-CN"/>
              </w:rPr>
              <w:t>地址：【】</w:t>
            </w:r>
            <w:r>
              <w:rPr>
                <w:rFonts w:eastAsia="楷体_GB2312"/>
                <w:lang w:eastAsia="zh-CN"/>
              </w:rPr>
              <w:br w:type="textWrapping"/>
            </w:r>
            <w:r>
              <w:rPr>
                <w:rFonts w:eastAsia="楷体_GB2312"/>
                <w:lang w:eastAsia="zh-CN"/>
              </w:rPr>
              <w:t>邮编：【】</w:t>
            </w:r>
            <w:r>
              <w:rPr>
                <w:rFonts w:eastAsia="楷体_GB2312"/>
                <w:lang w:eastAsia="zh-CN"/>
              </w:rPr>
              <w:br w:type="textWrapping"/>
            </w:r>
            <w:r>
              <w:rPr>
                <w:rFonts w:eastAsia="楷体_GB2312"/>
                <w:lang w:eastAsia="zh-CN"/>
              </w:rPr>
              <w:t>电话：【】</w:t>
            </w:r>
            <w:r>
              <w:rPr>
                <w:rFonts w:eastAsia="楷体_GB2312"/>
                <w:lang w:eastAsia="zh-CN"/>
              </w:rPr>
              <w:br w:type="textWrapping"/>
            </w:r>
            <w:r>
              <w:rPr>
                <w:rFonts w:eastAsia="楷体_GB2312"/>
                <w:lang w:eastAsia="zh-CN"/>
              </w:rPr>
              <w:t>传真：【】</w:t>
            </w:r>
          </w:p>
          <w:p w14:paraId="0C7BB5E5">
            <w:pPr>
              <w:spacing w:line="360" w:lineRule="auto"/>
              <w:jc w:val="both"/>
              <w:rPr>
                <w:rFonts w:eastAsia="楷体_GB2312"/>
                <w:lang w:eastAsia="zh-CN"/>
              </w:rPr>
            </w:pPr>
            <w:r>
              <w:rPr>
                <w:rFonts w:eastAsia="楷体_GB2312"/>
                <w:lang w:eastAsia="zh-CN"/>
              </w:rPr>
              <w:t>电子邮箱：【】</w:t>
            </w:r>
          </w:p>
          <w:p w14:paraId="00FDB6C3">
            <w:pPr>
              <w:spacing w:line="360" w:lineRule="auto"/>
              <w:jc w:val="both"/>
              <w:rPr>
                <w:rFonts w:eastAsia="楷体_GB2312"/>
                <w:lang w:eastAsia="zh-CN"/>
              </w:rPr>
            </w:pPr>
            <w:r>
              <w:rPr>
                <w:rFonts w:eastAsia="楷体_GB2312"/>
                <w:lang w:eastAsia="zh-CN"/>
              </w:rPr>
              <w:t>联系人：【】</w:t>
            </w:r>
          </w:p>
        </w:tc>
      </w:tr>
      <w:bookmarkEnd w:id="745"/>
    </w:tbl>
    <w:p w14:paraId="10DCAEE6">
      <w:pPr>
        <w:spacing w:line="360" w:lineRule="auto"/>
        <w:ind w:left="425"/>
        <w:jc w:val="both"/>
        <w:rPr>
          <w:rFonts w:eastAsia="楷体_GB2312"/>
          <w:b/>
          <w:bCs/>
          <w:lang w:eastAsia="zh-CN"/>
        </w:rPr>
      </w:pPr>
    </w:p>
    <w:p w14:paraId="7D2E6316">
      <w:pPr>
        <w:widowControl w:val="0"/>
        <w:numPr>
          <w:ilvl w:val="1"/>
          <w:numId w:val="8"/>
        </w:numPr>
        <w:spacing w:line="360" w:lineRule="auto"/>
        <w:jc w:val="both"/>
        <w:rPr>
          <w:rFonts w:eastAsia="楷体_GB2312"/>
          <w:lang w:eastAsia="zh-CN"/>
        </w:rPr>
      </w:pPr>
      <w:r>
        <w:rPr>
          <w:rFonts w:eastAsia="楷体_GB2312"/>
          <w:lang w:eastAsia="zh-CN"/>
        </w:rPr>
        <w:t>一方通讯地址或联络方式发生变化，应自发生变化之日起【】日内以书面形式通知其他各方。如果在“信托终止日”前一个月内发生变化，应在【】个“工作日”内以书面形式通知其他各方。</w:t>
      </w:r>
    </w:p>
    <w:p w14:paraId="779C4E05">
      <w:pPr>
        <w:spacing w:line="360" w:lineRule="auto"/>
        <w:jc w:val="both"/>
        <w:rPr>
          <w:rFonts w:eastAsia="楷体_GB2312"/>
          <w:b/>
          <w:bCs/>
          <w:lang w:eastAsia="zh-CN"/>
        </w:rPr>
      </w:pPr>
    </w:p>
    <w:p w14:paraId="426A0430">
      <w:pPr>
        <w:widowControl w:val="0"/>
        <w:numPr>
          <w:ilvl w:val="1"/>
          <w:numId w:val="8"/>
        </w:numPr>
        <w:spacing w:line="360" w:lineRule="auto"/>
        <w:jc w:val="both"/>
        <w:rPr>
          <w:rFonts w:eastAsia="楷体_GB2312"/>
          <w:lang w:eastAsia="zh-CN"/>
        </w:rPr>
      </w:pPr>
      <w:r>
        <w:rPr>
          <w:rFonts w:eastAsia="楷体_GB2312"/>
          <w:lang w:eastAsia="zh-CN"/>
        </w:rPr>
        <w:t>如果通讯地址或联络方式发生变化的一方（简称“变动一方”），未将有关变化及时通知其他各方，除非“法律”另有规定，变动一方应对由此而造成的影响和损失承担责任。</w:t>
      </w:r>
    </w:p>
    <w:bookmarkEnd w:id="741"/>
    <w:p w14:paraId="782F6E57">
      <w:pPr>
        <w:spacing w:line="360" w:lineRule="auto"/>
        <w:ind w:left="1133" w:leftChars="472"/>
        <w:jc w:val="both"/>
        <w:rPr>
          <w:rFonts w:eastAsia="楷体_GB2312"/>
          <w:lang w:eastAsia="zh-CN"/>
        </w:rPr>
      </w:pPr>
    </w:p>
    <w:p w14:paraId="4EA8F5B1">
      <w:pPr>
        <w:widowControl w:val="0"/>
        <w:numPr>
          <w:ilvl w:val="0"/>
          <w:numId w:val="8"/>
        </w:numPr>
        <w:spacing w:line="360" w:lineRule="auto"/>
        <w:jc w:val="both"/>
        <w:outlineLvl w:val="0"/>
        <w:rPr>
          <w:rFonts w:eastAsia="楷体_GB2312"/>
          <w:b/>
        </w:rPr>
      </w:pPr>
      <w:bookmarkStart w:id="748" w:name="_Toc207007324"/>
      <w:bookmarkStart w:id="749" w:name="_Toc75510487"/>
      <w:bookmarkStart w:id="750" w:name="_Toc13816324"/>
      <w:bookmarkStart w:id="751" w:name="_Toc166105888"/>
      <w:bookmarkStart w:id="752" w:name="_Toc15369295"/>
      <w:bookmarkStart w:id="753" w:name="_Toc172438593"/>
      <w:bookmarkStart w:id="754" w:name="_Toc99420081"/>
      <w:bookmarkStart w:id="755" w:name="_Toc454484875"/>
      <w:bookmarkStart w:id="756" w:name="_Toc69138605"/>
      <w:bookmarkStart w:id="757" w:name="_Toc227955302"/>
      <w:bookmarkStart w:id="758" w:name="_Toc107783395"/>
      <w:r>
        <w:rPr>
          <w:rFonts w:eastAsia="楷体_GB2312"/>
          <w:b/>
        </w:rPr>
        <w:t>修改和弃权</w:t>
      </w:r>
      <w:bookmarkEnd w:id="748"/>
      <w:bookmarkEnd w:id="749"/>
      <w:bookmarkEnd w:id="750"/>
      <w:bookmarkEnd w:id="751"/>
      <w:bookmarkEnd w:id="752"/>
      <w:bookmarkEnd w:id="753"/>
      <w:bookmarkEnd w:id="754"/>
      <w:bookmarkEnd w:id="755"/>
      <w:bookmarkEnd w:id="756"/>
      <w:bookmarkEnd w:id="757"/>
      <w:bookmarkEnd w:id="758"/>
    </w:p>
    <w:p w14:paraId="42E66B55">
      <w:pPr>
        <w:spacing w:line="360" w:lineRule="auto"/>
        <w:jc w:val="both"/>
        <w:rPr>
          <w:rFonts w:eastAsia="楷体_GB2312"/>
          <w:b/>
        </w:rPr>
      </w:pPr>
    </w:p>
    <w:p w14:paraId="1CB0622A">
      <w:pPr>
        <w:widowControl w:val="0"/>
        <w:numPr>
          <w:ilvl w:val="1"/>
          <w:numId w:val="8"/>
        </w:numPr>
        <w:spacing w:line="360" w:lineRule="auto"/>
        <w:jc w:val="both"/>
        <w:rPr>
          <w:rFonts w:eastAsia="楷体_GB2312"/>
          <w:b/>
        </w:rPr>
      </w:pPr>
      <w:bookmarkStart w:id="759" w:name="_DV_M744"/>
      <w:bookmarkEnd w:id="759"/>
      <w:r>
        <w:rPr>
          <w:rFonts w:eastAsia="楷体_GB2312"/>
          <w:b/>
        </w:rPr>
        <w:t>修改和弃权</w:t>
      </w:r>
    </w:p>
    <w:p w14:paraId="35B2A745">
      <w:pPr>
        <w:spacing w:line="360" w:lineRule="auto"/>
        <w:ind w:left="425"/>
        <w:jc w:val="both"/>
        <w:rPr>
          <w:rFonts w:eastAsia="楷体_GB2312"/>
          <w:b/>
        </w:rPr>
      </w:pPr>
    </w:p>
    <w:p w14:paraId="21C7DCE2">
      <w:pPr>
        <w:widowControl w:val="0"/>
        <w:numPr>
          <w:ilvl w:val="2"/>
          <w:numId w:val="8"/>
        </w:numPr>
        <w:tabs>
          <w:tab w:val="left" w:pos="1620"/>
        </w:tabs>
        <w:spacing w:line="360" w:lineRule="auto"/>
        <w:ind w:left="1620" w:hanging="769"/>
        <w:jc w:val="both"/>
        <w:rPr>
          <w:rFonts w:eastAsia="楷体_GB2312"/>
          <w:lang w:eastAsia="zh-CN"/>
        </w:rPr>
      </w:pPr>
      <w:bookmarkStart w:id="760" w:name="_DV_M745"/>
      <w:bookmarkEnd w:id="760"/>
      <w:r>
        <w:rPr>
          <w:rFonts w:eastAsia="楷体_GB2312"/>
          <w:lang w:eastAsia="zh-CN"/>
        </w:rPr>
        <w:t>本合同项下如有未尽事宜，可由本合同双方协商以书面形式补充，如“受托人”合理地认为该等补充内容可能实质性损害“资产支持证券持有人”的权利，上述补充还须经“资产支持证券持有人大会”书面同意。“受托人”应事先书面通知“评级机构”上述补充。</w:t>
      </w:r>
    </w:p>
    <w:p w14:paraId="0B718346">
      <w:pPr>
        <w:tabs>
          <w:tab w:val="left" w:pos="1800"/>
          <w:tab w:val="left" w:pos="1980"/>
        </w:tabs>
        <w:spacing w:line="360" w:lineRule="auto"/>
        <w:ind w:left="851"/>
        <w:jc w:val="both"/>
        <w:rPr>
          <w:rFonts w:eastAsia="楷体_GB2312"/>
          <w:lang w:eastAsia="zh-CN"/>
        </w:rPr>
      </w:pPr>
    </w:p>
    <w:p w14:paraId="1CC5DE9C">
      <w:pPr>
        <w:widowControl w:val="0"/>
        <w:numPr>
          <w:ilvl w:val="2"/>
          <w:numId w:val="8"/>
        </w:numPr>
        <w:tabs>
          <w:tab w:val="left" w:pos="1620"/>
        </w:tabs>
        <w:spacing w:line="360" w:lineRule="auto"/>
        <w:ind w:left="1620" w:hanging="769"/>
        <w:jc w:val="both"/>
        <w:rPr>
          <w:rFonts w:eastAsia="楷体_GB2312"/>
          <w:lang w:eastAsia="zh-CN"/>
        </w:rPr>
      </w:pPr>
      <w:r>
        <w:rPr>
          <w:rFonts w:eastAsia="楷体_GB2312"/>
          <w:lang w:eastAsia="zh-CN"/>
        </w:rPr>
        <w:t>对本合同任何条款的修改、修订或弃权必须以书面形式明示而非默示地做出，并由双方签署；如“受托人”合理地认为该等修改、更正或弃权可能实质性损害“资产支持证券持有人”的权利，上述修改、修订或弃权还须经“资产支持证券持有人大会”书面同意。“受托人”应事先书面通知“评级机构”上述每一个修改、修订或弃权。</w:t>
      </w:r>
    </w:p>
    <w:p w14:paraId="6DF9D9C4">
      <w:pPr>
        <w:tabs>
          <w:tab w:val="left" w:pos="1800"/>
          <w:tab w:val="left" w:pos="1980"/>
        </w:tabs>
        <w:spacing w:line="360" w:lineRule="auto"/>
        <w:ind w:left="851"/>
        <w:jc w:val="both"/>
        <w:rPr>
          <w:rFonts w:eastAsia="楷体_GB2312"/>
          <w:lang w:eastAsia="zh-CN"/>
        </w:rPr>
      </w:pPr>
    </w:p>
    <w:p w14:paraId="25241EE7">
      <w:pPr>
        <w:widowControl w:val="0"/>
        <w:numPr>
          <w:ilvl w:val="1"/>
          <w:numId w:val="8"/>
        </w:numPr>
        <w:spacing w:line="360" w:lineRule="auto"/>
        <w:jc w:val="both"/>
        <w:rPr>
          <w:rFonts w:eastAsia="楷体_GB2312"/>
          <w:b/>
        </w:rPr>
      </w:pPr>
      <w:bookmarkStart w:id="761" w:name="_DV_M746"/>
      <w:bookmarkEnd w:id="761"/>
      <w:r>
        <w:rPr>
          <w:rFonts w:eastAsia="楷体_GB2312"/>
          <w:b/>
        </w:rPr>
        <w:t>无默示弃权</w:t>
      </w:r>
    </w:p>
    <w:p w14:paraId="75C25091">
      <w:pPr>
        <w:spacing w:line="360" w:lineRule="auto"/>
        <w:ind w:left="1133" w:leftChars="472"/>
        <w:jc w:val="both"/>
        <w:rPr>
          <w:rFonts w:eastAsia="楷体_GB2312"/>
        </w:rPr>
      </w:pPr>
      <w:bookmarkStart w:id="762" w:name="_DV_M747"/>
      <w:bookmarkEnd w:id="762"/>
    </w:p>
    <w:p w14:paraId="3A99C3E9">
      <w:pPr>
        <w:spacing w:line="360" w:lineRule="auto"/>
        <w:ind w:left="1133" w:leftChars="472"/>
        <w:jc w:val="both"/>
        <w:rPr>
          <w:rFonts w:eastAsia="楷体_GB2312"/>
          <w:lang w:eastAsia="zh-CN"/>
        </w:rPr>
      </w:pPr>
      <w:r>
        <w:rPr>
          <w:rFonts w:eastAsia="楷体_GB2312"/>
          <w:lang w:eastAsia="zh-CN"/>
        </w:rPr>
        <w:t>任何一方未行使或迟延行使本合同项下的任何权利或补救措施，不应被视为放弃该等权利或补救措施。单独或部分行使任何权利或补救措施也不应妨碍进一步行使该权利或补救措施或行使其他权利或补救措施。</w:t>
      </w:r>
    </w:p>
    <w:p w14:paraId="37FD9797">
      <w:pPr>
        <w:spacing w:line="360" w:lineRule="auto"/>
        <w:ind w:left="1133" w:leftChars="472"/>
        <w:jc w:val="both"/>
        <w:rPr>
          <w:rFonts w:eastAsia="楷体_GB2312"/>
          <w:lang w:eastAsia="zh-CN"/>
        </w:rPr>
      </w:pPr>
    </w:p>
    <w:p w14:paraId="16AD3C72">
      <w:pPr>
        <w:widowControl w:val="0"/>
        <w:numPr>
          <w:ilvl w:val="1"/>
          <w:numId w:val="8"/>
        </w:numPr>
        <w:spacing w:line="360" w:lineRule="auto"/>
        <w:jc w:val="both"/>
        <w:rPr>
          <w:rFonts w:eastAsia="楷体_GB2312"/>
          <w:b/>
        </w:rPr>
      </w:pPr>
      <w:bookmarkStart w:id="763" w:name="_DV_M748"/>
      <w:bookmarkEnd w:id="763"/>
      <w:r>
        <w:rPr>
          <w:rFonts w:eastAsia="楷体_GB2312"/>
          <w:b/>
        </w:rPr>
        <w:t>非排他性权利</w:t>
      </w:r>
    </w:p>
    <w:p w14:paraId="0EF4AAEC">
      <w:pPr>
        <w:spacing w:line="360" w:lineRule="auto"/>
        <w:ind w:left="1133" w:leftChars="472"/>
        <w:jc w:val="both"/>
        <w:rPr>
          <w:rFonts w:eastAsia="楷体_GB2312"/>
        </w:rPr>
      </w:pPr>
      <w:bookmarkStart w:id="764" w:name="_DV_M749"/>
      <w:bookmarkEnd w:id="764"/>
    </w:p>
    <w:p w14:paraId="5B4DDA7A">
      <w:pPr>
        <w:spacing w:line="360" w:lineRule="auto"/>
        <w:ind w:left="1133" w:leftChars="472"/>
        <w:jc w:val="both"/>
        <w:rPr>
          <w:rFonts w:eastAsia="楷体_GB2312"/>
          <w:lang w:eastAsia="zh-CN"/>
        </w:rPr>
      </w:pPr>
      <w:r>
        <w:rPr>
          <w:rFonts w:eastAsia="楷体_GB2312"/>
          <w:lang w:eastAsia="zh-CN"/>
        </w:rPr>
        <w:t>本合同项下的权利和补救措施并不排除“法律”或任何其他“交易文件”</w:t>
      </w:r>
      <w:r>
        <w:rPr>
          <w:rFonts w:eastAsia="楷体_GB2312"/>
          <w:bCs/>
          <w:lang w:eastAsia="zh-CN"/>
        </w:rPr>
        <w:t>约</w:t>
      </w:r>
      <w:r>
        <w:rPr>
          <w:rFonts w:eastAsia="楷体_GB2312"/>
          <w:lang w:eastAsia="zh-CN"/>
        </w:rPr>
        <w:t>定的任何权利和补救措施。</w:t>
      </w:r>
    </w:p>
    <w:p w14:paraId="54C363BE">
      <w:pPr>
        <w:spacing w:line="360" w:lineRule="auto"/>
        <w:ind w:left="1133" w:leftChars="472"/>
        <w:jc w:val="both"/>
        <w:rPr>
          <w:rFonts w:eastAsia="楷体_GB2312"/>
          <w:lang w:eastAsia="zh-CN"/>
        </w:rPr>
      </w:pPr>
    </w:p>
    <w:p w14:paraId="66D65FAA">
      <w:pPr>
        <w:widowControl w:val="0"/>
        <w:numPr>
          <w:ilvl w:val="0"/>
          <w:numId w:val="8"/>
        </w:numPr>
        <w:spacing w:line="360" w:lineRule="auto"/>
        <w:jc w:val="both"/>
        <w:outlineLvl w:val="0"/>
        <w:rPr>
          <w:rFonts w:eastAsia="楷体_GB2312"/>
          <w:b/>
        </w:rPr>
      </w:pPr>
      <w:bookmarkStart w:id="765" w:name="_Toc207007325"/>
      <w:bookmarkStart w:id="766" w:name="_Toc69138606"/>
      <w:bookmarkStart w:id="767" w:name="_Toc75510488"/>
      <w:bookmarkStart w:id="768" w:name="_Toc166105889"/>
      <w:bookmarkStart w:id="769" w:name="_Toc454484876"/>
      <w:bookmarkStart w:id="770" w:name="_Toc227955303"/>
      <w:r>
        <w:rPr>
          <w:rFonts w:eastAsia="楷体_GB2312"/>
          <w:b/>
        </w:rPr>
        <w:t>条款的独立性</w:t>
      </w:r>
      <w:bookmarkEnd w:id="765"/>
      <w:bookmarkEnd w:id="766"/>
      <w:bookmarkEnd w:id="767"/>
      <w:bookmarkEnd w:id="768"/>
      <w:bookmarkEnd w:id="769"/>
      <w:bookmarkEnd w:id="770"/>
    </w:p>
    <w:p w14:paraId="4920EF53">
      <w:pPr>
        <w:spacing w:line="360" w:lineRule="auto"/>
        <w:jc w:val="both"/>
        <w:rPr>
          <w:rFonts w:eastAsia="楷体_GB2312"/>
        </w:rPr>
      </w:pPr>
    </w:p>
    <w:p w14:paraId="0F8A1294">
      <w:pPr>
        <w:spacing w:line="360" w:lineRule="auto"/>
        <w:ind w:left="485" w:leftChars="202"/>
        <w:jc w:val="both"/>
        <w:rPr>
          <w:rFonts w:eastAsia="楷体_GB2312"/>
          <w:lang w:eastAsia="zh-CN"/>
        </w:rPr>
      </w:pPr>
      <w:r>
        <w:rPr>
          <w:rFonts w:eastAsia="楷体_GB2312"/>
          <w:lang w:eastAsia="zh-CN"/>
        </w:rPr>
        <w:t>在不损害本合同其他</w:t>
      </w:r>
      <w:r>
        <w:rPr>
          <w:rFonts w:eastAsia="楷体_GB2312"/>
          <w:bCs/>
          <w:lang w:eastAsia="zh-CN"/>
        </w:rPr>
        <w:t>约</w:t>
      </w:r>
      <w:r>
        <w:rPr>
          <w:rFonts w:eastAsia="楷体_GB2312"/>
          <w:lang w:eastAsia="zh-CN"/>
        </w:rPr>
        <w:t>定的情况下，如本合同某一条或更多条款在“中国”“法律”项下是或成为无效的、不合法的或无法强制执行的，或对任何一方或几方是无效的、不合法的或无法强制执行的，在适用“法律”允许的最大限度内，该无效、不合法或无法强制执行不应造成其他条款对本合同任何一方无效、不合法或无法强制执行，或对其他方无效、不合法或无法强制执行。</w:t>
      </w:r>
    </w:p>
    <w:p w14:paraId="3EF77FEC">
      <w:pPr>
        <w:spacing w:line="360" w:lineRule="auto"/>
        <w:jc w:val="both"/>
        <w:rPr>
          <w:rFonts w:eastAsia="楷体_GB2312"/>
          <w:lang w:eastAsia="zh-CN"/>
        </w:rPr>
      </w:pPr>
    </w:p>
    <w:p w14:paraId="37F35781">
      <w:pPr>
        <w:widowControl w:val="0"/>
        <w:numPr>
          <w:ilvl w:val="0"/>
          <w:numId w:val="8"/>
        </w:numPr>
        <w:spacing w:line="360" w:lineRule="auto"/>
        <w:jc w:val="both"/>
        <w:outlineLvl w:val="0"/>
        <w:rPr>
          <w:rFonts w:eastAsia="楷体_GB2312"/>
          <w:b/>
        </w:rPr>
      </w:pPr>
      <w:bookmarkStart w:id="771" w:name="_Ref111286339"/>
      <w:bookmarkStart w:id="772" w:name="_Toc111281861"/>
      <w:bookmarkStart w:id="773" w:name="_Toc110153487"/>
      <w:bookmarkStart w:id="774" w:name="_Toc227955304"/>
      <w:bookmarkStart w:id="775" w:name="_Toc207007326"/>
      <w:bookmarkStart w:id="776" w:name="_Toc166105890"/>
      <w:bookmarkStart w:id="777" w:name="_Toc454484877"/>
      <w:bookmarkStart w:id="778" w:name="_Toc75510489"/>
      <w:bookmarkStart w:id="779" w:name="_Toc69138607"/>
      <w:r>
        <w:rPr>
          <w:rFonts w:eastAsia="楷体_GB2312"/>
          <w:b/>
        </w:rPr>
        <w:t>合同的生效</w:t>
      </w:r>
      <w:bookmarkEnd w:id="771"/>
      <w:bookmarkEnd w:id="772"/>
      <w:bookmarkEnd w:id="773"/>
      <w:r>
        <w:rPr>
          <w:rFonts w:eastAsia="楷体_GB2312"/>
          <w:b/>
        </w:rPr>
        <w:t>与终止</w:t>
      </w:r>
      <w:bookmarkEnd w:id="774"/>
      <w:bookmarkEnd w:id="775"/>
      <w:bookmarkEnd w:id="776"/>
      <w:bookmarkEnd w:id="777"/>
      <w:bookmarkEnd w:id="778"/>
      <w:bookmarkEnd w:id="779"/>
    </w:p>
    <w:p w14:paraId="0D70B061">
      <w:pPr>
        <w:spacing w:line="360" w:lineRule="auto"/>
        <w:jc w:val="both"/>
        <w:rPr>
          <w:rFonts w:eastAsia="楷体_GB2312"/>
          <w:b/>
        </w:rPr>
      </w:pPr>
    </w:p>
    <w:p w14:paraId="372B3BC7">
      <w:pPr>
        <w:widowControl w:val="0"/>
        <w:numPr>
          <w:ilvl w:val="1"/>
          <w:numId w:val="8"/>
        </w:numPr>
        <w:spacing w:line="360" w:lineRule="auto"/>
        <w:jc w:val="both"/>
        <w:rPr>
          <w:rFonts w:eastAsia="楷体_GB2312"/>
          <w:lang w:eastAsia="zh-CN"/>
        </w:rPr>
      </w:pPr>
      <w:r>
        <w:rPr>
          <w:rFonts w:eastAsia="楷体_GB2312"/>
          <w:lang w:eastAsia="zh-CN"/>
        </w:rPr>
        <w:t>本合同自双方的法定代表人或授权代表签字或签章并加盖公章或合同专用章之</w:t>
      </w:r>
      <w:r>
        <w:rPr>
          <w:rFonts w:hint="eastAsia" w:eastAsia="楷体_GB2312"/>
          <w:lang w:eastAsia="zh-CN"/>
        </w:rPr>
        <w:t>日起</w:t>
      </w:r>
      <w:r>
        <w:rPr>
          <w:rFonts w:eastAsia="楷体_GB2312"/>
          <w:lang w:eastAsia="zh-CN"/>
        </w:rPr>
        <w:t>生效。</w:t>
      </w:r>
    </w:p>
    <w:p w14:paraId="10A10029">
      <w:pPr>
        <w:spacing w:line="360" w:lineRule="auto"/>
        <w:ind w:left="425"/>
        <w:jc w:val="both"/>
        <w:rPr>
          <w:rFonts w:eastAsia="楷体_GB2312"/>
          <w:lang w:eastAsia="zh-CN"/>
        </w:rPr>
      </w:pPr>
    </w:p>
    <w:p w14:paraId="0B8FE796">
      <w:pPr>
        <w:widowControl w:val="0"/>
        <w:numPr>
          <w:ilvl w:val="1"/>
          <w:numId w:val="8"/>
        </w:numPr>
        <w:spacing w:line="360" w:lineRule="auto"/>
        <w:jc w:val="both"/>
        <w:rPr>
          <w:rFonts w:eastAsia="楷体_GB2312"/>
          <w:lang w:eastAsia="zh-CN"/>
        </w:rPr>
      </w:pPr>
      <w:r>
        <w:rPr>
          <w:rFonts w:eastAsia="楷体_GB2312"/>
          <w:lang w:eastAsia="zh-CN"/>
        </w:rPr>
        <w:t>本合同于“受托人”完成“信托财产”清算且“受托人”作出的“信托”清算报告在本合同第</w:t>
      </w:r>
      <w:r>
        <w:rPr>
          <w:rFonts w:eastAsia="楷体_GB2312"/>
        </w:rPr>
        <w:fldChar w:fldCharType="begin"/>
      </w:r>
      <w:r>
        <w:rPr>
          <w:rFonts w:eastAsia="楷体_GB2312"/>
          <w:lang w:eastAsia="zh-CN"/>
        </w:rPr>
        <w:instrText xml:space="preserve"> REF _Ref1555508 \r \h  \* MERGEFORMAT </w:instrText>
      </w:r>
      <w:r>
        <w:rPr>
          <w:rFonts w:eastAsia="楷体_GB2312"/>
        </w:rPr>
        <w:fldChar w:fldCharType="separate"/>
      </w:r>
      <w:r>
        <w:rPr>
          <w:rFonts w:eastAsia="楷体_GB2312"/>
          <w:lang w:eastAsia="zh-CN"/>
        </w:rPr>
        <w:t>10.2.6</w:t>
      </w:r>
      <w:r>
        <w:rPr>
          <w:rFonts w:eastAsia="楷体_GB2312"/>
        </w:rPr>
        <w:fldChar w:fldCharType="end"/>
      </w:r>
      <w:r>
        <w:rPr>
          <w:rFonts w:eastAsia="楷体_GB2312"/>
          <w:lang w:eastAsia="zh-CN"/>
        </w:rPr>
        <w:t>款约定的期限届满后“信托终止日”时“资产支持证券”未兑付完毕的“资产支持证券持有人”（如“信托终止日”时“资产支持证券”均已兑付完毕，则指“次级资产支持证券持有人”）均无异议之日终止。</w:t>
      </w:r>
    </w:p>
    <w:p w14:paraId="2AB40BEF">
      <w:pPr>
        <w:spacing w:line="360" w:lineRule="auto"/>
        <w:jc w:val="both"/>
        <w:rPr>
          <w:rFonts w:eastAsia="楷体_GB2312"/>
          <w:lang w:eastAsia="zh-CN"/>
        </w:rPr>
      </w:pPr>
    </w:p>
    <w:p w14:paraId="583A8A44">
      <w:pPr>
        <w:widowControl w:val="0"/>
        <w:numPr>
          <w:ilvl w:val="1"/>
          <w:numId w:val="8"/>
        </w:numPr>
        <w:spacing w:line="360" w:lineRule="auto"/>
        <w:jc w:val="both"/>
        <w:rPr>
          <w:rFonts w:eastAsia="楷体_GB2312"/>
          <w:lang w:eastAsia="zh-CN"/>
        </w:rPr>
      </w:pPr>
      <w:r>
        <w:rPr>
          <w:rFonts w:eastAsia="楷体_GB2312"/>
          <w:lang w:eastAsia="zh-CN"/>
        </w:rPr>
        <w:t>本合同（以及其他“交易文件”）取消和取代本合同签署前的任何其他协议或承诺，构成双方关于本合同主旨的完整协议。</w:t>
      </w:r>
    </w:p>
    <w:p w14:paraId="58D7469E">
      <w:pPr>
        <w:spacing w:line="360" w:lineRule="auto"/>
        <w:jc w:val="both"/>
        <w:rPr>
          <w:rFonts w:eastAsia="楷体_GB2312"/>
          <w:lang w:eastAsia="zh-CN"/>
        </w:rPr>
      </w:pPr>
    </w:p>
    <w:p w14:paraId="55BCF529">
      <w:pPr>
        <w:widowControl w:val="0"/>
        <w:numPr>
          <w:ilvl w:val="0"/>
          <w:numId w:val="8"/>
        </w:numPr>
        <w:spacing w:line="360" w:lineRule="auto"/>
        <w:jc w:val="both"/>
        <w:outlineLvl w:val="0"/>
        <w:rPr>
          <w:rFonts w:eastAsia="楷体_GB2312"/>
          <w:b/>
        </w:rPr>
      </w:pPr>
      <w:bookmarkStart w:id="780" w:name="_Toc75510490"/>
      <w:bookmarkStart w:id="781" w:name="_Toc110153489"/>
      <w:bookmarkStart w:id="782" w:name="_Toc69138608"/>
      <w:bookmarkStart w:id="783" w:name="_Toc166105891"/>
      <w:bookmarkStart w:id="784" w:name="_Toc454484878"/>
      <w:bookmarkStart w:id="785" w:name="_Toc227955305"/>
      <w:bookmarkStart w:id="786" w:name="_Toc207007327"/>
      <w:bookmarkStart w:id="787" w:name="_Toc111281863"/>
      <w:r>
        <w:rPr>
          <w:rFonts w:eastAsia="楷体_GB2312"/>
          <w:b/>
        </w:rPr>
        <w:t>合同</w:t>
      </w:r>
      <w:bookmarkStart w:id="788" w:name="_Toc92612971"/>
      <w:r>
        <w:rPr>
          <w:rFonts w:eastAsia="楷体_GB2312"/>
          <w:b/>
        </w:rPr>
        <w:t>文本</w:t>
      </w:r>
      <w:bookmarkEnd w:id="780"/>
      <w:bookmarkEnd w:id="781"/>
      <w:bookmarkEnd w:id="782"/>
      <w:bookmarkEnd w:id="783"/>
      <w:bookmarkEnd w:id="784"/>
      <w:bookmarkEnd w:id="785"/>
      <w:bookmarkEnd w:id="786"/>
      <w:bookmarkEnd w:id="787"/>
    </w:p>
    <w:p w14:paraId="4D1616F6">
      <w:pPr>
        <w:spacing w:line="360" w:lineRule="auto"/>
        <w:jc w:val="both"/>
        <w:rPr>
          <w:rFonts w:eastAsia="楷体_GB2312"/>
        </w:rPr>
      </w:pPr>
    </w:p>
    <w:bookmarkEnd w:id="788"/>
    <w:p w14:paraId="637BB8E0">
      <w:pPr>
        <w:widowControl w:val="0"/>
        <w:numPr>
          <w:ilvl w:val="2"/>
          <w:numId w:val="8"/>
        </w:numPr>
        <w:tabs>
          <w:tab w:val="left" w:pos="1620"/>
        </w:tabs>
        <w:spacing w:line="360" w:lineRule="auto"/>
        <w:ind w:left="1620" w:hanging="769"/>
        <w:jc w:val="both"/>
        <w:rPr>
          <w:rFonts w:eastAsia="楷体_GB2312"/>
          <w:i/>
          <w:lang w:eastAsia="zh-CN"/>
        </w:rPr>
      </w:pPr>
      <w:r>
        <w:rPr>
          <w:rFonts w:eastAsia="楷体_GB2312"/>
          <w:lang w:eastAsia="zh-CN"/>
        </w:rPr>
        <w:t>本合同壹式【】份，具有同等法律效力；“委托人”、“受托人”各执【】份，其余留存于“受托人”处存档，用于查询和与本项目相关的监管报备。本合同所列附件是本合同不可分割的组成部分。</w:t>
      </w:r>
      <w:r>
        <w:rPr>
          <w:rFonts w:eastAsia="楷体_GB2312"/>
          <w:i/>
          <w:lang w:eastAsia="zh-CN"/>
        </w:rPr>
        <w:t>（以下无正文）</w:t>
      </w:r>
    </w:p>
    <w:p w14:paraId="1C705D97">
      <w:pPr>
        <w:rPr>
          <w:rFonts w:eastAsia="楷体_GB2312"/>
          <w:i/>
          <w:lang w:eastAsia="zh-CN"/>
        </w:rPr>
      </w:pPr>
      <w:r>
        <w:rPr>
          <w:rFonts w:eastAsia="楷体_GB2312"/>
          <w:i/>
          <w:lang w:eastAsia="zh-CN"/>
        </w:rPr>
        <w:br w:type="page"/>
      </w:r>
    </w:p>
    <w:p w14:paraId="1DC33922">
      <w:pPr>
        <w:widowControl w:val="0"/>
        <w:spacing w:line="360" w:lineRule="auto"/>
        <w:jc w:val="both"/>
        <w:rPr>
          <w:rFonts w:eastAsia="楷体_GB2312"/>
          <w:bCs/>
          <w:lang w:eastAsia="zh-CN"/>
        </w:rPr>
      </w:pPr>
      <w:r>
        <w:rPr>
          <w:rFonts w:eastAsia="楷体_GB2312"/>
          <w:bCs/>
          <w:lang w:eastAsia="zh-CN"/>
        </w:rPr>
        <w:t>（本页无正文，为</w:t>
      </w:r>
      <w:r>
        <w:rPr>
          <w:rFonts w:eastAsia="楷体_GB2312"/>
          <w:bCs/>
          <w:color w:val="000000"/>
          <w:lang w:eastAsia="zh-CN"/>
        </w:rPr>
        <w:t>编号为</w:t>
      </w:r>
      <w:r>
        <w:rPr>
          <w:rFonts w:eastAsia="楷体_GB2312"/>
          <w:lang w:eastAsia="zh-CN"/>
        </w:rPr>
        <w:t>【信托合同编号】的</w:t>
      </w:r>
      <w:r>
        <w:rPr>
          <w:rFonts w:eastAsia="楷体_GB2312"/>
          <w:bCs/>
          <w:lang w:eastAsia="zh-CN"/>
        </w:rPr>
        <w:t>《【信托名称】</w:t>
      </w:r>
      <w:r>
        <w:rPr>
          <w:rFonts w:hint="eastAsia" w:eastAsia="楷体_GB2312"/>
          <w:bCs/>
          <w:lang w:eastAsia="zh-CN"/>
        </w:rPr>
        <w:t>之</w:t>
      </w:r>
      <w:r>
        <w:rPr>
          <w:rFonts w:eastAsia="楷体_GB2312"/>
          <w:bCs/>
          <w:lang w:eastAsia="zh-CN"/>
        </w:rPr>
        <w:t>信托合同》的签署页）</w:t>
      </w:r>
    </w:p>
    <w:p w14:paraId="65738792">
      <w:pPr>
        <w:widowControl w:val="0"/>
        <w:spacing w:line="480" w:lineRule="auto"/>
        <w:jc w:val="both"/>
        <w:rPr>
          <w:rFonts w:eastAsia="楷体_GB2312"/>
          <w:i/>
          <w:color w:val="000000"/>
          <w:kern w:val="2"/>
          <w:lang w:eastAsia="zh-CN"/>
        </w:rPr>
      </w:pPr>
    </w:p>
    <w:p w14:paraId="1C24CB0D">
      <w:pPr>
        <w:widowControl w:val="0"/>
        <w:spacing w:line="480" w:lineRule="auto"/>
        <w:jc w:val="both"/>
        <w:rPr>
          <w:rFonts w:eastAsia="楷体_GB2312"/>
          <w:i/>
          <w:color w:val="000000"/>
          <w:kern w:val="2"/>
          <w:lang w:eastAsia="zh-CN"/>
        </w:rPr>
      </w:pPr>
    </w:p>
    <w:p w14:paraId="4A8E717C">
      <w:pPr>
        <w:widowControl w:val="0"/>
        <w:spacing w:line="480" w:lineRule="auto"/>
        <w:jc w:val="both"/>
        <w:rPr>
          <w:rFonts w:eastAsia="楷体_GB2312"/>
          <w:i/>
          <w:color w:val="000000"/>
          <w:kern w:val="2"/>
          <w:lang w:eastAsia="zh-CN"/>
        </w:rPr>
      </w:pPr>
    </w:p>
    <w:p w14:paraId="55A491FD">
      <w:pPr>
        <w:widowControl w:val="0"/>
        <w:spacing w:line="480" w:lineRule="auto"/>
        <w:jc w:val="both"/>
        <w:rPr>
          <w:rFonts w:eastAsia="楷体_GB2312"/>
          <w:i/>
          <w:color w:val="000000"/>
          <w:kern w:val="2"/>
          <w:lang w:eastAsia="zh-CN"/>
        </w:rPr>
      </w:pPr>
    </w:p>
    <w:p w14:paraId="25817EFD">
      <w:pPr>
        <w:widowControl w:val="0"/>
        <w:spacing w:line="360" w:lineRule="auto"/>
        <w:jc w:val="center"/>
        <w:rPr>
          <w:rFonts w:eastAsia="楷体_GB2312"/>
          <w:b/>
          <w:kern w:val="2"/>
          <w:sz w:val="36"/>
          <w:szCs w:val="36"/>
          <w:lang w:eastAsia="zh-CN"/>
        </w:rPr>
      </w:pPr>
      <w:bookmarkStart w:id="789" w:name="_Toc223098518"/>
      <w:bookmarkStart w:id="790" w:name="_Toc223098443"/>
      <w:r>
        <w:rPr>
          <w:rFonts w:eastAsia="楷体_GB2312"/>
          <w:b/>
          <w:kern w:val="2"/>
          <w:sz w:val="36"/>
          <w:szCs w:val="36"/>
          <w:lang w:eastAsia="zh-CN"/>
        </w:rPr>
        <w:t>【信托名称】</w:t>
      </w:r>
      <w:bookmarkEnd w:id="789"/>
      <w:bookmarkEnd w:id="790"/>
    </w:p>
    <w:p w14:paraId="73F16ED9">
      <w:pPr>
        <w:widowControl w:val="0"/>
        <w:spacing w:line="360" w:lineRule="auto"/>
        <w:jc w:val="center"/>
        <w:rPr>
          <w:rFonts w:eastAsia="楷体_GB2312"/>
          <w:b/>
          <w:kern w:val="2"/>
          <w:sz w:val="36"/>
          <w:szCs w:val="36"/>
          <w:lang w:eastAsia="zh-CN"/>
        </w:rPr>
      </w:pPr>
      <w:bookmarkStart w:id="791" w:name="_Toc223098519"/>
      <w:bookmarkStart w:id="792" w:name="_Toc223098444"/>
      <w:r>
        <w:rPr>
          <w:rFonts w:hint="eastAsia" w:eastAsia="楷体_GB2312"/>
          <w:b/>
          <w:kern w:val="2"/>
          <w:sz w:val="36"/>
          <w:szCs w:val="36"/>
          <w:lang w:eastAsia="zh-CN"/>
        </w:rPr>
        <w:t>之</w:t>
      </w:r>
      <w:bookmarkEnd w:id="791"/>
      <w:bookmarkEnd w:id="792"/>
    </w:p>
    <w:p w14:paraId="10366ADA">
      <w:pPr>
        <w:widowControl w:val="0"/>
        <w:spacing w:line="360" w:lineRule="auto"/>
        <w:jc w:val="center"/>
        <w:rPr>
          <w:rFonts w:eastAsia="楷体_GB2312"/>
          <w:b/>
          <w:kern w:val="2"/>
          <w:sz w:val="36"/>
          <w:szCs w:val="36"/>
          <w:lang w:eastAsia="zh-CN"/>
        </w:rPr>
      </w:pPr>
      <w:bookmarkStart w:id="793" w:name="_Toc223098445"/>
      <w:bookmarkStart w:id="794" w:name="_Toc223098520"/>
      <w:r>
        <w:rPr>
          <w:rFonts w:hint="eastAsia" w:eastAsia="楷体_GB2312"/>
          <w:b/>
          <w:kern w:val="2"/>
          <w:sz w:val="36"/>
          <w:szCs w:val="36"/>
          <w:lang w:eastAsia="zh-CN"/>
        </w:rPr>
        <w:t>信托合同</w:t>
      </w:r>
      <w:bookmarkEnd w:id="793"/>
      <w:bookmarkEnd w:id="794"/>
    </w:p>
    <w:p w14:paraId="12ADF5F4">
      <w:pPr>
        <w:widowControl w:val="0"/>
        <w:spacing w:line="360" w:lineRule="auto"/>
        <w:jc w:val="center"/>
        <w:rPr>
          <w:rFonts w:eastAsia="楷体_GB2312"/>
          <w:b/>
          <w:kern w:val="2"/>
          <w:lang w:eastAsia="zh-CN"/>
        </w:rPr>
      </w:pPr>
    </w:p>
    <w:p w14:paraId="36C1536E">
      <w:pPr>
        <w:widowControl w:val="0"/>
        <w:spacing w:line="360" w:lineRule="auto"/>
        <w:jc w:val="center"/>
        <w:rPr>
          <w:rFonts w:eastAsia="楷体_GB2312"/>
          <w:b/>
          <w:kern w:val="2"/>
          <w:lang w:eastAsia="zh-CN"/>
        </w:rPr>
      </w:pPr>
      <w:r>
        <w:rPr>
          <w:rFonts w:eastAsia="楷体_GB2312"/>
          <w:b/>
          <w:kern w:val="2"/>
          <w:lang w:eastAsia="zh-CN"/>
        </w:rPr>
        <w:t>签署页</w:t>
      </w:r>
    </w:p>
    <w:p w14:paraId="31AA68DF">
      <w:pPr>
        <w:widowControl w:val="0"/>
        <w:spacing w:line="480" w:lineRule="auto"/>
        <w:jc w:val="both"/>
        <w:rPr>
          <w:rFonts w:eastAsia="楷体_GB2312"/>
          <w:i/>
          <w:color w:val="000000"/>
          <w:kern w:val="2"/>
          <w:lang w:eastAsia="zh-CN"/>
        </w:rPr>
      </w:pPr>
    </w:p>
    <w:p w14:paraId="7185F88B">
      <w:pPr>
        <w:widowControl w:val="0"/>
        <w:spacing w:line="360" w:lineRule="auto"/>
        <w:jc w:val="both"/>
        <w:rPr>
          <w:rFonts w:eastAsia="楷体_GB2312"/>
          <w:color w:val="000000"/>
          <w:kern w:val="2"/>
          <w:sz w:val="21"/>
          <w:lang w:eastAsia="zh-CN"/>
        </w:rPr>
      </w:pPr>
    </w:p>
    <w:p w14:paraId="3B9CDBEA">
      <w:pPr>
        <w:widowControl w:val="0"/>
        <w:spacing w:line="360" w:lineRule="auto"/>
        <w:jc w:val="both"/>
        <w:rPr>
          <w:rFonts w:eastAsia="楷体_GB2312"/>
          <w:b/>
          <w:color w:val="000000"/>
          <w:lang w:eastAsia="zh-CN"/>
        </w:rPr>
      </w:pPr>
      <w:r>
        <w:rPr>
          <w:rFonts w:eastAsia="楷体_GB2312"/>
          <w:b/>
          <w:color w:val="000000"/>
          <w:kern w:val="2"/>
          <w:lang w:eastAsia="zh-CN"/>
        </w:rPr>
        <w:t>委托人和发起机构：【发起机构全称】</w:t>
      </w:r>
      <w:r>
        <w:rPr>
          <w:rFonts w:eastAsia="楷体_GB2312"/>
          <w:b/>
          <w:color w:val="000000"/>
          <w:lang w:eastAsia="zh-CN"/>
        </w:rPr>
        <w:t>（公章或合同专用章）</w:t>
      </w:r>
    </w:p>
    <w:p w14:paraId="0BAD7DBF">
      <w:pPr>
        <w:widowControl w:val="0"/>
        <w:spacing w:line="360" w:lineRule="auto"/>
        <w:jc w:val="both"/>
        <w:rPr>
          <w:rFonts w:eastAsia="楷体_GB2312"/>
          <w:b/>
          <w:color w:val="000000"/>
          <w:kern w:val="2"/>
          <w:lang w:eastAsia="zh-CN"/>
        </w:rPr>
      </w:pPr>
    </w:p>
    <w:p w14:paraId="19BDC4C8">
      <w:pPr>
        <w:widowControl w:val="0"/>
        <w:spacing w:line="360" w:lineRule="auto"/>
        <w:jc w:val="both"/>
        <w:rPr>
          <w:rFonts w:eastAsia="楷体_GB2312"/>
          <w:b/>
          <w:color w:val="000000"/>
          <w:kern w:val="2"/>
          <w:lang w:eastAsia="zh-CN"/>
        </w:rPr>
      </w:pPr>
    </w:p>
    <w:p w14:paraId="2032EF92">
      <w:pPr>
        <w:widowControl w:val="0"/>
        <w:spacing w:line="360" w:lineRule="auto"/>
        <w:jc w:val="both"/>
        <w:rPr>
          <w:rFonts w:eastAsia="楷体_GB2312"/>
          <w:b/>
          <w:color w:val="000000"/>
          <w:kern w:val="2"/>
          <w:lang w:eastAsia="zh-CN"/>
        </w:rPr>
      </w:pPr>
    </w:p>
    <w:p w14:paraId="5D1D6F61">
      <w:pPr>
        <w:widowControl w:val="0"/>
        <w:spacing w:line="360" w:lineRule="auto"/>
        <w:jc w:val="both"/>
        <w:rPr>
          <w:rFonts w:eastAsia="楷体_GB2312"/>
          <w:color w:val="000000"/>
          <w:kern w:val="2"/>
          <w:lang w:eastAsia="zh-CN"/>
        </w:rPr>
      </w:pPr>
      <w:r>
        <w:rPr>
          <w:rFonts w:eastAsia="楷体_GB2312"/>
          <w:color w:val="000000"/>
          <w:kern w:val="2"/>
          <w:lang w:eastAsia="zh-CN"/>
        </w:rPr>
        <w:t>法定代表人或授权代理人：</w:t>
      </w:r>
    </w:p>
    <w:p w14:paraId="4D46D70C">
      <w:pPr>
        <w:widowControl w:val="0"/>
        <w:spacing w:line="360" w:lineRule="auto"/>
        <w:jc w:val="both"/>
        <w:rPr>
          <w:rFonts w:eastAsia="楷体_GB2312"/>
          <w:color w:val="000000"/>
          <w:kern w:val="2"/>
          <w:lang w:eastAsia="zh-CN"/>
        </w:rPr>
      </w:pPr>
      <w:r>
        <w:rPr>
          <w:rFonts w:eastAsia="楷体_GB2312"/>
          <w:color w:val="000000"/>
          <w:kern w:val="2"/>
          <w:lang w:eastAsia="zh-CN"/>
        </w:rPr>
        <w:t>签署日期：【  】年【  】月【  】日</w:t>
      </w:r>
    </w:p>
    <w:p w14:paraId="31B4B609">
      <w:pPr>
        <w:spacing w:line="360" w:lineRule="auto"/>
        <w:rPr>
          <w:rFonts w:eastAsia="楷体_GB2312"/>
          <w:sz w:val="28"/>
          <w:szCs w:val="28"/>
          <w:lang w:eastAsia="zh-CN"/>
        </w:rPr>
      </w:pPr>
    </w:p>
    <w:p w14:paraId="7CB84677">
      <w:pPr>
        <w:rPr>
          <w:rFonts w:eastAsia="楷体_GB2312"/>
          <w:lang w:eastAsia="zh-CN"/>
        </w:rPr>
      </w:pPr>
      <w:r>
        <w:rPr>
          <w:rFonts w:eastAsia="楷体_GB2312"/>
          <w:lang w:eastAsia="zh-CN"/>
        </w:rPr>
        <w:br w:type="page"/>
      </w:r>
    </w:p>
    <w:p w14:paraId="44744335">
      <w:pPr>
        <w:widowControl w:val="0"/>
        <w:spacing w:line="360" w:lineRule="auto"/>
        <w:jc w:val="both"/>
        <w:rPr>
          <w:rFonts w:eastAsia="楷体_GB2312"/>
          <w:bCs/>
          <w:lang w:eastAsia="zh-CN"/>
        </w:rPr>
      </w:pPr>
      <w:bookmarkStart w:id="795" w:name="_Hlk93422272"/>
      <w:r>
        <w:rPr>
          <w:rFonts w:eastAsia="楷体_GB2312"/>
          <w:bCs/>
          <w:lang w:eastAsia="zh-CN"/>
        </w:rPr>
        <w:t>（本页无正文，为</w:t>
      </w:r>
      <w:r>
        <w:rPr>
          <w:rFonts w:eastAsia="楷体_GB2312"/>
          <w:bCs/>
          <w:color w:val="000000"/>
          <w:lang w:eastAsia="zh-CN"/>
        </w:rPr>
        <w:t>编号为</w:t>
      </w:r>
      <w:r>
        <w:rPr>
          <w:rFonts w:eastAsia="楷体_GB2312"/>
          <w:lang w:eastAsia="zh-CN"/>
        </w:rPr>
        <w:t>【信托合同编号】的</w:t>
      </w:r>
      <w:r>
        <w:rPr>
          <w:rFonts w:eastAsia="楷体_GB2312"/>
          <w:bCs/>
          <w:lang w:eastAsia="zh-CN"/>
        </w:rPr>
        <w:t>《【信托名称】</w:t>
      </w:r>
      <w:r>
        <w:rPr>
          <w:rFonts w:hint="eastAsia" w:eastAsia="楷体_GB2312"/>
          <w:bCs/>
          <w:lang w:eastAsia="zh-CN"/>
        </w:rPr>
        <w:t>之</w:t>
      </w:r>
      <w:r>
        <w:rPr>
          <w:rFonts w:eastAsia="楷体_GB2312"/>
          <w:bCs/>
          <w:lang w:eastAsia="zh-CN"/>
        </w:rPr>
        <w:t>信托合同》的签署页）</w:t>
      </w:r>
    </w:p>
    <w:bookmarkEnd w:id="795"/>
    <w:p w14:paraId="3B432B62">
      <w:pPr>
        <w:widowControl w:val="0"/>
        <w:spacing w:line="360" w:lineRule="auto"/>
        <w:jc w:val="both"/>
        <w:rPr>
          <w:rFonts w:eastAsia="楷体_GB2312"/>
          <w:color w:val="000000"/>
          <w:kern w:val="2"/>
          <w:lang w:eastAsia="zh-CN"/>
        </w:rPr>
      </w:pPr>
    </w:p>
    <w:p w14:paraId="1AE4345B">
      <w:pPr>
        <w:widowControl w:val="0"/>
        <w:spacing w:line="360" w:lineRule="auto"/>
        <w:jc w:val="both"/>
        <w:rPr>
          <w:rFonts w:eastAsia="楷体_GB2312"/>
          <w:color w:val="000000"/>
          <w:kern w:val="2"/>
          <w:lang w:eastAsia="zh-CN"/>
        </w:rPr>
      </w:pPr>
    </w:p>
    <w:p w14:paraId="3FB95429">
      <w:pPr>
        <w:widowControl w:val="0"/>
        <w:spacing w:line="360" w:lineRule="auto"/>
        <w:jc w:val="both"/>
        <w:rPr>
          <w:rFonts w:eastAsia="楷体_GB2312"/>
          <w:color w:val="000000"/>
          <w:kern w:val="2"/>
          <w:lang w:eastAsia="zh-CN"/>
        </w:rPr>
      </w:pPr>
    </w:p>
    <w:p w14:paraId="43DE7F36">
      <w:pPr>
        <w:widowControl w:val="0"/>
        <w:spacing w:line="360" w:lineRule="auto"/>
        <w:jc w:val="both"/>
        <w:rPr>
          <w:rFonts w:eastAsia="楷体_GB2312"/>
          <w:color w:val="000000"/>
          <w:kern w:val="2"/>
          <w:lang w:eastAsia="zh-CN"/>
        </w:rPr>
      </w:pPr>
    </w:p>
    <w:p w14:paraId="49C31E0C">
      <w:pPr>
        <w:widowControl w:val="0"/>
        <w:spacing w:line="480" w:lineRule="auto"/>
        <w:jc w:val="both"/>
        <w:rPr>
          <w:rFonts w:eastAsia="楷体_GB2312"/>
          <w:i/>
          <w:color w:val="000000"/>
          <w:kern w:val="2"/>
          <w:lang w:eastAsia="zh-CN"/>
        </w:rPr>
      </w:pPr>
    </w:p>
    <w:p w14:paraId="5D648D9F">
      <w:pPr>
        <w:widowControl w:val="0"/>
        <w:spacing w:line="360" w:lineRule="auto"/>
        <w:jc w:val="center"/>
        <w:rPr>
          <w:rFonts w:eastAsia="楷体_GB2312"/>
          <w:b/>
          <w:kern w:val="2"/>
          <w:sz w:val="36"/>
          <w:szCs w:val="36"/>
          <w:lang w:eastAsia="zh-CN"/>
        </w:rPr>
      </w:pPr>
      <w:bookmarkStart w:id="796" w:name="_Toc223098446"/>
      <w:bookmarkStart w:id="797" w:name="_Toc223098521"/>
      <w:r>
        <w:rPr>
          <w:rFonts w:eastAsia="楷体_GB2312"/>
          <w:b/>
          <w:kern w:val="2"/>
          <w:sz w:val="36"/>
          <w:szCs w:val="36"/>
          <w:lang w:eastAsia="zh-CN"/>
        </w:rPr>
        <w:t>【信托名称】</w:t>
      </w:r>
      <w:bookmarkEnd w:id="796"/>
      <w:bookmarkEnd w:id="797"/>
    </w:p>
    <w:p w14:paraId="7599EFBD">
      <w:pPr>
        <w:widowControl w:val="0"/>
        <w:spacing w:line="360" w:lineRule="auto"/>
        <w:jc w:val="center"/>
        <w:rPr>
          <w:rFonts w:eastAsia="楷体_GB2312"/>
          <w:b/>
          <w:kern w:val="2"/>
          <w:sz w:val="36"/>
          <w:szCs w:val="36"/>
          <w:lang w:eastAsia="zh-CN"/>
        </w:rPr>
      </w:pPr>
      <w:bookmarkStart w:id="798" w:name="_Toc223098522"/>
      <w:bookmarkStart w:id="799" w:name="_Toc223098447"/>
      <w:r>
        <w:rPr>
          <w:rFonts w:hint="eastAsia" w:eastAsia="楷体_GB2312"/>
          <w:b/>
          <w:kern w:val="2"/>
          <w:sz w:val="36"/>
          <w:szCs w:val="36"/>
          <w:lang w:eastAsia="zh-CN"/>
        </w:rPr>
        <w:t>之</w:t>
      </w:r>
      <w:bookmarkEnd w:id="798"/>
      <w:bookmarkEnd w:id="799"/>
    </w:p>
    <w:p w14:paraId="2D8F23D7">
      <w:pPr>
        <w:widowControl w:val="0"/>
        <w:spacing w:line="360" w:lineRule="auto"/>
        <w:jc w:val="center"/>
        <w:rPr>
          <w:rFonts w:eastAsia="楷体_GB2312"/>
          <w:b/>
          <w:kern w:val="2"/>
          <w:sz w:val="36"/>
          <w:szCs w:val="36"/>
          <w:lang w:eastAsia="zh-CN"/>
        </w:rPr>
      </w:pPr>
      <w:bookmarkStart w:id="800" w:name="_Toc223098448"/>
      <w:bookmarkStart w:id="801" w:name="_Toc223098523"/>
      <w:r>
        <w:rPr>
          <w:rFonts w:hint="eastAsia" w:eastAsia="楷体_GB2312"/>
          <w:b/>
          <w:kern w:val="2"/>
          <w:sz w:val="36"/>
          <w:szCs w:val="36"/>
          <w:lang w:eastAsia="zh-CN"/>
        </w:rPr>
        <w:t>信托合同</w:t>
      </w:r>
      <w:bookmarkEnd w:id="800"/>
      <w:bookmarkEnd w:id="801"/>
    </w:p>
    <w:p w14:paraId="675EC472">
      <w:pPr>
        <w:widowControl w:val="0"/>
        <w:spacing w:line="360" w:lineRule="auto"/>
        <w:jc w:val="center"/>
        <w:rPr>
          <w:rFonts w:eastAsia="楷体_GB2312"/>
          <w:b/>
          <w:kern w:val="2"/>
          <w:lang w:eastAsia="zh-CN"/>
        </w:rPr>
      </w:pPr>
    </w:p>
    <w:p w14:paraId="39A34559">
      <w:pPr>
        <w:widowControl w:val="0"/>
        <w:spacing w:line="360" w:lineRule="auto"/>
        <w:jc w:val="center"/>
        <w:rPr>
          <w:rFonts w:eastAsia="楷体_GB2312"/>
          <w:b/>
          <w:kern w:val="2"/>
          <w:lang w:eastAsia="zh-CN"/>
        </w:rPr>
      </w:pPr>
      <w:r>
        <w:rPr>
          <w:rFonts w:eastAsia="楷体_GB2312"/>
          <w:b/>
          <w:kern w:val="2"/>
          <w:lang w:eastAsia="zh-CN"/>
        </w:rPr>
        <w:t>签署页</w:t>
      </w:r>
    </w:p>
    <w:p w14:paraId="47A82B71">
      <w:pPr>
        <w:widowControl w:val="0"/>
        <w:spacing w:line="360" w:lineRule="auto"/>
        <w:jc w:val="both"/>
        <w:rPr>
          <w:rFonts w:eastAsia="楷体_GB2312"/>
          <w:color w:val="000000"/>
          <w:kern w:val="2"/>
          <w:lang w:eastAsia="zh-CN"/>
        </w:rPr>
      </w:pPr>
    </w:p>
    <w:p w14:paraId="19976C2A">
      <w:pPr>
        <w:widowControl w:val="0"/>
        <w:spacing w:line="360" w:lineRule="auto"/>
        <w:jc w:val="both"/>
        <w:rPr>
          <w:rFonts w:eastAsia="楷体_GB2312"/>
          <w:color w:val="000000"/>
          <w:kern w:val="2"/>
          <w:lang w:eastAsia="zh-CN"/>
        </w:rPr>
      </w:pPr>
    </w:p>
    <w:p w14:paraId="611D4020">
      <w:pPr>
        <w:widowControl w:val="0"/>
        <w:spacing w:line="360" w:lineRule="auto"/>
        <w:jc w:val="both"/>
        <w:rPr>
          <w:rFonts w:eastAsia="楷体_GB2312"/>
          <w:b/>
          <w:color w:val="000000"/>
          <w:lang w:eastAsia="zh-CN"/>
        </w:rPr>
      </w:pPr>
      <w:r>
        <w:rPr>
          <w:rFonts w:eastAsia="楷体_GB2312"/>
          <w:b/>
          <w:color w:val="000000"/>
          <w:kern w:val="2"/>
          <w:lang w:eastAsia="zh-CN"/>
        </w:rPr>
        <w:t>受托人、受托机构和发行人：【受托机构全称】</w:t>
      </w:r>
      <w:r>
        <w:rPr>
          <w:rFonts w:eastAsia="楷体_GB2312"/>
          <w:b/>
          <w:color w:val="000000"/>
          <w:lang w:eastAsia="zh-CN"/>
        </w:rPr>
        <w:t>（公章或合同专用章）</w:t>
      </w:r>
    </w:p>
    <w:p w14:paraId="3A3206A8">
      <w:pPr>
        <w:widowControl w:val="0"/>
        <w:spacing w:line="360" w:lineRule="auto"/>
        <w:jc w:val="both"/>
        <w:rPr>
          <w:rFonts w:eastAsia="楷体_GB2312"/>
          <w:b/>
          <w:color w:val="000000"/>
          <w:kern w:val="2"/>
          <w:lang w:eastAsia="zh-CN"/>
        </w:rPr>
      </w:pPr>
    </w:p>
    <w:p w14:paraId="2C363E9D">
      <w:pPr>
        <w:widowControl w:val="0"/>
        <w:spacing w:line="360" w:lineRule="auto"/>
        <w:jc w:val="both"/>
        <w:rPr>
          <w:rFonts w:eastAsia="楷体_GB2312"/>
          <w:b/>
          <w:color w:val="000000"/>
          <w:kern w:val="2"/>
          <w:lang w:eastAsia="zh-CN"/>
        </w:rPr>
      </w:pPr>
    </w:p>
    <w:p w14:paraId="380CCFDF">
      <w:pPr>
        <w:widowControl w:val="0"/>
        <w:spacing w:line="360" w:lineRule="auto"/>
        <w:jc w:val="both"/>
        <w:rPr>
          <w:rFonts w:eastAsia="楷体_GB2312"/>
          <w:b/>
          <w:color w:val="000000"/>
          <w:kern w:val="2"/>
          <w:lang w:eastAsia="zh-CN"/>
        </w:rPr>
      </w:pPr>
    </w:p>
    <w:p w14:paraId="5E8F78C0">
      <w:pPr>
        <w:widowControl w:val="0"/>
        <w:spacing w:line="360" w:lineRule="auto"/>
        <w:jc w:val="both"/>
        <w:rPr>
          <w:rFonts w:eastAsia="楷体_GB2312"/>
          <w:color w:val="000000"/>
          <w:kern w:val="2"/>
          <w:lang w:eastAsia="zh-CN"/>
        </w:rPr>
      </w:pPr>
      <w:r>
        <w:rPr>
          <w:rFonts w:eastAsia="楷体_GB2312"/>
          <w:color w:val="000000"/>
          <w:kern w:val="2"/>
          <w:lang w:eastAsia="zh-CN"/>
        </w:rPr>
        <w:t>法定代表人或授权代理人：</w:t>
      </w:r>
    </w:p>
    <w:p w14:paraId="41183651">
      <w:pPr>
        <w:spacing w:line="360" w:lineRule="auto"/>
        <w:rPr>
          <w:rFonts w:eastAsia="楷体_GB2312"/>
          <w:lang w:eastAsia="zh-CN"/>
        </w:rPr>
      </w:pPr>
      <w:r>
        <w:rPr>
          <w:rFonts w:eastAsia="楷体_GB2312"/>
          <w:color w:val="000000"/>
          <w:kern w:val="2"/>
          <w:lang w:eastAsia="zh-CN"/>
        </w:rPr>
        <w:t>签署日期：【  】年【  】月【  】日</w:t>
      </w:r>
    </w:p>
    <w:p w14:paraId="58E88FBA">
      <w:pPr>
        <w:spacing w:line="360" w:lineRule="auto"/>
        <w:rPr>
          <w:rFonts w:eastAsia="楷体_GB2312"/>
          <w:lang w:eastAsia="zh-CN"/>
        </w:rPr>
      </w:pPr>
      <w:r>
        <w:rPr>
          <w:rFonts w:eastAsia="楷体_GB2312"/>
          <w:lang w:eastAsia="zh-CN"/>
        </w:rPr>
        <w:br w:type="page"/>
      </w:r>
      <w:bookmarkStart w:id="802" w:name="_Toc331764786"/>
    </w:p>
    <w:p w14:paraId="6CDEA54A">
      <w:pPr>
        <w:spacing w:line="360" w:lineRule="auto"/>
        <w:outlineLvl w:val="0"/>
        <w:rPr>
          <w:rFonts w:eastAsia="楷体_GB2312"/>
          <w:b/>
          <w:lang w:eastAsia="zh-CN"/>
        </w:rPr>
      </w:pPr>
      <w:bookmarkStart w:id="803" w:name="_Toc75510491"/>
      <w:bookmarkStart w:id="804" w:name="_Toc69138609"/>
      <w:bookmarkStart w:id="805" w:name="_Toc227955306"/>
      <w:bookmarkStart w:id="806" w:name="_Toc166105892"/>
      <w:bookmarkStart w:id="807" w:name="_Toc454484879"/>
      <w:r>
        <w:rPr>
          <w:rFonts w:eastAsia="楷体_GB2312"/>
          <w:b/>
          <w:lang w:eastAsia="zh-CN"/>
        </w:rPr>
        <w:t>附件一：基础资产清单</w:t>
      </w:r>
      <w:bookmarkEnd w:id="802"/>
      <w:r>
        <w:rPr>
          <w:rFonts w:eastAsia="楷体_GB2312"/>
          <w:b/>
          <w:lang w:eastAsia="zh-CN"/>
        </w:rPr>
        <w:t>格式</w:t>
      </w:r>
      <w:bookmarkEnd w:id="803"/>
      <w:bookmarkEnd w:id="804"/>
      <w:bookmarkEnd w:id="805"/>
      <w:bookmarkEnd w:id="806"/>
      <w:bookmarkEnd w:id="807"/>
    </w:p>
    <w:p w14:paraId="3477F61A">
      <w:pPr>
        <w:spacing w:line="380" w:lineRule="exact"/>
        <w:ind w:firstLine="420"/>
        <w:rPr>
          <w:rFonts w:eastAsia="楷体_GB2312"/>
          <w:lang w:eastAsia="zh-CN"/>
        </w:rPr>
      </w:pPr>
      <w:r>
        <w:rPr>
          <w:rFonts w:eastAsia="楷体_GB2312"/>
          <w:lang w:eastAsia="zh-CN"/>
        </w:rPr>
        <w:t>就“委托人”根据“《信托合同》”信托予“受托人”的初始“基础资产”而言，“基础资产清单”应包括但不限于以下信息：</w:t>
      </w:r>
    </w:p>
    <w:p w14:paraId="792924C6">
      <w:pPr>
        <w:spacing w:line="380" w:lineRule="exact"/>
        <w:rPr>
          <w:rFonts w:eastAsia="楷体_GB2312"/>
          <w:color w:val="FF0000"/>
          <w:lang w:eastAsia="zh-CN"/>
        </w:rPr>
      </w:pPr>
      <w:r>
        <w:rPr>
          <w:rFonts w:eastAsia="楷体_GB2312"/>
          <w:b/>
          <w:bCs/>
          <w:i/>
          <w:iCs/>
          <w:color w:val="FF0000"/>
          <w:lang w:eastAsia="zh-CN"/>
        </w:rPr>
        <w:t>【注：根据具体项目</w:t>
      </w:r>
      <w:r>
        <w:rPr>
          <w:rFonts w:hint="eastAsia" w:eastAsia="楷体_GB2312"/>
          <w:b/>
          <w:bCs/>
          <w:i/>
          <w:iCs/>
          <w:color w:val="FF0000"/>
          <w:lang w:eastAsia="zh-CN"/>
        </w:rPr>
        <w:t>补充</w:t>
      </w:r>
      <w:r>
        <w:rPr>
          <w:rFonts w:eastAsia="楷体_GB2312"/>
          <w:b/>
          <w:bCs/>
          <w:i/>
          <w:iCs/>
          <w:color w:val="FF0000"/>
          <w:lang w:eastAsia="zh-CN"/>
        </w:rPr>
        <w:t>相应的资产清单格式】</w:t>
      </w:r>
    </w:p>
    <w:p w14:paraId="3A74BE42">
      <w:pPr>
        <w:spacing w:line="380" w:lineRule="exact"/>
        <w:rPr>
          <w:rFonts w:eastAsia="楷体_GB2312"/>
          <w:lang w:eastAsia="zh-CN"/>
        </w:rPr>
      </w:pPr>
    </w:p>
    <w:p w14:paraId="2BB3CD68">
      <w:pPr>
        <w:rPr>
          <w:rFonts w:eastAsia="楷体_GB2312"/>
          <w:lang w:eastAsia="zh-CN"/>
        </w:rPr>
      </w:pPr>
    </w:p>
    <w:p w14:paraId="2BDBEA0C">
      <w:pPr>
        <w:spacing w:line="360" w:lineRule="auto"/>
        <w:outlineLvl w:val="0"/>
        <w:rPr>
          <w:rFonts w:eastAsia="楷体_GB2312"/>
          <w:b/>
          <w:sz w:val="32"/>
          <w:lang w:eastAsia="zh-CN"/>
        </w:rPr>
      </w:pPr>
      <w:r>
        <w:rPr>
          <w:rFonts w:eastAsia="楷体_GB2312"/>
          <w:lang w:eastAsia="zh-CN"/>
        </w:rPr>
        <w:br w:type="page"/>
      </w:r>
      <w:bookmarkStart w:id="808" w:name="_Toc227955307"/>
      <w:bookmarkStart w:id="809" w:name="_Toc166105893"/>
      <w:bookmarkStart w:id="810" w:name="_Toc75510492"/>
      <w:bookmarkStart w:id="811" w:name="_Toc454484880"/>
      <w:bookmarkStart w:id="812" w:name="_Toc331764787"/>
      <w:bookmarkStart w:id="813" w:name="_Toc69138610"/>
      <w:r>
        <w:rPr>
          <w:rFonts w:eastAsia="楷体_GB2312"/>
          <w:b/>
          <w:lang w:eastAsia="zh-CN"/>
        </w:rPr>
        <w:t>附件二：信托财产文件交付确认函</w:t>
      </w:r>
      <w:bookmarkEnd w:id="808"/>
      <w:bookmarkEnd w:id="809"/>
      <w:bookmarkEnd w:id="810"/>
      <w:bookmarkEnd w:id="811"/>
      <w:bookmarkEnd w:id="812"/>
      <w:bookmarkEnd w:id="813"/>
    </w:p>
    <w:p w14:paraId="2EAE8AFA">
      <w:pPr>
        <w:spacing w:line="360" w:lineRule="auto"/>
        <w:rPr>
          <w:rFonts w:eastAsia="楷体_GB2312"/>
          <w:sz w:val="28"/>
          <w:lang w:eastAsia="zh-CN"/>
        </w:rPr>
      </w:pPr>
    </w:p>
    <w:p w14:paraId="791670A2">
      <w:pPr>
        <w:spacing w:line="360" w:lineRule="auto"/>
        <w:jc w:val="center"/>
        <w:rPr>
          <w:rFonts w:eastAsia="楷体_GB2312"/>
          <w:b/>
          <w:sz w:val="32"/>
          <w:lang w:eastAsia="zh-CN"/>
        </w:rPr>
      </w:pPr>
      <w:r>
        <w:rPr>
          <w:rFonts w:eastAsia="楷体_GB2312"/>
          <w:b/>
          <w:sz w:val="32"/>
          <w:lang w:eastAsia="zh-CN"/>
        </w:rPr>
        <w:t>信托财产文件交付确认函</w:t>
      </w:r>
    </w:p>
    <w:p w14:paraId="6CEBF28E">
      <w:pPr>
        <w:spacing w:line="360" w:lineRule="auto"/>
        <w:rPr>
          <w:rFonts w:eastAsia="楷体_GB2312"/>
          <w:sz w:val="28"/>
          <w:lang w:eastAsia="zh-CN"/>
        </w:rPr>
      </w:pPr>
    </w:p>
    <w:p w14:paraId="32C52D98">
      <w:pPr>
        <w:spacing w:line="360" w:lineRule="auto"/>
        <w:rPr>
          <w:rFonts w:eastAsia="楷体_GB2312"/>
          <w:b/>
          <w:lang w:eastAsia="zh-CN"/>
        </w:rPr>
      </w:pPr>
      <w:r>
        <w:rPr>
          <w:rFonts w:eastAsia="楷体_GB2312"/>
          <w:b/>
          <w:lang w:eastAsia="zh-CN"/>
        </w:rPr>
        <w:t>【发起机构全称】：</w:t>
      </w:r>
    </w:p>
    <w:p w14:paraId="5172EB5F">
      <w:pPr>
        <w:spacing w:line="360" w:lineRule="auto"/>
        <w:rPr>
          <w:rFonts w:eastAsia="楷体_GB2312"/>
          <w:lang w:eastAsia="zh-CN"/>
        </w:rPr>
      </w:pPr>
    </w:p>
    <w:p w14:paraId="40BC7C78">
      <w:pPr>
        <w:spacing w:line="360" w:lineRule="auto"/>
        <w:ind w:firstLine="480"/>
        <w:jc w:val="both"/>
        <w:rPr>
          <w:rFonts w:eastAsia="楷体_GB2312"/>
          <w:lang w:eastAsia="zh-CN"/>
        </w:rPr>
      </w:pPr>
      <w:r>
        <w:rPr>
          <w:rFonts w:eastAsia="楷体_GB2312"/>
          <w:lang w:eastAsia="zh-CN"/>
        </w:rPr>
        <w:t>根据我公司与贵公司于【】年【】月【】日签署的编号为【信托合同编号】的《【信托名称】之信托合同》第</w:t>
      </w:r>
      <w:r>
        <w:rPr>
          <w:rFonts w:eastAsia="楷体_GB2312"/>
          <w:lang w:eastAsia="zh-CN"/>
        </w:rPr>
        <w:fldChar w:fldCharType="begin"/>
      </w:r>
      <w:r>
        <w:rPr>
          <w:rFonts w:eastAsia="楷体_GB2312"/>
          <w:lang w:eastAsia="zh-CN"/>
        </w:rPr>
        <w:instrText xml:space="preserve"> REF _Ref333404977 \r \h  \* MERGEFORMAT </w:instrText>
      </w:r>
      <w:r>
        <w:rPr>
          <w:rFonts w:eastAsia="楷体_GB2312"/>
          <w:lang w:eastAsia="zh-CN"/>
        </w:rPr>
        <w:fldChar w:fldCharType="separate"/>
      </w:r>
      <w:r>
        <w:rPr>
          <w:rFonts w:eastAsia="楷体_GB2312"/>
          <w:lang w:eastAsia="zh-CN"/>
        </w:rPr>
        <w:t>3.10</w:t>
      </w:r>
      <w:r>
        <w:rPr>
          <w:rFonts w:eastAsia="楷体_GB2312"/>
          <w:lang w:eastAsia="zh-CN"/>
        </w:rPr>
        <w:fldChar w:fldCharType="end"/>
      </w:r>
      <w:r>
        <w:rPr>
          <w:rFonts w:eastAsia="楷体_GB2312"/>
          <w:lang w:eastAsia="zh-CN"/>
        </w:rPr>
        <w:t>款的约定，贵公司已于【】年【】月【】日将“基础资产清单”载有“贷款合同”编号信息并盖有“委托人”骑缝公章的索引的纸质版及由“委托人”启用写保护功能的完整电子版交付我公司。</w:t>
      </w:r>
    </w:p>
    <w:p w14:paraId="19FFE315">
      <w:pPr>
        <w:spacing w:line="360" w:lineRule="auto"/>
        <w:ind w:left="990"/>
        <w:rPr>
          <w:rFonts w:eastAsia="楷体_GB2312"/>
          <w:lang w:eastAsia="zh-CN"/>
        </w:rPr>
      </w:pPr>
    </w:p>
    <w:p w14:paraId="08B76E28">
      <w:pPr>
        <w:spacing w:line="360" w:lineRule="auto"/>
        <w:ind w:firstLine="480"/>
        <w:rPr>
          <w:rFonts w:eastAsia="楷体_GB2312"/>
          <w:lang w:eastAsia="zh-CN"/>
        </w:rPr>
      </w:pPr>
      <w:r>
        <w:rPr>
          <w:rFonts w:eastAsia="楷体_GB2312"/>
          <w:lang w:eastAsia="zh-CN"/>
        </w:rPr>
        <w:t>我公司确认已经收到上述文件，特立此函。</w:t>
      </w:r>
    </w:p>
    <w:p w14:paraId="000999A0">
      <w:pPr>
        <w:spacing w:line="360" w:lineRule="auto"/>
        <w:rPr>
          <w:rFonts w:eastAsia="楷体_GB2312"/>
          <w:lang w:eastAsia="zh-CN"/>
        </w:rPr>
      </w:pPr>
    </w:p>
    <w:p w14:paraId="0B573F3C">
      <w:pPr>
        <w:spacing w:line="360" w:lineRule="auto"/>
        <w:ind w:left="570"/>
        <w:jc w:val="right"/>
        <w:rPr>
          <w:rFonts w:eastAsia="楷体_GB2312"/>
          <w:lang w:eastAsia="zh-CN"/>
        </w:rPr>
      </w:pPr>
      <w:r>
        <w:rPr>
          <w:rFonts w:eastAsia="楷体_GB2312"/>
          <w:lang w:eastAsia="zh-CN"/>
        </w:rPr>
        <w:t>【受托机构全称】</w:t>
      </w:r>
    </w:p>
    <w:p w14:paraId="2D218571">
      <w:pPr>
        <w:spacing w:line="360" w:lineRule="auto"/>
        <w:ind w:left="570"/>
        <w:jc w:val="right"/>
        <w:rPr>
          <w:rFonts w:eastAsia="楷体_GB2312"/>
          <w:lang w:eastAsia="zh-CN"/>
        </w:rPr>
      </w:pPr>
      <w:r>
        <w:rPr>
          <w:rFonts w:eastAsia="楷体_GB2312"/>
          <w:lang w:eastAsia="zh-CN"/>
        </w:rPr>
        <w:t>（盖章）</w:t>
      </w:r>
    </w:p>
    <w:p w14:paraId="7A08FA5C">
      <w:pPr>
        <w:spacing w:line="360" w:lineRule="auto"/>
        <w:ind w:left="570"/>
        <w:jc w:val="right"/>
        <w:rPr>
          <w:rFonts w:eastAsia="楷体_GB2312"/>
          <w:lang w:eastAsia="zh-CN"/>
        </w:rPr>
      </w:pPr>
      <w:r>
        <w:rPr>
          <w:rFonts w:eastAsia="楷体_GB2312"/>
          <w:lang w:eastAsia="zh-CN"/>
        </w:rPr>
        <w:t>法定代表人或授权代表（签字或签章）：</w:t>
      </w:r>
    </w:p>
    <w:p w14:paraId="45799FE5">
      <w:pPr>
        <w:spacing w:line="360" w:lineRule="auto"/>
        <w:ind w:left="570"/>
        <w:jc w:val="right"/>
        <w:rPr>
          <w:rFonts w:eastAsia="楷体_GB2312"/>
          <w:lang w:eastAsia="zh-CN"/>
        </w:rPr>
      </w:pPr>
    </w:p>
    <w:p w14:paraId="65F7F36C">
      <w:pPr>
        <w:spacing w:line="360" w:lineRule="auto"/>
        <w:ind w:left="570"/>
        <w:jc w:val="right"/>
        <w:rPr>
          <w:rFonts w:eastAsia="楷体_GB2312"/>
          <w:lang w:eastAsia="zh-CN"/>
        </w:rPr>
      </w:pPr>
    </w:p>
    <w:p w14:paraId="74427144">
      <w:pPr>
        <w:spacing w:line="360" w:lineRule="auto"/>
        <w:ind w:left="570"/>
        <w:jc w:val="right"/>
        <w:rPr>
          <w:rFonts w:eastAsia="楷体_GB2312"/>
          <w:lang w:eastAsia="zh-CN"/>
        </w:rPr>
      </w:pPr>
      <w:r>
        <w:rPr>
          <w:rFonts w:eastAsia="楷体_GB2312"/>
          <w:lang w:eastAsia="zh-CN"/>
        </w:rPr>
        <w:t>【】年【】月【】日</w:t>
      </w:r>
    </w:p>
    <w:p w14:paraId="34002149">
      <w:pPr>
        <w:spacing w:line="360" w:lineRule="auto"/>
        <w:ind w:left="570"/>
        <w:rPr>
          <w:rFonts w:eastAsia="楷体_GB2312"/>
          <w:lang w:eastAsia="zh-CN"/>
        </w:rPr>
      </w:pPr>
    </w:p>
    <w:p w14:paraId="0409B06F">
      <w:pPr>
        <w:spacing w:line="360" w:lineRule="auto"/>
        <w:ind w:right="480"/>
        <w:outlineLvl w:val="0"/>
        <w:rPr>
          <w:rFonts w:eastAsia="楷体_GB2312"/>
          <w:b/>
          <w:lang w:eastAsia="zh-CN"/>
        </w:rPr>
      </w:pPr>
      <w:r>
        <w:rPr>
          <w:rFonts w:eastAsia="楷体_GB2312"/>
          <w:lang w:eastAsia="zh-CN"/>
        </w:rPr>
        <w:br w:type="page"/>
      </w:r>
      <w:bookmarkStart w:id="814" w:name="_Toc454484881"/>
      <w:bookmarkStart w:id="815" w:name="_Toc69138611"/>
      <w:bookmarkStart w:id="816" w:name="_Toc331764788"/>
      <w:bookmarkStart w:id="817" w:name="_Toc75510493"/>
      <w:bookmarkStart w:id="818" w:name="_Toc227955308"/>
      <w:bookmarkStart w:id="819" w:name="_Toc166105894"/>
      <w:r>
        <w:rPr>
          <w:rFonts w:eastAsia="楷体_GB2312"/>
          <w:b/>
          <w:lang w:eastAsia="zh-CN"/>
        </w:rPr>
        <w:t>附件三：《清仓回购通知书》格式</w:t>
      </w:r>
      <w:bookmarkEnd w:id="814"/>
      <w:bookmarkEnd w:id="815"/>
      <w:bookmarkEnd w:id="816"/>
      <w:bookmarkEnd w:id="817"/>
      <w:bookmarkEnd w:id="818"/>
      <w:bookmarkEnd w:id="819"/>
    </w:p>
    <w:p w14:paraId="02C24DAC">
      <w:pPr>
        <w:spacing w:line="360" w:lineRule="auto"/>
        <w:rPr>
          <w:rFonts w:eastAsia="楷体_GB2312"/>
          <w:lang w:eastAsia="zh-CN"/>
        </w:rPr>
      </w:pPr>
    </w:p>
    <w:p w14:paraId="732A6D90">
      <w:pPr>
        <w:spacing w:line="360" w:lineRule="auto"/>
        <w:jc w:val="center"/>
        <w:rPr>
          <w:rFonts w:eastAsia="楷体_GB2312"/>
          <w:sz w:val="28"/>
          <w:szCs w:val="28"/>
          <w:lang w:eastAsia="zh-CN"/>
        </w:rPr>
      </w:pPr>
      <w:r>
        <w:rPr>
          <w:rFonts w:eastAsia="楷体_GB2312"/>
          <w:b/>
          <w:sz w:val="28"/>
          <w:szCs w:val="28"/>
          <w:lang w:eastAsia="zh-CN"/>
        </w:rPr>
        <w:t>清仓回购通知书</w:t>
      </w:r>
    </w:p>
    <w:p w14:paraId="3DBA225A">
      <w:pPr>
        <w:spacing w:line="360" w:lineRule="auto"/>
        <w:rPr>
          <w:rFonts w:eastAsia="楷体_GB2312"/>
          <w:lang w:eastAsia="zh-CN"/>
        </w:rPr>
      </w:pPr>
    </w:p>
    <w:p w14:paraId="28C4BCF9">
      <w:pPr>
        <w:spacing w:line="360" w:lineRule="auto"/>
        <w:rPr>
          <w:rFonts w:eastAsia="楷体_GB2312"/>
          <w:lang w:eastAsia="zh-CN"/>
        </w:rPr>
      </w:pPr>
      <w:r>
        <w:rPr>
          <w:rFonts w:eastAsia="楷体_GB2312"/>
          <w:lang w:eastAsia="zh-CN"/>
        </w:rPr>
        <w:t>致：【受托机构全称】（“受托人”）</w:t>
      </w:r>
    </w:p>
    <w:p w14:paraId="1E9273FA">
      <w:pPr>
        <w:spacing w:line="360" w:lineRule="auto"/>
        <w:rPr>
          <w:rFonts w:eastAsia="楷体_GB2312"/>
          <w:lang w:eastAsia="zh-CN"/>
        </w:rPr>
      </w:pPr>
      <w:r>
        <w:rPr>
          <w:rFonts w:eastAsia="楷体_GB2312"/>
          <w:lang w:eastAsia="zh-CN"/>
        </w:rPr>
        <w:t>抄送：【评级机构1全称】和【评级机构2全称】（“评级机构”）</w:t>
      </w:r>
    </w:p>
    <w:p w14:paraId="7377F74A">
      <w:pPr>
        <w:spacing w:line="360" w:lineRule="auto"/>
        <w:rPr>
          <w:rFonts w:eastAsia="楷体_GB2312"/>
          <w:lang w:eastAsia="zh-CN"/>
        </w:rPr>
      </w:pPr>
      <w:r>
        <w:rPr>
          <w:rFonts w:eastAsia="楷体_GB2312"/>
          <w:lang w:eastAsia="zh-CN"/>
        </w:rPr>
        <w:t>日期：_______________</w:t>
      </w:r>
    </w:p>
    <w:p w14:paraId="5C56B7EF">
      <w:pPr>
        <w:spacing w:line="360" w:lineRule="auto"/>
        <w:rPr>
          <w:rFonts w:eastAsia="楷体_GB2312"/>
          <w:lang w:eastAsia="zh-CN"/>
        </w:rPr>
      </w:pPr>
    </w:p>
    <w:p w14:paraId="05DB34F4">
      <w:pPr>
        <w:spacing w:line="360" w:lineRule="auto"/>
        <w:ind w:left="-62" w:firstLine="480" w:firstLineChars="200"/>
        <w:jc w:val="both"/>
        <w:rPr>
          <w:rFonts w:eastAsia="楷体_GB2312"/>
          <w:lang w:eastAsia="zh-CN"/>
        </w:rPr>
      </w:pPr>
      <w:r>
        <w:rPr>
          <w:rFonts w:eastAsia="楷体_GB2312"/>
          <w:lang w:eastAsia="zh-CN"/>
        </w:rPr>
        <w:t>根据【发起机构全称】与【受托机构全称】签署的编号为【】的《【信托名称】之信托合同》（“《信托合同》”）的约定，本公司（作为“委托人”）向贵公司（作为“受托人”）通知如下：</w:t>
      </w:r>
    </w:p>
    <w:p w14:paraId="458B220C">
      <w:pPr>
        <w:widowControl w:val="0"/>
        <w:numPr>
          <w:ilvl w:val="0"/>
          <w:numId w:val="44"/>
        </w:numPr>
        <w:spacing w:line="360" w:lineRule="auto"/>
        <w:jc w:val="both"/>
        <w:rPr>
          <w:rFonts w:eastAsia="楷体_GB2312"/>
          <w:lang w:eastAsia="zh-CN"/>
        </w:rPr>
      </w:pPr>
      <w:r>
        <w:rPr>
          <w:rFonts w:eastAsia="楷体_GB2312"/>
          <w:lang w:eastAsia="zh-CN"/>
        </w:rPr>
        <w:t>本公司拟按照《信托合同》第</w:t>
      </w:r>
      <w:r>
        <w:rPr>
          <w:rFonts w:eastAsia="楷体_GB2312"/>
        </w:rPr>
        <w:fldChar w:fldCharType="begin"/>
      </w:r>
      <w:r>
        <w:rPr>
          <w:rFonts w:eastAsia="楷体_GB2312"/>
          <w:lang w:eastAsia="zh-CN"/>
        </w:rPr>
        <w:instrText xml:space="preserve"> REF _Ref332383683 \r \h  \* MERGEFORMAT </w:instrText>
      </w:r>
      <w:r>
        <w:rPr>
          <w:rFonts w:eastAsia="楷体_GB2312"/>
        </w:rPr>
        <w:fldChar w:fldCharType="separate"/>
      </w:r>
      <w:r>
        <w:rPr>
          <w:rFonts w:eastAsia="楷体_GB2312"/>
          <w:lang w:eastAsia="zh-CN"/>
        </w:rPr>
        <w:t>5</w:t>
      </w:r>
      <w:r>
        <w:rPr>
          <w:rFonts w:eastAsia="楷体_GB2312"/>
        </w:rPr>
        <w:fldChar w:fldCharType="end"/>
      </w:r>
      <w:r>
        <w:rPr>
          <w:rFonts w:eastAsia="楷体_GB2312"/>
          <w:lang w:eastAsia="zh-CN"/>
        </w:rPr>
        <w:t>条的</w:t>
      </w:r>
      <w:r>
        <w:rPr>
          <w:rFonts w:eastAsia="楷体_GB2312"/>
          <w:bCs/>
          <w:lang w:eastAsia="zh-CN"/>
        </w:rPr>
        <w:t>约</w:t>
      </w:r>
      <w:r>
        <w:rPr>
          <w:rFonts w:eastAsia="楷体_GB2312"/>
          <w:lang w:eastAsia="zh-CN"/>
        </w:rPr>
        <w:t>定“清仓回购”“资产池”；</w:t>
      </w:r>
    </w:p>
    <w:p w14:paraId="05A6030D">
      <w:pPr>
        <w:widowControl w:val="0"/>
        <w:numPr>
          <w:ilvl w:val="0"/>
          <w:numId w:val="44"/>
        </w:numPr>
        <w:spacing w:line="360" w:lineRule="auto"/>
        <w:jc w:val="both"/>
        <w:rPr>
          <w:rFonts w:eastAsia="楷体_GB2312"/>
          <w:lang w:eastAsia="zh-CN"/>
        </w:rPr>
      </w:pPr>
      <w:r>
        <w:rPr>
          <w:rFonts w:eastAsia="楷体_GB2312"/>
          <w:lang w:eastAsia="zh-CN"/>
        </w:rPr>
        <w:t>本公司发出本《清仓回购通知书》所在的“收款期间”是指【】年【】月【】日（不含该日）至【】年【】月【】日（含该日）的期间；</w:t>
      </w:r>
    </w:p>
    <w:p w14:paraId="4CCFB149">
      <w:pPr>
        <w:widowControl w:val="0"/>
        <w:numPr>
          <w:ilvl w:val="0"/>
          <w:numId w:val="44"/>
        </w:numPr>
        <w:spacing w:line="360" w:lineRule="auto"/>
        <w:jc w:val="both"/>
        <w:rPr>
          <w:rFonts w:eastAsia="楷体_GB2312"/>
          <w:lang w:eastAsia="zh-CN"/>
        </w:rPr>
      </w:pPr>
      <w:r>
        <w:rPr>
          <w:rFonts w:eastAsia="楷体_GB2312"/>
          <w:lang w:eastAsia="zh-CN"/>
        </w:rPr>
        <w:t>本次“清仓回购”的清仓回购价款支付时间不晚于【】年【】月【】日（即不晚于发出《清仓回购通知书》所在“收款期间”结束后的第一个“回收款转付日”）；</w:t>
      </w:r>
    </w:p>
    <w:p w14:paraId="56D113C3">
      <w:pPr>
        <w:widowControl w:val="0"/>
        <w:numPr>
          <w:ilvl w:val="0"/>
          <w:numId w:val="44"/>
        </w:numPr>
        <w:spacing w:line="360" w:lineRule="auto"/>
        <w:jc w:val="both"/>
        <w:rPr>
          <w:rFonts w:eastAsia="楷体_GB2312"/>
          <w:lang w:eastAsia="zh-CN"/>
        </w:rPr>
      </w:pPr>
      <w:r>
        <w:rPr>
          <w:rFonts w:eastAsia="楷体_GB2312"/>
          <w:lang w:eastAsia="zh-CN"/>
        </w:rPr>
        <w:t>本次“清仓回购”的“回购起算日”系指【】年【】月【】日。</w:t>
      </w:r>
    </w:p>
    <w:p w14:paraId="2DEFFC4E">
      <w:pPr>
        <w:spacing w:line="360" w:lineRule="auto"/>
        <w:ind w:left="-62" w:firstLine="480" w:firstLineChars="200"/>
        <w:jc w:val="both"/>
        <w:rPr>
          <w:rFonts w:eastAsia="楷体_GB2312"/>
          <w:lang w:eastAsia="zh-CN"/>
        </w:rPr>
      </w:pPr>
    </w:p>
    <w:p w14:paraId="6AAEF55B">
      <w:pPr>
        <w:spacing w:line="360" w:lineRule="auto"/>
        <w:ind w:left="-62" w:firstLine="480" w:firstLineChars="200"/>
        <w:rPr>
          <w:rFonts w:eastAsia="楷体_GB2312"/>
          <w:lang w:eastAsia="zh-CN"/>
        </w:rPr>
      </w:pPr>
      <w:r>
        <w:rPr>
          <w:rFonts w:eastAsia="楷体_GB2312"/>
          <w:lang w:eastAsia="zh-CN"/>
        </w:rPr>
        <w:t>若无相反定义，本通知使用的词语和表述与《信托合同》中的相同词语和表述具有相同含义。</w:t>
      </w:r>
    </w:p>
    <w:p w14:paraId="550786AA">
      <w:pPr>
        <w:spacing w:line="360" w:lineRule="auto"/>
        <w:rPr>
          <w:rFonts w:eastAsia="楷体_GB2312"/>
          <w:b/>
          <w:sz w:val="28"/>
          <w:szCs w:val="28"/>
          <w:lang w:eastAsia="zh-CN"/>
        </w:rPr>
      </w:pPr>
    </w:p>
    <w:p w14:paraId="1CC60319">
      <w:pPr>
        <w:spacing w:line="360" w:lineRule="auto"/>
        <w:ind w:left="240" w:leftChars="100"/>
        <w:jc w:val="right"/>
        <w:rPr>
          <w:rFonts w:eastAsia="楷体_GB2312"/>
          <w:lang w:eastAsia="zh-CN"/>
        </w:rPr>
      </w:pPr>
      <w:r>
        <w:rPr>
          <w:rFonts w:eastAsia="楷体_GB2312"/>
          <w:lang w:eastAsia="zh-CN"/>
        </w:rPr>
        <w:t>委托人：【发起机构全称】（公章）</w:t>
      </w:r>
    </w:p>
    <w:p w14:paraId="737199AA">
      <w:pPr>
        <w:spacing w:line="360" w:lineRule="auto"/>
        <w:ind w:right="480"/>
        <w:jc w:val="right"/>
        <w:rPr>
          <w:rFonts w:eastAsia="楷体_GB2312"/>
          <w:lang w:eastAsia="zh-CN"/>
        </w:rPr>
      </w:pPr>
      <w:r>
        <w:rPr>
          <w:rFonts w:eastAsia="楷体_GB2312"/>
          <w:lang w:eastAsia="zh-CN"/>
        </w:rPr>
        <w:t>法定代表人或授权代理人（签字</w:t>
      </w:r>
      <w:bookmarkStart w:id="820" w:name="_Hlk56011057"/>
      <w:r>
        <w:rPr>
          <w:rFonts w:eastAsia="楷体_GB2312"/>
          <w:lang w:eastAsia="zh-CN"/>
        </w:rPr>
        <w:t>或</w:t>
      </w:r>
      <w:bookmarkEnd w:id="820"/>
      <w:r>
        <w:rPr>
          <w:rFonts w:eastAsia="楷体_GB2312"/>
          <w:lang w:eastAsia="zh-CN"/>
        </w:rPr>
        <w:t>签章）：</w:t>
      </w:r>
    </w:p>
    <w:p w14:paraId="682108D0">
      <w:pPr>
        <w:spacing w:line="360" w:lineRule="auto"/>
        <w:ind w:left="3780" w:right="480"/>
        <w:jc w:val="center"/>
        <w:rPr>
          <w:rFonts w:eastAsia="楷体_GB2312"/>
          <w:lang w:eastAsia="zh-CN"/>
        </w:rPr>
      </w:pPr>
      <w:r>
        <w:rPr>
          <w:rFonts w:eastAsia="楷体_GB2312"/>
          <w:lang w:eastAsia="zh-CN"/>
        </w:rPr>
        <w:t>【】年【】月【】日</w:t>
      </w:r>
    </w:p>
    <w:p w14:paraId="565C0FB8">
      <w:pPr>
        <w:spacing w:line="360" w:lineRule="auto"/>
        <w:ind w:right="480"/>
        <w:rPr>
          <w:rFonts w:eastAsia="楷体_GB2312"/>
          <w:lang w:eastAsia="zh-CN"/>
        </w:rPr>
      </w:pPr>
    </w:p>
    <w:p w14:paraId="24D3DEDC">
      <w:pPr>
        <w:spacing w:line="360" w:lineRule="auto"/>
        <w:ind w:right="480"/>
        <w:outlineLvl w:val="0"/>
        <w:rPr>
          <w:rFonts w:eastAsia="楷体_GB2312"/>
          <w:b/>
          <w:lang w:eastAsia="zh-CN"/>
        </w:rPr>
      </w:pPr>
      <w:r>
        <w:rPr>
          <w:rFonts w:eastAsia="楷体_GB2312"/>
          <w:lang w:eastAsia="zh-CN"/>
        </w:rPr>
        <w:br w:type="page"/>
      </w:r>
      <w:bookmarkStart w:id="821" w:name="_Toc69138612"/>
      <w:bookmarkStart w:id="822" w:name="_Toc227955309"/>
      <w:bookmarkStart w:id="823" w:name="_Toc166105895"/>
      <w:bookmarkStart w:id="824" w:name="_Toc75510494"/>
      <w:bookmarkStart w:id="825" w:name="_Toc331764789"/>
      <w:bookmarkStart w:id="826" w:name="_Toc454484882"/>
      <w:r>
        <w:rPr>
          <w:rFonts w:eastAsia="楷体_GB2312"/>
          <w:b/>
          <w:lang w:eastAsia="zh-CN"/>
        </w:rPr>
        <w:t>附件四：清仓回购要约通知格式</w:t>
      </w:r>
      <w:bookmarkEnd w:id="821"/>
      <w:bookmarkEnd w:id="822"/>
      <w:bookmarkEnd w:id="823"/>
      <w:bookmarkEnd w:id="824"/>
      <w:bookmarkEnd w:id="825"/>
      <w:bookmarkEnd w:id="826"/>
    </w:p>
    <w:p w14:paraId="6F196FAB">
      <w:pPr>
        <w:spacing w:line="360" w:lineRule="auto"/>
        <w:rPr>
          <w:rFonts w:eastAsia="楷体_GB2312"/>
          <w:lang w:eastAsia="zh-CN"/>
        </w:rPr>
      </w:pPr>
    </w:p>
    <w:p w14:paraId="3DDDD37B">
      <w:pPr>
        <w:spacing w:line="360" w:lineRule="auto"/>
        <w:jc w:val="center"/>
        <w:rPr>
          <w:rFonts w:eastAsia="楷体_GB2312"/>
          <w:sz w:val="28"/>
          <w:szCs w:val="28"/>
          <w:lang w:eastAsia="zh-CN"/>
        </w:rPr>
      </w:pPr>
      <w:r>
        <w:rPr>
          <w:rFonts w:eastAsia="楷体_GB2312"/>
          <w:b/>
          <w:sz w:val="28"/>
          <w:szCs w:val="28"/>
          <w:lang w:eastAsia="zh-CN"/>
        </w:rPr>
        <w:t>清仓回购要约通知书</w:t>
      </w:r>
    </w:p>
    <w:p w14:paraId="0206DFF1">
      <w:pPr>
        <w:spacing w:line="360" w:lineRule="auto"/>
        <w:rPr>
          <w:rFonts w:eastAsia="楷体_GB2312"/>
          <w:lang w:eastAsia="zh-CN"/>
        </w:rPr>
      </w:pPr>
    </w:p>
    <w:p w14:paraId="5CC9D440">
      <w:pPr>
        <w:spacing w:line="360" w:lineRule="auto"/>
        <w:rPr>
          <w:rFonts w:eastAsia="楷体_GB2312"/>
          <w:lang w:eastAsia="zh-CN"/>
        </w:rPr>
      </w:pPr>
      <w:r>
        <w:rPr>
          <w:rFonts w:eastAsia="楷体_GB2312"/>
          <w:lang w:eastAsia="zh-CN"/>
        </w:rPr>
        <w:t>致：【发起机构全称】（“委托人”）</w:t>
      </w:r>
    </w:p>
    <w:p w14:paraId="45E081D4">
      <w:pPr>
        <w:spacing w:line="360" w:lineRule="auto"/>
        <w:jc w:val="both"/>
        <w:rPr>
          <w:rFonts w:eastAsia="楷体_GB2312"/>
          <w:lang w:eastAsia="zh-CN"/>
        </w:rPr>
      </w:pPr>
      <w:r>
        <w:rPr>
          <w:rFonts w:eastAsia="楷体_GB2312"/>
          <w:lang w:eastAsia="zh-CN"/>
        </w:rPr>
        <w:t>抄送：【评级机构1全称】和【评级机构2全称】（“评级机构”）</w:t>
      </w:r>
    </w:p>
    <w:p w14:paraId="50E1860B">
      <w:pPr>
        <w:spacing w:line="360" w:lineRule="auto"/>
        <w:jc w:val="both"/>
        <w:rPr>
          <w:rFonts w:eastAsia="楷体_GB2312"/>
          <w:lang w:eastAsia="zh-CN"/>
        </w:rPr>
      </w:pPr>
      <w:r>
        <w:rPr>
          <w:rFonts w:eastAsia="楷体_GB2312"/>
          <w:lang w:eastAsia="zh-CN"/>
        </w:rPr>
        <w:t>日期：_______________</w:t>
      </w:r>
    </w:p>
    <w:p w14:paraId="76E040A4">
      <w:pPr>
        <w:spacing w:line="360" w:lineRule="auto"/>
        <w:jc w:val="both"/>
        <w:rPr>
          <w:rFonts w:eastAsia="楷体_GB2312"/>
          <w:lang w:eastAsia="zh-CN"/>
        </w:rPr>
      </w:pPr>
    </w:p>
    <w:p w14:paraId="141CBBF5">
      <w:pPr>
        <w:spacing w:line="360" w:lineRule="auto"/>
        <w:ind w:left="-62" w:firstLine="480" w:firstLineChars="200"/>
        <w:jc w:val="both"/>
        <w:rPr>
          <w:rFonts w:eastAsia="楷体_GB2312"/>
          <w:lang w:eastAsia="zh-CN"/>
        </w:rPr>
      </w:pPr>
      <w:r>
        <w:rPr>
          <w:rFonts w:eastAsia="楷体_GB2312"/>
          <w:lang w:eastAsia="zh-CN"/>
        </w:rPr>
        <w:t>根据【受托机构全称】与【发起机构全称】签署的编号为【】的《【信托名称】之信托合同》（“《信托合同》”）的约定，本公司（作为“受托人”）向贵公司（作为“委托人”）通知如下：</w:t>
      </w:r>
    </w:p>
    <w:p w14:paraId="2D635A88">
      <w:pPr>
        <w:widowControl w:val="0"/>
        <w:numPr>
          <w:ilvl w:val="0"/>
          <w:numId w:val="45"/>
        </w:numPr>
        <w:spacing w:line="360" w:lineRule="auto"/>
        <w:jc w:val="both"/>
        <w:rPr>
          <w:rFonts w:eastAsia="楷体_GB2312"/>
          <w:lang w:eastAsia="zh-CN"/>
        </w:rPr>
      </w:pPr>
      <w:r>
        <w:rPr>
          <w:rFonts w:eastAsia="楷体_GB2312"/>
          <w:lang w:eastAsia="zh-CN"/>
        </w:rPr>
        <w:t>本公司已收到贵公司于【】年【】月【】日发出的“清仓回购通知书”（见本通知附件）；</w:t>
      </w:r>
    </w:p>
    <w:p w14:paraId="5794D38B">
      <w:pPr>
        <w:widowControl w:val="0"/>
        <w:numPr>
          <w:ilvl w:val="0"/>
          <w:numId w:val="45"/>
        </w:numPr>
        <w:spacing w:line="360" w:lineRule="auto"/>
        <w:jc w:val="both"/>
        <w:rPr>
          <w:rFonts w:eastAsia="楷体_GB2312"/>
          <w:lang w:eastAsia="zh-CN"/>
        </w:rPr>
      </w:pPr>
      <w:r>
        <w:rPr>
          <w:rFonts w:eastAsia="楷体_GB2312"/>
          <w:lang w:eastAsia="zh-CN"/>
        </w:rPr>
        <w:t>“清仓回购价格”为【】元；</w:t>
      </w:r>
    </w:p>
    <w:p w14:paraId="038467EC">
      <w:pPr>
        <w:widowControl w:val="0"/>
        <w:numPr>
          <w:ilvl w:val="0"/>
          <w:numId w:val="45"/>
        </w:numPr>
        <w:spacing w:line="360" w:lineRule="auto"/>
        <w:jc w:val="both"/>
        <w:rPr>
          <w:rFonts w:eastAsia="楷体_GB2312"/>
          <w:lang w:eastAsia="zh-CN"/>
        </w:rPr>
      </w:pPr>
      <w:r>
        <w:rPr>
          <w:rFonts w:eastAsia="楷体_GB2312"/>
          <w:lang w:eastAsia="zh-CN"/>
        </w:rPr>
        <w:t>在贵公司承诺后，本公司将自回购起算日</w:t>
      </w:r>
      <w:r>
        <w:rPr>
          <w:rFonts w:eastAsia="楷体_GB2312"/>
          <w:color w:val="000000"/>
        </w:rPr>
        <w:t>【</w:t>
      </w:r>
      <w:r>
        <w:rPr>
          <w:rFonts w:eastAsia="楷体_GB2312"/>
          <w:i/>
          <w:iCs/>
        </w:rPr>
        <w:t>具体时点</w:t>
      </w:r>
      <w:r>
        <w:rPr>
          <w:rFonts w:eastAsia="楷体_GB2312"/>
          <w:color w:val="000000"/>
        </w:rPr>
        <w:t>】</w:t>
      </w:r>
      <w:r>
        <w:rPr>
          <w:rFonts w:eastAsia="楷体_GB2312"/>
          <w:lang w:eastAsia="zh-CN"/>
        </w:rPr>
        <w:t>起信托项下全部剩余“资产池”出售给委托人，贵公司应不晚于【】年【】月【】日（即不晚于发出《清仓回购通知书》所在“收款期间”结束后的第一个“回收款转付日”）将相当于“清仓回购价格”在扣除贵公司根据《信托合同》第</w:t>
      </w:r>
      <w:r>
        <w:rPr>
          <w:rFonts w:eastAsia="楷体_GB2312"/>
        </w:rPr>
        <w:fldChar w:fldCharType="begin"/>
      </w:r>
      <w:r>
        <w:rPr>
          <w:rFonts w:eastAsia="楷体_GB2312"/>
          <w:lang w:eastAsia="zh-CN"/>
        </w:rPr>
        <w:instrText xml:space="preserve"> REF _Ref331596015 \r \h  \* MERGEFORMAT </w:instrText>
      </w:r>
      <w:r>
        <w:rPr>
          <w:rFonts w:eastAsia="楷体_GB2312"/>
        </w:rPr>
        <w:fldChar w:fldCharType="separate"/>
      </w:r>
      <w:r>
        <w:rPr>
          <w:rFonts w:eastAsia="楷体_GB2312"/>
          <w:lang w:eastAsia="zh-CN"/>
        </w:rPr>
        <w:t>5.5</w:t>
      </w:r>
      <w:r>
        <w:rPr>
          <w:rFonts w:eastAsia="楷体_GB2312"/>
        </w:rPr>
        <w:fldChar w:fldCharType="end"/>
      </w:r>
      <w:r>
        <w:rPr>
          <w:rFonts w:eastAsia="楷体_GB2312"/>
          <w:lang w:eastAsia="zh-CN"/>
        </w:rPr>
        <w:t>款可扣除的款项后的资金，一次性支付至如下“信托账户”，户名【】，开户行【】，账号【】；</w:t>
      </w:r>
    </w:p>
    <w:p w14:paraId="099375D8">
      <w:pPr>
        <w:widowControl w:val="0"/>
        <w:numPr>
          <w:ilvl w:val="0"/>
          <w:numId w:val="45"/>
        </w:numPr>
        <w:spacing w:line="360" w:lineRule="auto"/>
        <w:jc w:val="both"/>
        <w:rPr>
          <w:rFonts w:eastAsia="楷体_GB2312"/>
          <w:lang w:eastAsia="zh-CN"/>
        </w:rPr>
      </w:pPr>
      <w:r>
        <w:rPr>
          <w:rFonts w:eastAsia="楷体_GB2312"/>
          <w:lang w:eastAsia="zh-CN"/>
        </w:rPr>
        <w:t>贵公司发出《清仓回购通知书》所在的“收款期间”是指【】年【】月【】日（不含该日）至【】年【】月【】日（含该日）；</w:t>
      </w:r>
    </w:p>
    <w:p w14:paraId="791CA047">
      <w:pPr>
        <w:widowControl w:val="0"/>
        <w:numPr>
          <w:ilvl w:val="0"/>
          <w:numId w:val="45"/>
        </w:numPr>
        <w:spacing w:line="360" w:lineRule="auto"/>
        <w:jc w:val="both"/>
        <w:rPr>
          <w:rFonts w:eastAsia="楷体_GB2312"/>
          <w:lang w:eastAsia="zh-CN"/>
        </w:rPr>
      </w:pPr>
      <w:r>
        <w:rPr>
          <w:rFonts w:eastAsia="楷体_GB2312"/>
          <w:lang w:eastAsia="zh-CN"/>
        </w:rPr>
        <w:t>本次“清仓回购”的“回购起算日”系指【】年【】月【】日。</w:t>
      </w:r>
    </w:p>
    <w:p w14:paraId="5A3DC891">
      <w:pPr>
        <w:widowControl w:val="0"/>
        <w:numPr>
          <w:ilvl w:val="0"/>
          <w:numId w:val="45"/>
        </w:numPr>
        <w:spacing w:line="360" w:lineRule="auto"/>
        <w:jc w:val="both"/>
        <w:rPr>
          <w:rFonts w:eastAsia="楷体_GB2312"/>
          <w:lang w:eastAsia="zh-CN"/>
        </w:rPr>
      </w:pPr>
      <w:r>
        <w:rPr>
          <w:rFonts w:eastAsia="楷体_GB2312"/>
          <w:lang w:eastAsia="zh-CN"/>
        </w:rPr>
        <w:t>贵公司如欲同意接受本要约，应于收到本要约后【】个“工作日”内将承诺通知发送给本公司。</w:t>
      </w:r>
    </w:p>
    <w:p w14:paraId="0F44376C">
      <w:pPr>
        <w:spacing w:line="360" w:lineRule="auto"/>
        <w:ind w:left="-62" w:firstLine="480" w:firstLineChars="200"/>
        <w:jc w:val="both"/>
        <w:rPr>
          <w:rFonts w:eastAsia="楷体_GB2312"/>
          <w:lang w:eastAsia="zh-CN"/>
        </w:rPr>
      </w:pPr>
      <w:r>
        <w:rPr>
          <w:rFonts w:eastAsia="楷体_GB2312"/>
          <w:lang w:eastAsia="zh-CN"/>
        </w:rPr>
        <w:t>若无相反定义，本通知使用的词语和表述与《信托合同》中的相同词语和表述具有相同含义。</w:t>
      </w:r>
    </w:p>
    <w:p w14:paraId="470EEE6B">
      <w:pPr>
        <w:spacing w:line="360" w:lineRule="auto"/>
        <w:ind w:left="240" w:leftChars="100"/>
        <w:jc w:val="right"/>
        <w:rPr>
          <w:rFonts w:eastAsia="楷体_GB2312"/>
          <w:lang w:eastAsia="zh-CN"/>
        </w:rPr>
      </w:pPr>
      <w:r>
        <w:rPr>
          <w:rFonts w:eastAsia="楷体_GB2312"/>
          <w:lang w:eastAsia="zh-CN"/>
        </w:rPr>
        <w:t>受托人：【受托机构全称】（公章）</w:t>
      </w:r>
    </w:p>
    <w:p w14:paraId="22DD63F4">
      <w:pPr>
        <w:spacing w:line="360" w:lineRule="auto"/>
        <w:ind w:left="240" w:leftChars="100"/>
        <w:jc w:val="right"/>
        <w:rPr>
          <w:rFonts w:eastAsia="楷体_GB2312"/>
          <w:lang w:eastAsia="zh-CN"/>
        </w:rPr>
      </w:pPr>
      <w:r>
        <w:rPr>
          <w:rFonts w:eastAsia="楷体_GB2312"/>
          <w:lang w:eastAsia="zh-CN"/>
        </w:rPr>
        <w:t>法定代表人或授权代理人（签字或签章）：</w:t>
      </w:r>
    </w:p>
    <w:p w14:paraId="22503C64">
      <w:pPr>
        <w:spacing w:line="360" w:lineRule="auto"/>
        <w:ind w:left="3780" w:right="480"/>
        <w:jc w:val="center"/>
        <w:rPr>
          <w:rFonts w:eastAsia="楷体_GB2312"/>
          <w:lang w:eastAsia="zh-CN"/>
        </w:rPr>
      </w:pPr>
      <w:r>
        <w:rPr>
          <w:rFonts w:eastAsia="楷体_GB2312"/>
          <w:lang w:eastAsia="zh-CN"/>
        </w:rPr>
        <w:t>【】年【】月【】日</w:t>
      </w:r>
    </w:p>
    <w:p w14:paraId="7B299D5E">
      <w:pPr>
        <w:spacing w:line="360" w:lineRule="auto"/>
        <w:rPr>
          <w:rFonts w:eastAsia="楷体_GB2312"/>
          <w:b/>
          <w:lang w:eastAsia="zh-CN"/>
        </w:rPr>
      </w:pPr>
      <w:r>
        <w:rPr>
          <w:rFonts w:eastAsia="楷体_GB2312"/>
          <w:b/>
          <w:lang w:eastAsia="zh-CN"/>
        </w:rPr>
        <w:t>附：清仓回购通知书</w:t>
      </w:r>
    </w:p>
    <w:p w14:paraId="06872593">
      <w:pPr>
        <w:spacing w:line="360" w:lineRule="auto"/>
        <w:ind w:right="480"/>
        <w:outlineLvl w:val="0"/>
        <w:rPr>
          <w:rFonts w:eastAsia="楷体_GB2312"/>
          <w:b/>
          <w:lang w:eastAsia="zh-CN"/>
        </w:rPr>
      </w:pPr>
      <w:r>
        <w:rPr>
          <w:rFonts w:eastAsia="楷体_GB2312"/>
          <w:b/>
          <w:lang w:eastAsia="zh-CN"/>
        </w:rPr>
        <w:br w:type="page"/>
      </w:r>
      <w:bookmarkStart w:id="827" w:name="_Toc166105896"/>
      <w:bookmarkStart w:id="828" w:name="_Toc69138613"/>
      <w:bookmarkStart w:id="829" w:name="_Toc454484883"/>
      <w:bookmarkStart w:id="830" w:name="_Toc75510495"/>
      <w:bookmarkStart w:id="831" w:name="_Toc227955310"/>
      <w:bookmarkStart w:id="832" w:name="_Toc331764790"/>
      <w:r>
        <w:rPr>
          <w:rFonts w:eastAsia="楷体_GB2312"/>
          <w:b/>
          <w:lang w:eastAsia="zh-CN"/>
        </w:rPr>
        <w:t>附件五：清仓回购承诺通知格式</w:t>
      </w:r>
      <w:bookmarkEnd w:id="827"/>
      <w:bookmarkEnd w:id="828"/>
      <w:bookmarkEnd w:id="829"/>
      <w:bookmarkEnd w:id="830"/>
      <w:bookmarkEnd w:id="831"/>
      <w:bookmarkEnd w:id="832"/>
    </w:p>
    <w:p w14:paraId="09B926C9">
      <w:pPr>
        <w:spacing w:line="360" w:lineRule="auto"/>
        <w:rPr>
          <w:rFonts w:eastAsia="楷体_GB2312"/>
          <w:b/>
          <w:lang w:eastAsia="zh-CN"/>
        </w:rPr>
      </w:pPr>
    </w:p>
    <w:p w14:paraId="1F11B135">
      <w:pPr>
        <w:spacing w:line="360" w:lineRule="auto"/>
        <w:jc w:val="center"/>
        <w:rPr>
          <w:rFonts w:eastAsia="楷体_GB2312"/>
          <w:sz w:val="28"/>
          <w:szCs w:val="28"/>
          <w:lang w:eastAsia="zh-CN"/>
        </w:rPr>
      </w:pPr>
      <w:r>
        <w:rPr>
          <w:rFonts w:eastAsia="楷体_GB2312"/>
          <w:b/>
          <w:sz w:val="28"/>
          <w:szCs w:val="28"/>
          <w:lang w:eastAsia="zh-CN"/>
        </w:rPr>
        <w:t>清仓回购承诺通知书</w:t>
      </w:r>
    </w:p>
    <w:p w14:paraId="04C7FCF9">
      <w:pPr>
        <w:spacing w:line="360" w:lineRule="auto"/>
        <w:rPr>
          <w:rFonts w:eastAsia="楷体_GB2312"/>
          <w:lang w:eastAsia="zh-CN"/>
        </w:rPr>
      </w:pPr>
    </w:p>
    <w:p w14:paraId="07409136">
      <w:pPr>
        <w:spacing w:line="360" w:lineRule="auto"/>
        <w:rPr>
          <w:rFonts w:eastAsia="楷体_GB2312"/>
          <w:lang w:eastAsia="zh-CN"/>
        </w:rPr>
      </w:pPr>
      <w:r>
        <w:rPr>
          <w:rFonts w:eastAsia="楷体_GB2312"/>
          <w:lang w:eastAsia="zh-CN"/>
        </w:rPr>
        <w:t>致：【受托机构全称】（“受托人”）</w:t>
      </w:r>
    </w:p>
    <w:p w14:paraId="530F734C">
      <w:pPr>
        <w:spacing w:line="360" w:lineRule="auto"/>
        <w:rPr>
          <w:rFonts w:eastAsia="楷体_GB2312"/>
          <w:lang w:eastAsia="zh-CN"/>
        </w:rPr>
      </w:pPr>
      <w:r>
        <w:rPr>
          <w:rFonts w:eastAsia="楷体_GB2312"/>
          <w:lang w:eastAsia="zh-CN"/>
        </w:rPr>
        <w:t>抄送：【评级机构1全称】和【评级机构2全称】（“评级机构”）</w:t>
      </w:r>
    </w:p>
    <w:p w14:paraId="12C70AAC">
      <w:pPr>
        <w:spacing w:line="360" w:lineRule="auto"/>
        <w:rPr>
          <w:rFonts w:eastAsia="楷体_GB2312"/>
          <w:lang w:eastAsia="zh-CN"/>
        </w:rPr>
      </w:pPr>
      <w:r>
        <w:rPr>
          <w:rFonts w:eastAsia="楷体_GB2312"/>
          <w:lang w:eastAsia="zh-CN"/>
        </w:rPr>
        <w:t>日期：_______________</w:t>
      </w:r>
    </w:p>
    <w:p w14:paraId="78F116B6">
      <w:pPr>
        <w:spacing w:line="360" w:lineRule="auto"/>
        <w:rPr>
          <w:rFonts w:eastAsia="楷体_GB2312"/>
          <w:lang w:eastAsia="zh-CN"/>
        </w:rPr>
      </w:pPr>
    </w:p>
    <w:p w14:paraId="54014717">
      <w:pPr>
        <w:spacing w:line="360" w:lineRule="auto"/>
        <w:ind w:left="-62" w:firstLine="480" w:firstLineChars="200"/>
        <w:jc w:val="both"/>
        <w:rPr>
          <w:rFonts w:eastAsia="楷体_GB2312"/>
          <w:lang w:eastAsia="zh-CN"/>
        </w:rPr>
      </w:pPr>
      <w:r>
        <w:rPr>
          <w:rFonts w:eastAsia="楷体_GB2312"/>
          <w:lang w:eastAsia="zh-CN"/>
        </w:rPr>
        <w:t>根据【发起机构全称】与【受托机构全称】签署的编号为【】的《【信托名称】之信托合同》（“《信托合同》”）的约定，本公司（作为“委托人”）向贵公司（作为“受托人”）通知如下：</w:t>
      </w:r>
    </w:p>
    <w:p w14:paraId="50112AAD">
      <w:pPr>
        <w:widowControl w:val="0"/>
        <w:numPr>
          <w:ilvl w:val="0"/>
          <w:numId w:val="46"/>
        </w:numPr>
        <w:spacing w:line="360" w:lineRule="auto"/>
        <w:jc w:val="both"/>
        <w:rPr>
          <w:rFonts w:eastAsia="楷体_GB2312"/>
          <w:lang w:eastAsia="zh-CN"/>
        </w:rPr>
      </w:pPr>
      <w:r>
        <w:rPr>
          <w:rFonts w:eastAsia="楷体_GB2312"/>
          <w:lang w:eastAsia="zh-CN"/>
        </w:rPr>
        <w:t>本公司已收到贵公司于【】年【】月【】日发出的清仓回购要约通知书（见本通知附件），且本公司同意接受该要约。</w:t>
      </w:r>
    </w:p>
    <w:p w14:paraId="3D9F0936">
      <w:pPr>
        <w:widowControl w:val="0"/>
        <w:numPr>
          <w:ilvl w:val="0"/>
          <w:numId w:val="46"/>
        </w:numPr>
        <w:spacing w:line="360" w:lineRule="auto"/>
        <w:jc w:val="both"/>
        <w:rPr>
          <w:rFonts w:eastAsia="楷体_GB2312"/>
          <w:lang w:eastAsia="zh-CN"/>
        </w:rPr>
      </w:pPr>
      <w:r>
        <w:rPr>
          <w:rFonts w:eastAsia="楷体_GB2312"/>
          <w:lang w:eastAsia="zh-CN"/>
        </w:rPr>
        <w:t>本通知为不可撤销的承诺通知。</w:t>
      </w:r>
    </w:p>
    <w:p w14:paraId="193138B5">
      <w:pPr>
        <w:spacing w:line="360" w:lineRule="auto"/>
        <w:ind w:left="-62" w:firstLine="480" w:firstLineChars="200"/>
        <w:jc w:val="both"/>
        <w:rPr>
          <w:rFonts w:eastAsia="楷体_GB2312"/>
          <w:lang w:eastAsia="zh-CN"/>
        </w:rPr>
      </w:pPr>
      <w:r>
        <w:rPr>
          <w:rFonts w:eastAsia="楷体_GB2312"/>
          <w:lang w:eastAsia="zh-CN"/>
        </w:rPr>
        <w:t>若无相反定义，本通知使用的词语和表述与《信托合同》中的相同词语和表述具有相同含义。</w:t>
      </w:r>
    </w:p>
    <w:p w14:paraId="1059344D">
      <w:pPr>
        <w:spacing w:line="360" w:lineRule="auto"/>
        <w:ind w:left="-60"/>
        <w:rPr>
          <w:rFonts w:eastAsia="楷体_GB2312"/>
          <w:lang w:eastAsia="zh-CN"/>
        </w:rPr>
      </w:pPr>
    </w:p>
    <w:p w14:paraId="49381875">
      <w:pPr>
        <w:spacing w:line="360" w:lineRule="auto"/>
        <w:rPr>
          <w:rFonts w:eastAsia="楷体_GB2312"/>
          <w:b/>
          <w:sz w:val="28"/>
          <w:szCs w:val="28"/>
          <w:lang w:eastAsia="zh-CN"/>
        </w:rPr>
      </w:pPr>
    </w:p>
    <w:p w14:paraId="080F19F9">
      <w:pPr>
        <w:spacing w:line="360" w:lineRule="auto"/>
        <w:ind w:left="240" w:leftChars="100"/>
        <w:jc w:val="right"/>
        <w:rPr>
          <w:rFonts w:eastAsia="楷体_GB2312"/>
          <w:lang w:eastAsia="zh-CN"/>
        </w:rPr>
      </w:pPr>
      <w:r>
        <w:rPr>
          <w:rFonts w:eastAsia="楷体_GB2312"/>
          <w:lang w:eastAsia="zh-CN"/>
        </w:rPr>
        <w:t>委托人：【发起机构全称】（公章）</w:t>
      </w:r>
    </w:p>
    <w:p w14:paraId="4664144A">
      <w:pPr>
        <w:spacing w:line="360" w:lineRule="auto"/>
        <w:ind w:right="480"/>
        <w:jc w:val="right"/>
        <w:rPr>
          <w:rFonts w:eastAsia="楷体_GB2312"/>
          <w:lang w:eastAsia="zh-CN"/>
        </w:rPr>
      </w:pPr>
      <w:r>
        <w:rPr>
          <w:rFonts w:eastAsia="楷体_GB2312"/>
          <w:lang w:eastAsia="zh-CN"/>
        </w:rPr>
        <w:t>法定代表人或授权代理人（签字或签章）：</w:t>
      </w:r>
    </w:p>
    <w:p w14:paraId="086B2285">
      <w:pPr>
        <w:spacing w:line="360" w:lineRule="auto"/>
        <w:ind w:left="3780" w:right="480"/>
        <w:jc w:val="center"/>
        <w:rPr>
          <w:rFonts w:eastAsia="楷体_GB2312"/>
          <w:lang w:eastAsia="zh-CN"/>
        </w:rPr>
      </w:pPr>
      <w:r>
        <w:rPr>
          <w:rFonts w:eastAsia="楷体_GB2312"/>
          <w:lang w:eastAsia="zh-CN"/>
        </w:rPr>
        <w:t>【】年【】月【】日</w:t>
      </w:r>
    </w:p>
    <w:p w14:paraId="1117EE4F">
      <w:pPr>
        <w:spacing w:line="360" w:lineRule="auto"/>
        <w:rPr>
          <w:rFonts w:eastAsia="楷体_GB2312"/>
          <w:lang w:eastAsia="zh-CN"/>
        </w:rPr>
      </w:pPr>
    </w:p>
    <w:p w14:paraId="5E1E03B2">
      <w:pPr>
        <w:spacing w:line="360" w:lineRule="auto"/>
        <w:rPr>
          <w:rFonts w:eastAsia="楷体_GB2312"/>
          <w:b/>
          <w:lang w:eastAsia="zh-CN"/>
        </w:rPr>
      </w:pPr>
      <w:r>
        <w:rPr>
          <w:rFonts w:eastAsia="楷体_GB2312"/>
          <w:b/>
          <w:lang w:eastAsia="zh-CN"/>
        </w:rPr>
        <w:t>附：清仓回购要约通知书</w:t>
      </w:r>
    </w:p>
    <w:p w14:paraId="4080A9F1">
      <w:pPr>
        <w:spacing w:line="360" w:lineRule="auto"/>
        <w:ind w:right="480"/>
        <w:rPr>
          <w:rFonts w:eastAsia="楷体_GB2312"/>
          <w:lang w:eastAsia="zh-CN"/>
        </w:rPr>
      </w:pPr>
    </w:p>
    <w:p w14:paraId="23045A12">
      <w:pPr>
        <w:spacing w:line="360" w:lineRule="auto"/>
        <w:ind w:right="480"/>
        <w:rPr>
          <w:rFonts w:eastAsia="楷体_GB2312"/>
          <w:lang w:eastAsia="zh-CN"/>
        </w:rPr>
      </w:pPr>
    </w:p>
    <w:p w14:paraId="79001E02">
      <w:pPr>
        <w:spacing w:line="360" w:lineRule="auto"/>
        <w:outlineLvl w:val="0"/>
        <w:rPr>
          <w:rFonts w:eastAsia="楷体_GB2312"/>
          <w:b/>
          <w:lang w:eastAsia="zh-CN"/>
        </w:rPr>
      </w:pPr>
      <w:r>
        <w:rPr>
          <w:rFonts w:eastAsia="楷体_GB2312"/>
          <w:lang w:eastAsia="zh-CN"/>
        </w:rPr>
        <w:br w:type="page"/>
      </w:r>
      <w:bookmarkStart w:id="833" w:name="_Toc166105897"/>
      <w:bookmarkStart w:id="834" w:name="_Toc331764791"/>
      <w:bookmarkStart w:id="835" w:name="_Toc227955311"/>
      <w:bookmarkStart w:id="836" w:name="_Toc75510496"/>
      <w:bookmarkStart w:id="837" w:name="_Toc69138614"/>
      <w:bookmarkStart w:id="838" w:name="_Toc454484884"/>
      <w:r>
        <w:rPr>
          <w:rFonts w:eastAsia="楷体_GB2312"/>
          <w:b/>
          <w:lang w:eastAsia="zh-CN"/>
        </w:rPr>
        <w:t>附件六：权利完善通知的格式</w:t>
      </w:r>
      <w:bookmarkEnd w:id="833"/>
      <w:bookmarkEnd w:id="834"/>
      <w:bookmarkEnd w:id="835"/>
      <w:bookmarkEnd w:id="836"/>
      <w:bookmarkEnd w:id="837"/>
      <w:bookmarkEnd w:id="838"/>
    </w:p>
    <w:p w14:paraId="148C18C8">
      <w:pPr>
        <w:spacing w:line="360" w:lineRule="auto"/>
        <w:jc w:val="center"/>
        <w:rPr>
          <w:rFonts w:eastAsia="楷体_GB2312"/>
          <w:b/>
          <w:lang w:eastAsia="zh-CN"/>
        </w:rPr>
      </w:pPr>
    </w:p>
    <w:p w14:paraId="5D9F736A">
      <w:pPr>
        <w:spacing w:line="360" w:lineRule="auto"/>
        <w:rPr>
          <w:rFonts w:eastAsia="楷体_GB2312"/>
          <w:b/>
          <w:lang w:eastAsia="zh-CN"/>
        </w:rPr>
      </w:pPr>
      <w:r>
        <w:rPr>
          <w:rFonts w:eastAsia="楷体_GB2312"/>
          <w:b/>
          <w:lang w:eastAsia="zh-CN"/>
        </w:rPr>
        <w:t>附件六（A）：发生权利完善事件第(a)项、第(b)项或第(e)项</w:t>
      </w:r>
    </w:p>
    <w:p w14:paraId="491BA3A4">
      <w:pPr>
        <w:spacing w:line="360" w:lineRule="auto"/>
        <w:rPr>
          <w:rFonts w:eastAsia="楷体_GB2312"/>
          <w:b/>
          <w:lang w:eastAsia="zh-CN"/>
        </w:rPr>
      </w:pPr>
    </w:p>
    <w:p w14:paraId="4461A744">
      <w:pPr>
        <w:spacing w:line="360" w:lineRule="auto"/>
        <w:jc w:val="center"/>
        <w:rPr>
          <w:rFonts w:eastAsia="楷体_GB2312"/>
          <w:b/>
          <w:lang w:eastAsia="zh-CN"/>
        </w:rPr>
      </w:pPr>
      <w:r>
        <w:rPr>
          <w:rFonts w:eastAsia="楷体_GB2312"/>
          <w:b/>
          <w:lang w:eastAsia="zh-CN"/>
        </w:rPr>
        <w:t>权利完善通知格式</w:t>
      </w:r>
    </w:p>
    <w:p w14:paraId="715AA9A0">
      <w:pPr>
        <w:spacing w:line="360" w:lineRule="auto"/>
        <w:jc w:val="center"/>
        <w:rPr>
          <w:rFonts w:eastAsia="楷体_GB2312"/>
          <w:b/>
          <w:lang w:eastAsia="zh-CN"/>
        </w:rPr>
      </w:pPr>
    </w:p>
    <w:p w14:paraId="3E2A5BBB">
      <w:pPr>
        <w:spacing w:line="360" w:lineRule="auto"/>
        <w:jc w:val="both"/>
        <w:rPr>
          <w:rFonts w:eastAsia="楷体_GB2312"/>
          <w:lang w:eastAsia="zh-CN"/>
        </w:rPr>
      </w:pPr>
      <w:r>
        <w:rPr>
          <w:rFonts w:eastAsia="楷体_GB2312"/>
          <w:lang w:eastAsia="zh-CN"/>
        </w:rPr>
        <w:t>（适用于：1、通知对象为“借款人”、“抵押人”及“共同借款人”（如有）；2、发生“权利完善事件”之第(a)项、第(b)项或第(e)项第(i)类、第</w:t>
      </w:r>
      <w:r>
        <w:rPr>
          <w:rFonts w:eastAsia="楷体_GB2312"/>
          <w:bCs/>
          <w:lang w:eastAsia="zh-CN"/>
        </w:rPr>
        <w:t>(ii)</w:t>
      </w:r>
      <w:r>
        <w:rPr>
          <w:rFonts w:eastAsia="楷体_GB2312"/>
          <w:lang w:eastAsia="zh-CN"/>
        </w:rPr>
        <w:t>类之情形；3、由【发起机构全称】通知。）</w:t>
      </w:r>
    </w:p>
    <w:p w14:paraId="7A0DF178">
      <w:pPr>
        <w:spacing w:line="360" w:lineRule="auto"/>
        <w:rPr>
          <w:rFonts w:eastAsia="楷体_GB2312"/>
          <w:b/>
          <w:lang w:eastAsia="zh-CN"/>
        </w:rPr>
      </w:pPr>
    </w:p>
    <w:p w14:paraId="03F56EF3">
      <w:pPr>
        <w:spacing w:line="360" w:lineRule="auto"/>
        <w:rPr>
          <w:rFonts w:eastAsia="楷体_GB2312"/>
          <w:b/>
          <w:lang w:eastAsia="zh-CN"/>
        </w:rPr>
      </w:pPr>
      <w:r>
        <w:rPr>
          <w:rFonts w:eastAsia="楷体_GB2312"/>
          <w:b/>
          <w:lang w:eastAsia="zh-CN"/>
        </w:rPr>
        <w:t>致：【相关“借款人”、“抵押人”、“共同借款人”（如有）的名称和地址】</w:t>
      </w:r>
    </w:p>
    <w:p w14:paraId="79AE188C">
      <w:pPr>
        <w:spacing w:line="360" w:lineRule="auto"/>
        <w:rPr>
          <w:rFonts w:eastAsia="楷体_GB2312"/>
          <w:b/>
          <w:lang w:eastAsia="zh-CN"/>
        </w:rPr>
      </w:pPr>
      <w:r>
        <w:rPr>
          <w:rFonts w:eastAsia="楷体_GB2312"/>
          <w:b/>
          <w:lang w:eastAsia="zh-CN"/>
        </w:rPr>
        <w:t>抄送：【受托机构全称】</w:t>
      </w:r>
    </w:p>
    <w:p w14:paraId="26F09C83">
      <w:pPr>
        <w:spacing w:line="360" w:lineRule="auto"/>
        <w:rPr>
          <w:rFonts w:eastAsia="楷体_GB2312"/>
          <w:b/>
          <w:lang w:eastAsia="zh-CN"/>
        </w:rPr>
      </w:pPr>
      <w:r>
        <w:rPr>
          <w:rFonts w:eastAsia="楷体_GB2312"/>
          <w:b/>
          <w:lang w:eastAsia="zh-CN"/>
        </w:rPr>
        <w:t>日期_______________</w:t>
      </w:r>
    </w:p>
    <w:p w14:paraId="77B1058F">
      <w:pPr>
        <w:spacing w:line="360" w:lineRule="auto"/>
        <w:rPr>
          <w:rFonts w:eastAsia="楷体_GB2312"/>
          <w:b/>
          <w:lang w:eastAsia="zh-CN"/>
        </w:rPr>
      </w:pPr>
    </w:p>
    <w:p w14:paraId="5D2F3316">
      <w:pPr>
        <w:spacing w:line="360" w:lineRule="auto"/>
        <w:rPr>
          <w:rFonts w:eastAsia="楷体_GB2312"/>
          <w:b/>
          <w:lang w:eastAsia="zh-CN"/>
        </w:rPr>
      </w:pPr>
      <w:r>
        <w:rPr>
          <w:rFonts w:eastAsia="楷体_GB2312"/>
          <w:b/>
          <w:lang w:eastAsia="zh-CN"/>
        </w:rPr>
        <w:t>敬启者</w:t>
      </w:r>
    </w:p>
    <w:p w14:paraId="76C7C1CF">
      <w:pPr>
        <w:spacing w:line="360" w:lineRule="auto"/>
        <w:rPr>
          <w:rFonts w:eastAsia="楷体_GB2312"/>
          <w:lang w:eastAsia="zh-CN"/>
        </w:rPr>
      </w:pPr>
    </w:p>
    <w:p w14:paraId="686314D6">
      <w:pPr>
        <w:spacing w:line="360" w:lineRule="auto"/>
        <w:ind w:firstLine="420"/>
        <w:jc w:val="both"/>
        <w:rPr>
          <w:rFonts w:eastAsia="楷体_GB2312"/>
          <w:lang w:eastAsia="zh-CN"/>
        </w:rPr>
      </w:pPr>
      <w:r>
        <w:rPr>
          <w:rFonts w:eastAsia="楷体_GB2312"/>
          <w:lang w:eastAsia="zh-CN"/>
        </w:rPr>
        <w:t>根据【发起机构全称】（“【发起机构简称】”）与【受托机构全称】（“【受托机构名称】”）于【】年【】月【】日签署的《【信托名称】之信托合同》（“《信托合同》”）以及【发起机构简称】和【受托机构名称】于【</w:t>
      </w:r>
      <w:r>
        <w:rPr>
          <w:rFonts w:eastAsia="楷体_GB2312"/>
          <w:i/>
          <w:lang w:eastAsia="zh-CN"/>
        </w:rPr>
        <w:t>日期</w:t>
      </w:r>
      <w:r>
        <w:rPr>
          <w:rFonts w:eastAsia="楷体_GB2312"/>
          <w:lang w:eastAsia="zh-CN"/>
        </w:rPr>
        <w:t>】在【</w:t>
      </w:r>
      <w:r>
        <w:rPr>
          <w:rFonts w:eastAsia="楷体_GB2312"/>
          <w:i/>
          <w:lang w:eastAsia="zh-CN"/>
        </w:rPr>
        <w:t>公共媒体</w:t>
      </w:r>
      <w:r>
        <w:rPr>
          <w:rFonts w:eastAsia="楷体_GB2312"/>
          <w:lang w:eastAsia="zh-CN"/>
        </w:rPr>
        <w:t>】刊登的信托设立公告（“信托设立公告”），【发起机构简称】已将包括您的“个人汽车贷款”（具体信息见本通知附件）在内的特定“个人汽车贷款”债权及其“附属权益”（现有的和将来的、实际的和或有的）全部信托予【受托机构名称】。</w:t>
      </w:r>
    </w:p>
    <w:p w14:paraId="3C2352A6">
      <w:pPr>
        <w:spacing w:line="360" w:lineRule="auto"/>
        <w:ind w:firstLine="420"/>
        <w:rPr>
          <w:rFonts w:eastAsia="楷体_GB2312"/>
          <w:lang w:eastAsia="zh-CN"/>
        </w:rPr>
      </w:pPr>
    </w:p>
    <w:p w14:paraId="32267C47">
      <w:pPr>
        <w:spacing w:line="360" w:lineRule="auto"/>
        <w:ind w:firstLine="420"/>
        <w:jc w:val="both"/>
        <w:rPr>
          <w:rFonts w:eastAsia="楷体_GB2312"/>
          <w:lang w:eastAsia="zh-CN"/>
        </w:rPr>
      </w:pPr>
      <w:r>
        <w:rPr>
          <w:rFonts w:eastAsia="楷体_GB2312"/>
          <w:lang w:eastAsia="zh-CN"/>
        </w:rPr>
        <w:t>自【</w:t>
      </w:r>
      <w:r>
        <w:rPr>
          <w:rFonts w:eastAsia="楷体_GB2312"/>
          <w:i/>
          <w:lang w:eastAsia="zh-CN"/>
        </w:rPr>
        <w:t>日期</w:t>
      </w:r>
      <w:r>
        <w:rPr>
          <w:rFonts w:eastAsia="楷体_GB2312"/>
          <w:lang w:eastAsia="zh-CN"/>
        </w:rPr>
        <w:t>】起，与该笔“个人汽车贷款”及相关“附属权益”有关的所有权利，均由【受托机构名称】（为资产支持证券持有人的利益）行使，【发起机构简称】有义务继续履行其在您的“贷款合同”中应承担的义务。该项转让行为并未改变【发起机构简称】与您签署的“贷款合同”的其他内容，不会给您的利益带来不利影响。</w:t>
      </w:r>
    </w:p>
    <w:p w14:paraId="097A7EB2">
      <w:pPr>
        <w:spacing w:line="360" w:lineRule="auto"/>
        <w:ind w:firstLine="420"/>
        <w:rPr>
          <w:rFonts w:eastAsia="楷体_GB2312"/>
          <w:lang w:eastAsia="zh-CN"/>
        </w:rPr>
      </w:pPr>
    </w:p>
    <w:p w14:paraId="3B5B3068">
      <w:pPr>
        <w:spacing w:line="360" w:lineRule="auto"/>
        <w:ind w:firstLine="420"/>
        <w:jc w:val="both"/>
        <w:rPr>
          <w:rFonts w:eastAsia="楷体_GB2312"/>
          <w:lang w:eastAsia="zh-CN"/>
        </w:rPr>
      </w:pPr>
      <w:r>
        <w:rPr>
          <w:rFonts w:eastAsia="楷体_GB2312"/>
          <w:lang w:eastAsia="zh-CN"/>
        </w:rPr>
        <w:t>自【</w:t>
      </w:r>
      <w:r>
        <w:rPr>
          <w:rFonts w:eastAsia="楷体_GB2312"/>
          <w:i/>
          <w:lang w:eastAsia="zh-CN"/>
        </w:rPr>
        <w:t>日期</w:t>
      </w:r>
      <w:r>
        <w:rPr>
          <w:rFonts w:eastAsia="楷体_GB2312"/>
          <w:lang w:eastAsia="zh-CN"/>
        </w:rPr>
        <w:t>】起，您应向如下“信托账户”还款，直到“个人汽车贷款”全部还清或我们向您发出进一步通知。</w:t>
      </w:r>
    </w:p>
    <w:p w14:paraId="345CD309">
      <w:pPr>
        <w:spacing w:line="360" w:lineRule="auto"/>
        <w:ind w:firstLine="420"/>
        <w:rPr>
          <w:rFonts w:eastAsia="楷体_GB2312"/>
          <w:lang w:eastAsia="zh-CN"/>
        </w:rPr>
      </w:pPr>
    </w:p>
    <w:p w14:paraId="6818BE28">
      <w:pPr>
        <w:spacing w:line="360" w:lineRule="auto"/>
        <w:ind w:firstLine="420"/>
        <w:rPr>
          <w:rFonts w:eastAsia="楷体_GB2312"/>
          <w:lang w:eastAsia="zh-CN"/>
        </w:rPr>
      </w:pPr>
      <w:r>
        <w:rPr>
          <w:rFonts w:eastAsia="楷体_GB2312"/>
          <w:lang w:eastAsia="zh-CN"/>
        </w:rPr>
        <w:t>“信托账户”的信息如下：</w:t>
      </w:r>
    </w:p>
    <w:p w14:paraId="18440616">
      <w:pPr>
        <w:spacing w:line="360" w:lineRule="auto"/>
        <w:ind w:firstLine="420"/>
        <w:rPr>
          <w:rFonts w:eastAsia="楷体_GB2312"/>
          <w:lang w:eastAsia="zh-CN"/>
        </w:rPr>
      </w:pPr>
      <w:r>
        <w:rPr>
          <w:rFonts w:eastAsia="楷体_GB2312"/>
          <w:lang w:eastAsia="zh-CN"/>
        </w:rPr>
        <w:t>账号：【】</w:t>
      </w:r>
    </w:p>
    <w:p w14:paraId="04AA2FA5">
      <w:pPr>
        <w:spacing w:line="360" w:lineRule="auto"/>
        <w:ind w:firstLine="420"/>
        <w:rPr>
          <w:rFonts w:eastAsia="楷体_GB2312"/>
          <w:lang w:eastAsia="zh-CN"/>
        </w:rPr>
      </w:pPr>
      <w:r>
        <w:rPr>
          <w:rFonts w:eastAsia="楷体_GB2312"/>
          <w:lang w:eastAsia="zh-CN"/>
        </w:rPr>
        <w:t>户名：【】</w:t>
      </w:r>
    </w:p>
    <w:p w14:paraId="0FF28285">
      <w:pPr>
        <w:spacing w:line="360" w:lineRule="auto"/>
        <w:ind w:firstLine="420"/>
        <w:rPr>
          <w:rFonts w:eastAsia="楷体_GB2312"/>
          <w:lang w:eastAsia="zh-CN"/>
        </w:rPr>
      </w:pPr>
      <w:r>
        <w:rPr>
          <w:rFonts w:eastAsia="楷体_GB2312"/>
          <w:lang w:eastAsia="zh-CN"/>
        </w:rPr>
        <w:t>开户行：【】</w:t>
      </w:r>
    </w:p>
    <w:p w14:paraId="6585D6EB">
      <w:pPr>
        <w:spacing w:line="360" w:lineRule="auto"/>
        <w:ind w:firstLine="420"/>
        <w:rPr>
          <w:rFonts w:eastAsia="楷体_GB2312"/>
          <w:lang w:eastAsia="zh-CN"/>
        </w:rPr>
      </w:pPr>
    </w:p>
    <w:p w14:paraId="5A92F4D3">
      <w:pPr>
        <w:spacing w:line="360" w:lineRule="auto"/>
        <w:ind w:firstLine="420"/>
        <w:rPr>
          <w:rFonts w:eastAsia="楷体_GB2312"/>
          <w:lang w:eastAsia="zh-CN"/>
        </w:rPr>
      </w:pPr>
      <w:r>
        <w:rPr>
          <w:rFonts w:eastAsia="楷体_GB2312"/>
          <w:lang w:eastAsia="zh-CN"/>
        </w:rPr>
        <w:t>如果您对本通知内容或您的“个人汽车贷款”及与其有关的任何付款金额有任何问题，请按如下方式进行查询：</w:t>
      </w:r>
    </w:p>
    <w:p w14:paraId="52C71B5E">
      <w:pPr>
        <w:spacing w:line="360" w:lineRule="auto"/>
        <w:ind w:firstLine="420"/>
        <w:rPr>
          <w:rFonts w:eastAsia="楷体_GB2312"/>
          <w:lang w:eastAsia="zh-CN"/>
        </w:rPr>
      </w:pPr>
    </w:p>
    <w:p w14:paraId="3B71C163">
      <w:pPr>
        <w:spacing w:line="360" w:lineRule="auto"/>
        <w:ind w:left="420"/>
        <w:rPr>
          <w:rFonts w:eastAsia="楷体_GB2312"/>
          <w:lang w:eastAsia="zh-CN"/>
        </w:rPr>
      </w:pPr>
      <w:r>
        <w:rPr>
          <w:rFonts w:eastAsia="楷体_GB2312"/>
          <w:lang w:eastAsia="zh-CN"/>
        </w:rPr>
        <w:t>联系地址：</w:t>
      </w:r>
      <w:r>
        <w:rPr>
          <w:rFonts w:eastAsia="楷体_GB2312"/>
          <w:lang w:eastAsia="zh-CN"/>
        </w:rPr>
        <w:br w:type="textWrapping"/>
      </w:r>
      <w:r>
        <w:rPr>
          <w:rFonts w:eastAsia="楷体_GB2312"/>
          <w:lang w:eastAsia="zh-CN"/>
        </w:rPr>
        <w:t>联系人：</w:t>
      </w:r>
      <w:r>
        <w:rPr>
          <w:rFonts w:eastAsia="楷体_GB2312"/>
          <w:lang w:eastAsia="zh-CN"/>
        </w:rPr>
        <w:br w:type="textWrapping"/>
      </w:r>
      <w:r>
        <w:rPr>
          <w:rFonts w:eastAsia="楷体_GB2312"/>
          <w:lang w:eastAsia="zh-CN"/>
        </w:rPr>
        <w:t>联系电话：</w:t>
      </w:r>
      <w:r>
        <w:rPr>
          <w:rFonts w:eastAsia="楷体_GB2312"/>
          <w:lang w:eastAsia="zh-CN"/>
        </w:rPr>
        <w:br w:type="textWrapping"/>
      </w:r>
      <w:r>
        <w:rPr>
          <w:rFonts w:eastAsia="楷体_GB2312"/>
          <w:lang w:eastAsia="zh-CN"/>
        </w:rPr>
        <w:t>传真：</w:t>
      </w:r>
    </w:p>
    <w:p w14:paraId="1614BD72">
      <w:pPr>
        <w:spacing w:line="360" w:lineRule="auto"/>
        <w:rPr>
          <w:rFonts w:eastAsia="楷体_GB2312"/>
          <w:lang w:eastAsia="zh-CN"/>
        </w:rPr>
      </w:pPr>
    </w:p>
    <w:p w14:paraId="34B48705">
      <w:pPr>
        <w:spacing w:line="360" w:lineRule="auto"/>
        <w:rPr>
          <w:rFonts w:eastAsia="楷体_GB2312"/>
          <w:lang w:eastAsia="zh-CN"/>
        </w:rPr>
      </w:pPr>
    </w:p>
    <w:p w14:paraId="0CACA509">
      <w:pPr>
        <w:spacing w:line="360" w:lineRule="auto"/>
        <w:rPr>
          <w:rFonts w:eastAsia="楷体_GB2312"/>
          <w:b/>
          <w:lang w:eastAsia="zh-CN"/>
        </w:rPr>
      </w:pPr>
      <w:r>
        <w:rPr>
          <w:rFonts w:eastAsia="楷体_GB2312"/>
          <w:b/>
          <w:lang w:eastAsia="zh-CN"/>
        </w:rPr>
        <w:t>【发起机构全称】</w:t>
      </w:r>
      <w:r>
        <w:rPr>
          <w:rFonts w:eastAsia="楷体_GB2312"/>
          <w:lang w:eastAsia="zh-CN"/>
        </w:rPr>
        <w:t>（作为“委托人”、“发起机构”）（公章）</w:t>
      </w:r>
    </w:p>
    <w:p w14:paraId="5643F20E">
      <w:pPr>
        <w:spacing w:line="360" w:lineRule="auto"/>
        <w:rPr>
          <w:rFonts w:eastAsia="楷体_GB2312"/>
          <w:lang w:eastAsia="zh-CN"/>
        </w:rPr>
      </w:pPr>
    </w:p>
    <w:p w14:paraId="07A9EE3D">
      <w:pPr>
        <w:tabs>
          <w:tab w:val="left" w:pos="5520"/>
        </w:tabs>
        <w:spacing w:line="360" w:lineRule="auto"/>
        <w:rPr>
          <w:rFonts w:eastAsia="楷体_GB2312"/>
          <w:lang w:eastAsia="zh-CN"/>
        </w:rPr>
      </w:pPr>
      <w:r>
        <w:rPr>
          <w:rFonts w:eastAsia="楷体_GB2312"/>
          <w:lang w:eastAsia="zh-CN"/>
        </w:rPr>
        <w:t>法定代表人或授权代表（签字或签章）</w:t>
      </w:r>
    </w:p>
    <w:p w14:paraId="1D2543E6">
      <w:pPr>
        <w:tabs>
          <w:tab w:val="left" w:pos="5520"/>
        </w:tabs>
        <w:spacing w:line="360" w:lineRule="auto"/>
        <w:rPr>
          <w:rFonts w:eastAsia="楷体_GB2312"/>
          <w:lang w:eastAsia="zh-CN"/>
        </w:rPr>
      </w:pPr>
    </w:p>
    <w:p w14:paraId="39AA88B3">
      <w:pPr>
        <w:tabs>
          <w:tab w:val="left" w:pos="5880"/>
        </w:tabs>
        <w:spacing w:line="360" w:lineRule="auto"/>
        <w:rPr>
          <w:rFonts w:eastAsia="楷体_GB2312"/>
          <w:b/>
          <w:lang w:eastAsia="zh-CN"/>
        </w:rPr>
      </w:pPr>
      <w:r>
        <w:rPr>
          <w:rFonts w:eastAsia="楷体_GB2312"/>
          <w:b/>
          <w:lang w:eastAsia="zh-CN"/>
        </w:rPr>
        <w:t>附件：</w:t>
      </w:r>
    </w:p>
    <w:p w14:paraId="5E4B1311">
      <w:pPr>
        <w:spacing w:line="360" w:lineRule="auto"/>
        <w:rPr>
          <w:rFonts w:eastAsia="楷体_GB2312"/>
          <w:lang w:eastAsia="zh-CN"/>
        </w:rPr>
      </w:pPr>
      <w:r>
        <w:rPr>
          <w:rFonts w:eastAsia="楷体_GB2312"/>
          <w:lang w:eastAsia="zh-CN"/>
        </w:rPr>
        <w:t>贷款合同编号：</w:t>
      </w:r>
    </w:p>
    <w:p w14:paraId="01275D6E">
      <w:pPr>
        <w:spacing w:line="360" w:lineRule="auto"/>
        <w:rPr>
          <w:rFonts w:eastAsia="楷体_GB2312"/>
          <w:lang w:eastAsia="zh-CN"/>
        </w:rPr>
      </w:pPr>
      <w:r>
        <w:rPr>
          <w:rFonts w:eastAsia="楷体_GB2312"/>
          <w:lang w:eastAsia="zh-CN"/>
        </w:rPr>
        <w:t>借款人名称：</w:t>
      </w:r>
    </w:p>
    <w:p w14:paraId="5E37E7CD">
      <w:pPr>
        <w:spacing w:line="360" w:lineRule="auto"/>
        <w:rPr>
          <w:rFonts w:eastAsia="楷体_GB2312"/>
          <w:u w:val="single"/>
          <w:lang w:eastAsia="zh-CN"/>
        </w:rPr>
      </w:pPr>
      <w:r>
        <w:rPr>
          <w:rFonts w:eastAsia="楷体_GB2312"/>
          <w:lang w:eastAsia="zh-CN"/>
        </w:rPr>
        <w:t>共同借款人名称：</w:t>
      </w:r>
    </w:p>
    <w:p w14:paraId="21C48F13">
      <w:pPr>
        <w:spacing w:line="360" w:lineRule="auto"/>
        <w:rPr>
          <w:rFonts w:eastAsia="楷体_GB2312"/>
          <w:u w:val="single"/>
          <w:lang w:eastAsia="zh-CN"/>
        </w:rPr>
      </w:pPr>
      <w:r>
        <w:rPr>
          <w:rFonts w:eastAsia="楷体_GB2312"/>
          <w:lang w:eastAsia="zh-CN"/>
        </w:rPr>
        <w:t>保证人名称：</w:t>
      </w:r>
    </w:p>
    <w:p w14:paraId="0CB1848D">
      <w:pPr>
        <w:spacing w:line="360" w:lineRule="auto"/>
        <w:rPr>
          <w:rFonts w:eastAsia="楷体_GB2312"/>
          <w:lang w:eastAsia="zh-CN"/>
        </w:rPr>
      </w:pPr>
      <w:r>
        <w:rPr>
          <w:rFonts w:eastAsia="楷体_GB2312"/>
          <w:lang w:eastAsia="zh-CN"/>
        </w:rPr>
        <w:t>剩余本金余额：</w:t>
      </w:r>
    </w:p>
    <w:p w14:paraId="1136D4FD">
      <w:pPr>
        <w:spacing w:line="360" w:lineRule="auto"/>
        <w:rPr>
          <w:rFonts w:eastAsia="楷体_GB2312"/>
          <w:lang w:eastAsia="zh-CN"/>
        </w:rPr>
      </w:pPr>
    </w:p>
    <w:p w14:paraId="7F95B77C">
      <w:pPr>
        <w:spacing w:line="360" w:lineRule="auto"/>
        <w:jc w:val="center"/>
        <w:rPr>
          <w:rFonts w:eastAsia="楷体_GB2312"/>
          <w:b/>
          <w:lang w:eastAsia="zh-CN"/>
        </w:rPr>
      </w:pPr>
      <w:r>
        <w:rPr>
          <w:rFonts w:eastAsia="楷体_GB2312"/>
          <w:lang w:eastAsia="zh-CN"/>
        </w:rPr>
        <w:br w:type="page"/>
      </w:r>
      <w:r>
        <w:rPr>
          <w:rFonts w:eastAsia="楷体_GB2312"/>
          <w:b/>
          <w:lang w:eastAsia="zh-CN"/>
        </w:rPr>
        <w:t>权利完善通知格式</w:t>
      </w:r>
    </w:p>
    <w:p w14:paraId="2DAD1E7D">
      <w:pPr>
        <w:spacing w:line="360" w:lineRule="auto"/>
        <w:rPr>
          <w:rFonts w:eastAsia="楷体_GB2312"/>
          <w:b/>
          <w:lang w:eastAsia="zh-CN"/>
        </w:rPr>
      </w:pPr>
    </w:p>
    <w:p w14:paraId="6577606C">
      <w:pPr>
        <w:spacing w:line="360" w:lineRule="auto"/>
        <w:rPr>
          <w:rFonts w:eastAsia="楷体_GB2312"/>
          <w:lang w:eastAsia="zh-CN"/>
        </w:rPr>
      </w:pPr>
      <w:r>
        <w:rPr>
          <w:rFonts w:eastAsia="楷体_GB2312"/>
          <w:lang w:eastAsia="zh-CN"/>
        </w:rPr>
        <w:t>（适用于：1、通知对象为“保证人”；2、发生“权利完善事件”之第(a)项、第(b)项或第(e)项第</w:t>
      </w:r>
      <w:r>
        <w:rPr>
          <w:rFonts w:eastAsia="楷体_GB2312"/>
          <w:bCs/>
          <w:lang w:eastAsia="zh-CN"/>
        </w:rPr>
        <w:t>(i)类</w:t>
      </w:r>
      <w:r>
        <w:rPr>
          <w:rFonts w:eastAsia="楷体_GB2312"/>
          <w:lang w:eastAsia="zh-CN"/>
        </w:rPr>
        <w:t>、第(ii)类之情形；3、由【发起机构全称】通知。）</w:t>
      </w:r>
    </w:p>
    <w:p w14:paraId="2FBB0639">
      <w:pPr>
        <w:spacing w:line="360" w:lineRule="auto"/>
        <w:rPr>
          <w:rFonts w:eastAsia="楷体_GB2312"/>
          <w:b/>
          <w:lang w:eastAsia="zh-CN"/>
        </w:rPr>
      </w:pPr>
    </w:p>
    <w:p w14:paraId="34EA7D44">
      <w:pPr>
        <w:spacing w:line="360" w:lineRule="auto"/>
        <w:rPr>
          <w:rFonts w:eastAsia="楷体_GB2312"/>
          <w:b/>
          <w:lang w:eastAsia="zh-CN"/>
        </w:rPr>
      </w:pPr>
      <w:r>
        <w:rPr>
          <w:rFonts w:eastAsia="楷体_GB2312"/>
          <w:b/>
          <w:lang w:eastAsia="zh-CN"/>
        </w:rPr>
        <w:t>致：【相关“保证人”的名称和地址】</w:t>
      </w:r>
    </w:p>
    <w:p w14:paraId="22D47B43">
      <w:pPr>
        <w:spacing w:line="360" w:lineRule="auto"/>
        <w:rPr>
          <w:rFonts w:eastAsia="楷体_GB2312"/>
          <w:b/>
          <w:lang w:eastAsia="zh-CN"/>
        </w:rPr>
      </w:pPr>
      <w:r>
        <w:rPr>
          <w:rFonts w:eastAsia="楷体_GB2312"/>
          <w:b/>
          <w:lang w:eastAsia="zh-CN"/>
        </w:rPr>
        <w:t>抄送：【受托机构全称】</w:t>
      </w:r>
    </w:p>
    <w:p w14:paraId="4C897FD9">
      <w:pPr>
        <w:spacing w:line="360" w:lineRule="auto"/>
        <w:rPr>
          <w:rFonts w:eastAsia="楷体_GB2312"/>
          <w:b/>
          <w:lang w:eastAsia="zh-CN"/>
        </w:rPr>
      </w:pPr>
      <w:r>
        <w:rPr>
          <w:rFonts w:eastAsia="楷体_GB2312"/>
          <w:b/>
          <w:lang w:eastAsia="zh-CN"/>
        </w:rPr>
        <w:t>日期_______________</w:t>
      </w:r>
    </w:p>
    <w:p w14:paraId="51FA7EC0">
      <w:pPr>
        <w:spacing w:line="360" w:lineRule="auto"/>
        <w:rPr>
          <w:rFonts w:eastAsia="楷体_GB2312"/>
          <w:b/>
          <w:lang w:eastAsia="zh-CN"/>
        </w:rPr>
      </w:pPr>
    </w:p>
    <w:p w14:paraId="11DD5A34">
      <w:pPr>
        <w:spacing w:line="360" w:lineRule="auto"/>
        <w:rPr>
          <w:rFonts w:eastAsia="楷体_GB2312"/>
          <w:b/>
          <w:lang w:eastAsia="zh-CN"/>
        </w:rPr>
      </w:pPr>
      <w:r>
        <w:rPr>
          <w:rFonts w:eastAsia="楷体_GB2312"/>
          <w:b/>
          <w:lang w:eastAsia="zh-CN"/>
        </w:rPr>
        <w:t>敬启者</w:t>
      </w:r>
    </w:p>
    <w:p w14:paraId="73DA372F">
      <w:pPr>
        <w:spacing w:line="360" w:lineRule="auto"/>
        <w:rPr>
          <w:rFonts w:eastAsia="楷体_GB2312"/>
          <w:lang w:eastAsia="zh-CN"/>
        </w:rPr>
      </w:pPr>
    </w:p>
    <w:p w14:paraId="1583EC0E">
      <w:pPr>
        <w:spacing w:line="360" w:lineRule="auto"/>
        <w:ind w:firstLine="420"/>
        <w:jc w:val="both"/>
        <w:rPr>
          <w:rFonts w:eastAsia="楷体_GB2312"/>
          <w:lang w:eastAsia="zh-CN"/>
        </w:rPr>
      </w:pPr>
      <w:r>
        <w:rPr>
          <w:rFonts w:eastAsia="楷体_GB2312"/>
          <w:lang w:eastAsia="zh-CN"/>
        </w:rPr>
        <w:t>根据【发起机构全称】（“【发起机构简称】”）与【受托机构全称】（“【受托机构名称】”）于【】年【】月【】日签署的《【信托名称】之信托合同》（“《信托合同》”）以及【发起机构简称】和【受托机构名称】于【</w:t>
      </w:r>
      <w:r>
        <w:rPr>
          <w:rFonts w:eastAsia="楷体_GB2312"/>
          <w:i/>
          <w:lang w:eastAsia="zh-CN"/>
        </w:rPr>
        <w:t>日期</w:t>
      </w:r>
      <w:r>
        <w:rPr>
          <w:rFonts w:eastAsia="楷体_GB2312"/>
          <w:lang w:eastAsia="zh-CN"/>
        </w:rPr>
        <w:t>】在【</w:t>
      </w:r>
      <w:r>
        <w:rPr>
          <w:rFonts w:eastAsia="楷体_GB2312"/>
          <w:i/>
          <w:lang w:eastAsia="zh-CN"/>
        </w:rPr>
        <w:t>公共媒体</w:t>
      </w:r>
      <w:r>
        <w:rPr>
          <w:rFonts w:eastAsia="楷体_GB2312"/>
          <w:lang w:eastAsia="zh-CN"/>
        </w:rPr>
        <w:t>】刊登的信托设立公告（“信托设立公告”），【发起机构简称】已将包括您提供保证担保的“个人汽车贷款”（具体信息见本通知附件）在内的特定“个人汽车贷款”债权及其“附属权益”（现有的和将来的、实际的和或有的）全部信托予【受托机构名称】。</w:t>
      </w:r>
    </w:p>
    <w:p w14:paraId="010390CF">
      <w:pPr>
        <w:spacing w:line="360" w:lineRule="auto"/>
        <w:ind w:firstLine="420"/>
        <w:rPr>
          <w:rFonts w:eastAsia="楷体_GB2312"/>
          <w:lang w:eastAsia="zh-CN"/>
        </w:rPr>
      </w:pPr>
    </w:p>
    <w:p w14:paraId="00D6FFC3">
      <w:pPr>
        <w:spacing w:line="360" w:lineRule="auto"/>
        <w:ind w:firstLine="420"/>
        <w:jc w:val="both"/>
        <w:rPr>
          <w:rFonts w:eastAsia="楷体_GB2312"/>
          <w:lang w:eastAsia="zh-CN"/>
        </w:rPr>
      </w:pPr>
      <w:r>
        <w:rPr>
          <w:rFonts w:eastAsia="楷体_GB2312"/>
          <w:lang w:eastAsia="zh-CN"/>
        </w:rPr>
        <w:t>自【</w:t>
      </w:r>
      <w:r>
        <w:rPr>
          <w:rFonts w:eastAsia="楷体_GB2312"/>
          <w:i/>
          <w:lang w:eastAsia="zh-CN"/>
        </w:rPr>
        <w:t>日期</w:t>
      </w:r>
      <w:r>
        <w:rPr>
          <w:rFonts w:eastAsia="楷体_GB2312"/>
          <w:lang w:eastAsia="zh-CN"/>
        </w:rPr>
        <w:t>】起，与该笔“个人汽车贷款”及相关“附属权益”有关的所有权利，均由【受托机构名称】（为资产支持证券持有人的利益）行使，【发起机构简称】有义务继续履行其在“贷款合同”中应承担的义务。该项转让行为并未改变【发起机构简称】与“借款人”签署的“贷款合同”的其他内容，不会给您的利益带来不利影响；您应继续履行原“贷款合同”项下的保证义务。</w:t>
      </w:r>
    </w:p>
    <w:p w14:paraId="531E95E9">
      <w:pPr>
        <w:spacing w:line="360" w:lineRule="auto"/>
        <w:ind w:firstLine="420"/>
        <w:rPr>
          <w:rFonts w:eastAsia="楷体_GB2312"/>
          <w:lang w:eastAsia="zh-CN"/>
        </w:rPr>
      </w:pPr>
    </w:p>
    <w:p w14:paraId="5769E837">
      <w:pPr>
        <w:spacing w:line="360" w:lineRule="auto"/>
        <w:ind w:firstLine="420"/>
        <w:jc w:val="both"/>
        <w:rPr>
          <w:rFonts w:eastAsia="楷体_GB2312"/>
          <w:lang w:eastAsia="zh-CN"/>
        </w:rPr>
      </w:pPr>
      <w:r>
        <w:rPr>
          <w:rFonts w:eastAsia="楷体_GB2312"/>
          <w:lang w:eastAsia="zh-CN"/>
        </w:rPr>
        <w:t>自【</w:t>
      </w:r>
      <w:r>
        <w:rPr>
          <w:rFonts w:eastAsia="楷体_GB2312"/>
          <w:i/>
          <w:lang w:eastAsia="zh-CN"/>
        </w:rPr>
        <w:t>日期</w:t>
      </w:r>
      <w:r>
        <w:rPr>
          <w:rFonts w:eastAsia="楷体_GB2312"/>
          <w:lang w:eastAsia="zh-CN"/>
        </w:rPr>
        <w:t>】起，您履行保证责任时，应向如下“信托账户”还款，直到“个人汽车贷款”全部还清或我们向您发出进一步通知。</w:t>
      </w:r>
    </w:p>
    <w:p w14:paraId="14FE6C09">
      <w:pPr>
        <w:spacing w:line="360" w:lineRule="auto"/>
        <w:ind w:firstLine="420"/>
        <w:rPr>
          <w:rFonts w:eastAsia="楷体_GB2312"/>
          <w:lang w:eastAsia="zh-CN"/>
        </w:rPr>
      </w:pPr>
    </w:p>
    <w:p w14:paraId="7F8357E1">
      <w:pPr>
        <w:spacing w:line="360" w:lineRule="auto"/>
        <w:ind w:firstLine="420"/>
        <w:rPr>
          <w:rFonts w:eastAsia="楷体_GB2312"/>
          <w:lang w:eastAsia="zh-CN"/>
        </w:rPr>
      </w:pPr>
      <w:r>
        <w:rPr>
          <w:rFonts w:eastAsia="楷体_GB2312"/>
          <w:lang w:eastAsia="zh-CN"/>
        </w:rPr>
        <w:t>“信托账户”的信息如下：</w:t>
      </w:r>
    </w:p>
    <w:p w14:paraId="6CCF3EEF">
      <w:pPr>
        <w:spacing w:line="360" w:lineRule="auto"/>
        <w:ind w:firstLine="420"/>
        <w:rPr>
          <w:rFonts w:eastAsia="楷体_GB2312"/>
          <w:lang w:eastAsia="zh-CN"/>
        </w:rPr>
      </w:pPr>
      <w:r>
        <w:rPr>
          <w:rFonts w:eastAsia="楷体_GB2312"/>
          <w:lang w:eastAsia="zh-CN"/>
        </w:rPr>
        <w:t>账号：【】</w:t>
      </w:r>
    </w:p>
    <w:p w14:paraId="65AE3BC0">
      <w:pPr>
        <w:spacing w:line="360" w:lineRule="auto"/>
        <w:ind w:firstLine="420"/>
        <w:rPr>
          <w:rFonts w:eastAsia="楷体_GB2312"/>
          <w:lang w:eastAsia="zh-CN"/>
        </w:rPr>
      </w:pPr>
      <w:r>
        <w:rPr>
          <w:rFonts w:eastAsia="楷体_GB2312"/>
          <w:lang w:eastAsia="zh-CN"/>
        </w:rPr>
        <w:t>户名：【】</w:t>
      </w:r>
    </w:p>
    <w:p w14:paraId="6837285D">
      <w:pPr>
        <w:spacing w:line="360" w:lineRule="auto"/>
        <w:ind w:firstLine="420"/>
        <w:rPr>
          <w:rFonts w:eastAsia="楷体_GB2312"/>
          <w:lang w:eastAsia="zh-CN"/>
        </w:rPr>
      </w:pPr>
      <w:r>
        <w:rPr>
          <w:rFonts w:eastAsia="楷体_GB2312"/>
          <w:lang w:eastAsia="zh-CN"/>
        </w:rPr>
        <w:t>开户行：【】</w:t>
      </w:r>
    </w:p>
    <w:p w14:paraId="27145C0B">
      <w:pPr>
        <w:spacing w:line="360" w:lineRule="auto"/>
        <w:ind w:firstLine="420"/>
        <w:rPr>
          <w:rFonts w:eastAsia="楷体_GB2312"/>
          <w:lang w:eastAsia="zh-CN"/>
        </w:rPr>
      </w:pPr>
    </w:p>
    <w:p w14:paraId="531BC6D2">
      <w:pPr>
        <w:spacing w:line="360" w:lineRule="auto"/>
        <w:ind w:firstLine="420"/>
        <w:rPr>
          <w:rFonts w:eastAsia="楷体_GB2312"/>
          <w:lang w:eastAsia="zh-CN"/>
        </w:rPr>
      </w:pPr>
      <w:r>
        <w:rPr>
          <w:rFonts w:eastAsia="楷体_GB2312"/>
          <w:lang w:eastAsia="zh-CN"/>
        </w:rPr>
        <w:t>如果您对本通知内容或您所担保的“个人汽车贷款”的转让有任何问题，请按如下方式进行查询：</w:t>
      </w:r>
    </w:p>
    <w:p w14:paraId="6BA7424C">
      <w:pPr>
        <w:spacing w:line="360" w:lineRule="auto"/>
        <w:ind w:firstLine="420"/>
        <w:rPr>
          <w:rFonts w:eastAsia="楷体_GB2312"/>
          <w:lang w:eastAsia="zh-CN"/>
        </w:rPr>
      </w:pPr>
    </w:p>
    <w:p w14:paraId="0AA75FEA">
      <w:pPr>
        <w:spacing w:line="360" w:lineRule="auto"/>
        <w:ind w:left="420"/>
        <w:rPr>
          <w:rFonts w:eastAsia="楷体_GB2312"/>
          <w:lang w:eastAsia="zh-CN"/>
        </w:rPr>
      </w:pPr>
      <w:r>
        <w:rPr>
          <w:rFonts w:eastAsia="楷体_GB2312"/>
          <w:lang w:eastAsia="zh-CN"/>
        </w:rPr>
        <w:t>联系地址：</w:t>
      </w:r>
      <w:r>
        <w:rPr>
          <w:rFonts w:eastAsia="楷体_GB2312"/>
          <w:lang w:eastAsia="zh-CN"/>
        </w:rPr>
        <w:br w:type="textWrapping"/>
      </w:r>
      <w:r>
        <w:rPr>
          <w:rFonts w:eastAsia="楷体_GB2312"/>
          <w:lang w:eastAsia="zh-CN"/>
        </w:rPr>
        <w:t>联系人：</w:t>
      </w:r>
      <w:r>
        <w:rPr>
          <w:rFonts w:eastAsia="楷体_GB2312"/>
          <w:lang w:eastAsia="zh-CN"/>
        </w:rPr>
        <w:br w:type="textWrapping"/>
      </w:r>
      <w:r>
        <w:rPr>
          <w:rFonts w:eastAsia="楷体_GB2312"/>
          <w:lang w:eastAsia="zh-CN"/>
        </w:rPr>
        <w:t>联系电话：</w:t>
      </w:r>
      <w:r>
        <w:rPr>
          <w:rFonts w:eastAsia="楷体_GB2312"/>
          <w:lang w:eastAsia="zh-CN"/>
        </w:rPr>
        <w:br w:type="textWrapping"/>
      </w:r>
      <w:r>
        <w:rPr>
          <w:rFonts w:eastAsia="楷体_GB2312"/>
          <w:lang w:eastAsia="zh-CN"/>
        </w:rPr>
        <w:t>传真：</w:t>
      </w:r>
    </w:p>
    <w:p w14:paraId="521742B0">
      <w:pPr>
        <w:spacing w:line="360" w:lineRule="auto"/>
        <w:rPr>
          <w:rFonts w:eastAsia="楷体_GB2312"/>
          <w:lang w:eastAsia="zh-CN"/>
        </w:rPr>
      </w:pPr>
    </w:p>
    <w:p w14:paraId="616639FE">
      <w:pPr>
        <w:spacing w:line="360" w:lineRule="auto"/>
        <w:rPr>
          <w:rFonts w:eastAsia="楷体_GB2312"/>
          <w:lang w:eastAsia="zh-CN"/>
        </w:rPr>
      </w:pPr>
    </w:p>
    <w:p w14:paraId="29CBC03C">
      <w:pPr>
        <w:spacing w:line="360" w:lineRule="auto"/>
        <w:rPr>
          <w:rFonts w:eastAsia="楷体_GB2312"/>
          <w:lang w:eastAsia="zh-CN"/>
        </w:rPr>
      </w:pPr>
      <w:r>
        <w:rPr>
          <w:rFonts w:eastAsia="楷体_GB2312"/>
          <w:b/>
          <w:lang w:eastAsia="zh-CN"/>
        </w:rPr>
        <w:t>【发起机构全称】</w:t>
      </w:r>
      <w:r>
        <w:rPr>
          <w:rFonts w:eastAsia="楷体_GB2312"/>
          <w:lang w:eastAsia="zh-CN"/>
        </w:rPr>
        <w:t>（作为“委托人”、“发起机构”）（公章）</w:t>
      </w:r>
    </w:p>
    <w:p w14:paraId="089A740C">
      <w:pPr>
        <w:spacing w:line="360" w:lineRule="auto"/>
        <w:rPr>
          <w:rFonts w:eastAsia="楷体_GB2312"/>
          <w:lang w:eastAsia="zh-CN"/>
        </w:rPr>
      </w:pPr>
    </w:p>
    <w:p w14:paraId="2862B751">
      <w:pPr>
        <w:tabs>
          <w:tab w:val="left" w:pos="5520"/>
        </w:tabs>
        <w:spacing w:line="360" w:lineRule="auto"/>
        <w:rPr>
          <w:rFonts w:eastAsia="楷体_GB2312"/>
          <w:lang w:eastAsia="zh-CN"/>
        </w:rPr>
      </w:pPr>
      <w:r>
        <w:rPr>
          <w:rFonts w:eastAsia="楷体_GB2312"/>
          <w:lang w:eastAsia="zh-CN"/>
        </w:rPr>
        <w:t>法定代表人或授权代表（签字或签章）</w:t>
      </w:r>
    </w:p>
    <w:p w14:paraId="6E1F78C9">
      <w:pPr>
        <w:tabs>
          <w:tab w:val="left" w:pos="5520"/>
        </w:tabs>
        <w:spacing w:line="360" w:lineRule="auto"/>
        <w:rPr>
          <w:rFonts w:eastAsia="楷体_GB2312"/>
          <w:lang w:eastAsia="zh-CN"/>
        </w:rPr>
      </w:pPr>
    </w:p>
    <w:p w14:paraId="4869B978">
      <w:pPr>
        <w:tabs>
          <w:tab w:val="left" w:pos="5880"/>
        </w:tabs>
        <w:spacing w:line="360" w:lineRule="auto"/>
        <w:rPr>
          <w:rFonts w:eastAsia="楷体_GB2312"/>
          <w:b/>
          <w:lang w:eastAsia="zh-CN"/>
        </w:rPr>
      </w:pPr>
      <w:r>
        <w:rPr>
          <w:rFonts w:eastAsia="楷体_GB2312"/>
          <w:b/>
          <w:lang w:eastAsia="zh-CN"/>
        </w:rPr>
        <w:t>附件：</w:t>
      </w:r>
    </w:p>
    <w:p w14:paraId="1AFD1394">
      <w:pPr>
        <w:spacing w:line="360" w:lineRule="auto"/>
        <w:rPr>
          <w:rFonts w:eastAsia="楷体_GB2312"/>
          <w:lang w:eastAsia="zh-CN"/>
        </w:rPr>
      </w:pPr>
      <w:r>
        <w:rPr>
          <w:rFonts w:eastAsia="楷体_GB2312"/>
          <w:lang w:eastAsia="zh-CN"/>
        </w:rPr>
        <w:t>贷款合同编号：</w:t>
      </w:r>
    </w:p>
    <w:p w14:paraId="79E4C637">
      <w:pPr>
        <w:spacing w:line="360" w:lineRule="auto"/>
        <w:rPr>
          <w:rFonts w:eastAsia="楷体_GB2312"/>
          <w:lang w:eastAsia="zh-CN"/>
        </w:rPr>
      </w:pPr>
      <w:r>
        <w:rPr>
          <w:rFonts w:eastAsia="楷体_GB2312"/>
          <w:lang w:eastAsia="zh-CN"/>
        </w:rPr>
        <w:t>借款人名称：</w:t>
      </w:r>
    </w:p>
    <w:p w14:paraId="589527B0">
      <w:pPr>
        <w:spacing w:line="360" w:lineRule="auto"/>
        <w:rPr>
          <w:rFonts w:eastAsia="楷体_GB2312"/>
          <w:u w:val="single"/>
          <w:lang w:eastAsia="zh-CN"/>
        </w:rPr>
      </w:pPr>
      <w:r>
        <w:rPr>
          <w:rFonts w:eastAsia="楷体_GB2312"/>
          <w:lang w:eastAsia="zh-CN"/>
        </w:rPr>
        <w:t>共同借款人名称:</w:t>
      </w:r>
    </w:p>
    <w:p w14:paraId="6D206094">
      <w:pPr>
        <w:spacing w:line="360" w:lineRule="auto"/>
        <w:rPr>
          <w:rFonts w:eastAsia="楷体_GB2312"/>
          <w:u w:val="single"/>
          <w:lang w:eastAsia="zh-CN"/>
        </w:rPr>
      </w:pPr>
      <w:r>
        <w:rPr>
          <w:rFonts w:eastAsia="楷体_GB2312"/>
          <w:lang w:eastAsia="zh-CN"/>
        </w:rPr>
        <w:t>保证人名称：</w:t>
      </w:r>
    </w:p>
    <w:p w14:paraId="0E25FF36">
      <w:pPr>
        <w:spacing w:line="360" w:lineRule="auto"/>
        <w:rPr>
          <w:rFonts w:eastAsia="楷体_GB2312"/>
          <w:lang w:eastAsia="zh-CN"/>
        </w:rPr>
      </w:pPr>
      <w:r>
        <w:rPr>
          <w:rFonts w:eastAsia="楷体_GB2312"/>
          <w:lang w:eastAsia="zh-CN"/>
        </w:rPr>
        <w:t>剩余本金余额：</w:t>
      </w:r>
    </w:p>
    <w:p w14:paraId="62BC6E64">
      <w:pPr>
        <w:spacing w:line="360" w:lineRule="auto"/>
        <w:jc w:val="center"/>
        <w:rPr>
          <w:rFonts w:eastAsia="楷体_GB2312"/>
          <w:b/>
          <w:lang w:eastAsia="zh-CN"/>
        </w:rPr>
      </w:pPr>
      <w:r>
        <w:rPr>
          <w:rFonts w:eastAsia="楷体_GB2312"/>
          <w:b/>
          <w:lang w:eastAsia="zh-CN"/>
        </w:rPr>
        <w:br w:type="page"/>
      </w:r>
      <w:r>
        <w:rPr>
          <w:rFonts w:eastAsia="楷体_GB2312"/>
          <w:b/>
          <w:lang w:eastAsia="zh-CN"/>
        </w:rPr>
        <w:t>权利完善通知格式</w:t>
      </w:r>
    </w:p>
    <w:p w14:paraId="71E3DFDF">
      <w:pPr>
        <w:spacing w:line="360" w:lineRule="auto"/>
        <w:jc w:val="center"/>
        <w:rPr>
          <w:rFonts w:eastAsia="楷体_GB2312"/>
          <w:b/>
          <w:lang w:eastAsia="zh-CN"/>
        </w:rPr>
      </w:pPr>
    </w:p>
    <w:p w14:paraId="4E105D48">
      <w:pPr>
        <w:spacing w:line="360" w:lineRule="auto"/>
        <w:rPr>
          <w:rFonts w:eastAsia="楷体_GB2312"/>
          <w:lang w:eastAsia="zh-CN"/>
        </w:rPr>
      </w:pPr>
      <w:r>
        <w:rPr>
          <w:rFonts w:eastAsia="楷体_GB2312"/>
          <w:lang w:eastAsia="zh-CN"/>
        </w:rPr>
        <w:t>（适用于：1、通知对象为“保险人”；2、发生“权利完善事件”之第(a)项、第(b)项或第(e)项第(iii)类之情形；3、由【发起机构全称】通知。）</w:t>
      </w:r>
    </w:p>
    <w:p w14:paraId="64D762F4">
      <w:pPr>
        <w:spacing w:line="360" w:lineRule="auto"/>
        <w:rPr>
          <w:rFonts w:eastAsia="楷体_GB2312"/>
          <w:b/>
          <w:lang w:eastAsia="zh-CN"/>
        </w:rPr>
      </w:pPr>
    </w:p>
    <w:p w14:paraId="35FC15A4">
      <w:pPr>
        <w:spacing w:line="360" w:lineRule="auto"/>
        <w:rPr>
          <w:rFonts w:eastAsia="楷体_GB2312"/>
          <w:b/>
          <w:lang w:eastAsia="zh-CN"/>
        </w:rPr>
      </w:pPr>
      <w:r>
        <w:rPr>
          <w:rFonts w:eastAsia="楷体_GB2312"/>
          <w:b/>
          <w:lang w:eastAsia="zh-CN"/>
        </w:rPr>
        <w:t>致：【相关“保险人”的名称和地址】</w:t>
      </w:r>
    </w:p>
    <w:p w14:paraId="22D6F6BE">
      <w:pPr>
        <w:spacing w:line="360" w:lineRule="auto"/>
        <w:rPr>
          <w:rFonts w:eastAsia="楷体_GB2312"/>
          <w:b/>
          <w:lang w:eastAsia="zh-CN"/>
        </w:rPr>
      </w:pPr>
      <w:r>
        <w:rPr>
          <w:rFonts w:eastAsia="楷体_GB2312"/>
          <w:b/>
          <w:lang w:eastAsia="zh-CN"/>
        </w:rPr>
        <w:t>抄送：【受托机构全称】</w:t>
      </w:r>
    </w:p>
    <w:p w14:paraId="2BC49969">
      <w:pPr>
        <w:spacing w:line="360" w:lineRule="auto"/>
        <w:rPr>
          <w:rFonts w:eastAsia="楷体_GB2312"/>
          <w:b/>
          <w:lang w:eastAsia="zh-CN"/>
        </w:rPr>
      </w:pPr>
      <w:r>
        <w:rPr>
          <w:rFonts w:eastAsia="楷体_GB2312"/>
          <w:b/>
          <w:lang w:eastAsia="zh-CN"/>
        </w:rPr>
        <w:t>日期_______________</w:t>
      </w:r>
    </w:p>
    <w:p w14:paraId="303E2870">
      <w:pPr>
        <w:spacing w:line="360" w:lineRule="auto"/>
        <w:jc w:val="center"/>
        <w:rPr>
          <w:rFonts w:eastAsia="楷体_GB2312"/>
          <w:b/>
          <w:lang w:eastAsia="zh-CN"/>
        </w:rPr>
      </w:pPr>
    </w:p>
    <w:p w14:paraId="5BA21B9D">
      <w:pPr>
        <w:spacing w:line="360" w:lineRule="auto"/>
        <w:rPr>
          <w:rFonts w:eastAsia="楷体_GB2312"/>
          <w:b/>
          <w:lang w:eastAsia="zh-CN"/>
        </w:rPr>
      </w:pPr>
      <w:r>
        <w:rPr>
          <w:rFonts w:eastAsia="楷体_GB2312"/>
          <w:b/>
          <w:lang w:eastAsia="zh-CN"/>
        </w:rPr>
        <w:t>敬启者</w:t>
      </w:r>
    </w:p>
    <w:p w14:paraId="750A4873">
      <w:pPr>
        <w:spacing w:line="360" w:lineRule="auto"/>
        <w:jc w:val="center"/>
        <w:rPr>
          <w:rFonts w:eastAsia="楷体_GB2312"/>
          <w:lang w:eastAsia="zh-CN"/>
        </w:rPr>
      </w:pPr>
    </w:p>
    <w:p w14:paraId="268A4BA1">
      <w:pPr>
        <w:spacing w:line="360" w:lineRule="auto"/>
        <w:ind w:firstLine="480" w:firstLineChars="200"/>
        <w:jc w:val="both"/>
        <w:rPr>
          <w:rFonts w:eastAsia="楷体_GB2312"/>
          <w:lang w:eastAsia="zh-CN"/>
        </w:rPr>
      </w:pPr>
      <w:r>
        <w:rPr>
          <w:rFonts w:eastAsia="楷体_GB2312"/>
          <w:lang w:eastAsia="zh-CN"/>
        </w:rPr>
        <w:t>根据【发起机构全称】（“【发起机构简称】”）与【受托机构全称】（“【受托机构名称】”）于【】年【】月【】日签署的《【信托名称】之信托合同》（“《信托合同》”）以及【发起机构简称】和【受托机构名称】于【</w:t>
      </w:r>
      <w:r>
        <w:rPr>
          <w:rFonts w:eastAsia="楷体_GB2312"/>
          <w:i/>
          <w:lang w:eastAsia="zh-CN"/>
        </w:rPr>
        <w:t>日期</w:t>
      </w:r>
      <w:r>
        <w:rPr>
          <w:rFonts w:eastAsia="楷体_GB2312"/>
          <w:lang w:eastAsia="zh-CN"/>
        </w:rPr>
        <w:t>】在【</w:t>
      </w:r>
      <w:r>
        <w:rPr>
          <w:rFonts w:eastAsia="楷体_GB2312"/>
          <w:i/>
          <w:lang w:eastAsia="zh-CN"/>
        </w:rPr>
        <w:t>公共媒体</w:t>
      </w:r>
      <w:r>
        <w:rPr>
          <w:rFonts w:eastAsia="楷体_GB2312"/>
          <w:lang w:eastAsia="zh-CN"/>
        </w:rPr>
        <w:t>】刊登的信托设立公告（“信托设立公告”），【发起机构简称】已将包括贵公司所承保的“个人汽车贷款”（具体信息见本通知附件）在内的特定“个人汽车贷款”债权及其“附属权益”（现有的和将来的、实际的和或有的）全部信托予【受托机构名称】。</w:t>
      </w:r>
    </w:p>
    <w:p w14:paraId="2284300A">
      <w:pPr>
        <w:spacing w:line="360" w:lineRule="auto"/>
        <w:jc w:val="center"/>
        <w:rPr>
          <w:rFonts w:eastAsia="楷体_GB2312"/>
          <w:lang w:eastAsia="zh-CN"/>
        </w:rPr>
      </w:pPr>
    </w:p>
    <w:p w14:paraId="4433AD39">
      <w:pPr>
        <w:spacing w:line="360" w:lineRule="auto"/>
        <w:ind w:firstLine="480" w:firstLineChars="200"/>
        <w:jc w:val="both"/>
        <w:rPr>
          <w:rFonts w:eastAsia="楷体_GB2312"/>
          <w:lang w:eastAsia="zh-CN"/>
        </w:rPr>
      </w:pPr>
      <w:r>
        <w:rPr>
          <w:rFonts w:eastAsia="楷体_GB2312"/>
          <w:lang w:eastAsia="zh-CN"/>
        </w:rPr>
        <w:t>自【</w:t>
      </w:r>
      <w:r>
        <w:rPr>
          <w:rFonts w:eastAsia="楷体_GB2312"/>
          <w:i/>
          <w:lang w:eastAsia="zh-CN"/>
        </w:rPr>
        <w:t>日期</w:t>
      </w:r>
      <w:r>
        <w:rPr>
          <w:rFonts w:eastAsia="楷体_GB2312"/>
          <w:lang w:eastAsia="zh-CN"/>
        </w:rPr>
        <w:t>】起，与该笔“个人汽车贷款”及相关“附属权益”有关的所有权利，均由【受托机构名称】（为资产支持证券持有人的利益）行使，【发起机构简称】有义务继续履行其在“贷款合同”中应承担的义务。该项转让行为并未改变【发起机构简称】与“借款人”签署的“贷款合同”的其他内容，不会给贵公司的利益带来不利影响；贵公司应继续履行原保单项下的保险义务。</w:t>
      </w:r>
    </w:p>
    <w:p w14:paraId="0D894963">
      <w:pPr>
        <w:spacing w:line="360" w:lineRule="auto"/>
        <w:jc w:val="center"/>
        <w:rPr>
          <w:rFonts w:eastAsia="楷体_GB2312"/>
          <w:lang w:eastAsia="zh-CN"/>
        </w:rPr>
      </w:pPr>
    </w:p>
    <w:p w14:paraId="66D12118">
      <w:pPr>
        <w:spacing w:line="360" w:lineRule="auto"/>
        <w:ind w:firstLine="480" w:firstLineChars="200"/>
        <w:jc w:val="both"/>
        <w:rPr>
          <w:rFonts w:eastAsia="楷体_GB2312"/>
          <w:lang w:eastAsia="zh-CN"/>
        </w:rPr>
      </w:pPr>
      <w:r>
        <w:rPr>
          <w:rFonts w:eastAsia="楷体_GB2312"/>
          <w:lang w:eastAsia="zh-CN"/>
        </w:rPr>
        <w:t>如果贵公司对本通知内容或贵公司所承保的车辆相关的“个人汽车贷款”的转让有任何问题，请按如下方式进行查询：</w:t>
      </w:r>
    </w:p>
    <w:p w14:paraId="7FEF9684">
      <w:pPr>
        <w:spacing w:line="360" w:lineRule="auto"/>
        <w:jc w:val="center"/>
        <w:rPr>
          <w:rFonts w:eastAsia="楷体_GB2312"/>
          <w:lang w:eastAsia="zh-CN"/>
        </w:rPr>
      </w:pPr>
    </w:p>
    <w:p w14:paraId="256E4F60">
      <w:pPr>
        <w:spacing w:line="360" w:lineRule="auto"/>
        <w:ind w:firstLine="480" w:firstLineChars="200"/>
        <w:jc w:val="both"/>
        <w:rPr>
          <w:rFonts w:eastAsia="楷体_GB2312"/>
          <w:lang w:eastAsia="zh-CN"/>
        </w:rPr>
      </w:pPr>
      <w:r>
        <w:rPr>
          <w:rFonts w:eastAsia="楷体_GB2312"/>
          <w:lang w:eastAsia="zh-CN"/>
        </w:rPr>
        <w:t>联系地址：</w:t>
      </w:r>
    </w:p>
    <w:p w14:paraId="13E7CE73">
      <w:pPr>
        <w:spacing w:line="360" w:lineRule="auto"/>
        <w:ind w:firstLine="480" w:firstLineChars="200"/>
        <w:jc w:val="both"/>
        <w:rPr>
          <w:rFonts w:eastAsia="楷体_GB2312"/>
          <w:lang w:eastAsia="zh-CN"/>
        </w:rPr>
      </w:pPr>
      <w:r>
        <w:rPr>
          <w:rFonts w:eastAsia="楷体_GB2312"/>
          <w:lang w:eastAsia="zh-CN"/>
        </w:rPr>
        <w:t>联系人：</w:t>
      </w:r>
    </w:p>
    <w:p w14:paraId="3EE7CA93">
      <w:pPr>
        <w:spacing w:line="360" w:lineRule="auto"/>
        <w:ind w:firstLine="480" w:firstLineChars="200"/>
        <w:jc w:val="both"/>
        <w:rPr>
          <w:rFonts w:eastAsia="楷体_GB2312"/>
          <w:lang w:eastAsia="zh-CN"/>
        </w:rPr>
      </w:pPr>
      <w:r>
        <w:rPr>
          <w:rFonts w:eastAsia="楷体_GB2312"/>
          <w:lang w:eastAsia="zh-CN"/>
        </w:rPr>
        <w:t>联系电话：</w:t>
      </w:r>
    </w:p>
    <w:p w14:paraId="5D53371A">
      <w:pPr>
        <w:spacing w:line="360" w:lineRule="auto"/>
        <w:ind w:firstLine="480" w:firstLineChars="200"/>
        <w:jc w:val="both"/>
        <w:rPr>
          <w:rFonts w:eastAsia="楷体_GB2312"/>
          <w:lang w:eastAsia="zh-CN"/>
        </w:rPr>
      </w:pPr>
      <w:r>
        <w:rPr>
          <w:rFonts w:eastAsia="楷体_GB2312"/>
          <w:lang w:eastAsia="zh-CN"/>
        </w:rPr>
        <w:t>传真：</w:t>
      </w:r>
    </w:p>
    <w:p w14:paraId="5C75C825">
      <w:pPr>
        <w:spacing w:line="360" w:lineRule="auto"/>
        <w:jc w:val="both"/>
        <w:rPr>
          <w:rFonts w:eastAsia="楷体_GB2312"/>
          <w:lang w:eastAsia="zh-CN"/>
        </w:rPr>
      </w:pPr>
    </w:p>
    <w:p w14:paraId="2D8C1C44">
      <w:pPr>
        <w:spacing w:line="360" w:lineRule="auto"/>
        <w:jc w:val="both"/>
        <w:rPr>
          <w:rFonts w:eastAsia="楷体_GB2312"/>
          <w:lang w:eastAsia="zh-CN"/>
        </w:rPr>
      </w:pPr>
    </w:p>
    <w:p w14:paraId="73253AF6">
      <w:pPr>
        <w:spacing w:line="360" w:lineRule="auto"/>
        <w:jc w:val="both"/>
        <w:rPr>
          <w:rFonts w:eastAsia="楷体_GB2312"/>
          <w:lang w:eastAsia="zh-CN"/>
        </w:rPr>
      </w:pPr>
      <w:r>
        <w:rPr>
          <w:rFonts w:eastAsia="楷体_GB2312"/>
          <w:b/>
          <w:lang w:eastAsia="zh-CN"/>
        </w:rPr>
        <w:t>【发起机构全称】</w:t>
      </w:r>
      <w:r>
        <w:rPr>
          <w:rFonts w:eastAsia="楷体_GB2312"/>
          <w:lang w:eastAsia="zh-CN"/>
        </w:rPr>
        <w:t>（作为“委托人”、“发起机构”）（公章）</w:t>
      </w:r>
    </w:p>
    <w:p w14:paraId="7653DC89">
      <w:pPr>
        <w:spacing w:line="360" w:lineRule="auto"/>
        <w:jc w:val="both"/>
        <w:rPr>
          <w:rFonts w:eastAsia="楷体_GB2312"/>
          <w:lang w:eastAsia="zh-CN"/>
        </w:rPr>
      </w:pPr>
    </w:p>
    <w:p w14:paraId="0A4066A3">
      <w:pPr>
        <w:spacing w:line="360" w:lineRule="auto"/>
        <w:jc w:val="both"/>
        <w:rPr>
          <w:rFonts w:eastAsia="楷体_GB2312"/>
          <w:lang w:eastAsia="zh-CN"/>
        </w:rPr>
      </w:pPr>
      <w:r>
        <w:rPr>
          <w:rFonts w:eastAsia="楷体_GB2312"/>
          <w:lang w:eastAsia="zh-CN"/>
        </w:rPr>
        <w:t>法定代表人或授权代表（签字或签章）</w:t>
      </w:r>
    </w:p>
    <w:p w14:paraId="63AE4039">
      <w:pPr>
        <w:spacing w:line="360" w:lineRule="auto"/>
        <w:jc w:val="both"/>
        <w:rPr>
          <w:rFonts w:eastAsia="楷体_GB2312"/>
          <w:lang w:eastAsia="zh-CN"/>
        </w:rPr>
      </w:pPr>
    </w:p>
    <w:p w14:paraId="2EE2AFB6">
      <w:pPr>
        <w:spacing w:line="360" w:lineRule="auto"/>
        <w:jc w:val="both"/>
        <w:rPr>
          <w:rFonts w:eastAsia="楷体_GB2312"/>
          <w:b/>
          <w:lang w:eastAsia="zh-CN"/>
        </w:rPr>
      </w:pPr>
      <w:r>
        <w:rPr>
          <w:rFonts w:eastAsia="楷体_GB2312"/>
          <w:b/>
          <w:lang w:eastAsia="zh-CN"/>
        </w:rPr>
        <w:t>附件：</w:t>
      </w:r>
    </w:p>
    <w:p w14:paraId="497BAD43">
      <w:pPr>
        <w:spacing w:line="360" w:lineRule="auto"/>
        <w:jc w:val="both"/>
        <w:rPr>
          <w:rFonts w:eastAsia="楷体_GB2312"/>
          <w:lang w:eastAsia="zh-CN"/>
        </w:rPr>
      </w:pPr>
      <w:r>
        <w:rPr>
          <w:rFonts w:eastAsia="楷体_GB2312"/>
          <w:lang w:eastAsia="zh-CN"/>
        </w:rPr>
        <w:t>贷款合同编号：</w:t>
      </w:r>
    </w:p>
    <w:p w14:paraId="28B2BC82">
      <w:pPr>
        <w:spacing w:line="360" w:lineRule="auto"/>
        <w:jc w:val="both"/>
        <w:rPr>
          <w:rFonts w:eastAsia="楷体_GB2312"/>
          <w:lang w:eastAsia="zh-CN"/>
        </w:rPr>
      </w:pPr>
      <w:r>
        <w:rPr>
          <w:rFonts w:eastAsia="楷体_GB2312"/>
          <w:lang w:eastAsia="zh-CN"/>
        </w:rPr>
        <w:t>借款人名称：</w:t>
      </w:r>
    </w:p>
    <w:p w14:paraId="6BF6808B">
      <w:pPr>
        <w:spacing w:line="360" w:lineRule="auto"/>
        <w:jc w:val="both"/>
        <w:rPr>
          <w:rFonts w:eastAsia="楷体_GB2312"/>
          <w:u w:val="single"/>
          <w:lang w:eastAsia="zh-CN"/>
        </w:rPr>
      </w:pPr>
      <w:r>
        <w:rPr>
          <w:rFonts w:eastAsia="楷体_GB2312"/>
          <w:lang w:eastAsia="zh-CN"/>
        </w:rPr>
        <w:t>共同借款人名称：</w:t>
      </w:r>
    </w:p>
    <w:p w14:paraId="6AAE52F9">
      <w:pPr>
        <w:spacing w:line="360" w:lineRule="auto"/>
        <w:jc w:val="both"/>
        <w:rPr>
          <w:rFonts w:eastAsia="楷体_GB2312"/>
          <w:u w:val="single"/>
          <w:lang w:eastAsia="zh-CN"/>
        </w:rPr>
      </w:pPr>
      <w:r>
        <w:rPr>
          <w:rFonts w:eastAsia="楷体_GB2312"/>
          <w:lang w:eastAsia="zh-CN"/>
        </w:rPr>
        <w:t>保证人名称：</w:t>
      </w:r>
    </w:p>
    <w:p w14:paraId="3CB20BAD">
      <w:pPr>
        <w:spacing w:line="360" w:lineRule="auto"/>
        <w:jc w:val="both"/>
        <w:rPr>
          <w:rFonts w:eastAsia="楷体_GB2312"/>
          <w:lang w:eastAsia="zh-CN"/>
        </w:rPr>
      </w:pPr>
      <w:r>
        <w:rPr>
          <w:rFonts w:eastAsia="楷体_GB2312"/>
          <w:lang w:eastAsia="zh-CN"/>
        </w:rPr>
        <w:t>剩余本金余额：</w:t>
      </w:r>
    </w:p>
    <w:p w14:paraId="1576B0EF">
      <w:pPr>
        <w:spacing w:line="360" w:lineRule="auto"/>
        <w:jc w:val="both"/>
        <w:rPr>
          <w:rFonts w:eastAsia="楷体_GB2312"/>
          <w:b/>
          <w:lang w:eastAsia="zh-CN"/>
        </w:rPr>
      </w:pPr>
      <w:r>
        <w:rPr>
          <w:rFonts w:eastAsia="楷体_GB2312"/>
          <w:b/>
          <w:lang w:eastAsia="zh-CN"/>
        </w:rPr>
        <w:br w:type="page"/>
      </w:r>
      <w:r>
        <w:rPr>
          <w:rFonts w:eastAsia="楷体_GB2312"/>
          <w:b/>
          <w:lang w:eastAsia="zh-CN"/>
        </w:rPr>
        <w:t>附件六（B）：发生权利完善事件第(c)项或第(d)项</w:t>
      </w:r>
    </w:p>
    <w:p w14:paraId="056E8670">
      <w:pPr>
        <w:spacing w:line="360" w:lineRule="auto"/>
        <w:jc w:val="both"/>
        <w:rPr>
          <w:rFonts w:eastAsia="楷体_GB2312"/>
          <w:b/>
          <w:lang w:eastAsia="zh-CN"/>
        </w:rPr>
      </w:pPr>
    </w:p>
    <w:p w14:paraId="7C282058">
      <w:pPr>
        <w:spacing w:line="360" w:lineRule="auto"/>
        <w:jc w:val="center"/>
        <w:rPr>
          <w:rFonts w:eastAsia="楷体_GB2312"/>
          <w:b/>
          <w:lang w:eastAsia="zh-CN"/>
        </w:rPr>
      </w:pPr>
      <w:r>
        <w:rPr>
          <w:rFonts w:eastAsia="楷体_GB2312"/>
          <w:b/>
          <w:lang w:eastAsia="zh-CN"/>
        </w:rPr>
        <w:t>权利完善通知格式</w:t>
      </w:r>
    </w:p>
    <w:p w14:paraId="2A6DCFDF">
      <w:pPr>
        <w:spacing w:line="360" w:lineRule="auto"/>
        <w:jc w:val="both"/>
        <w:rPr>
          <w:rFonts w:eastAsia="楷体_GB2312"/>
          <w:lang w:eastAsia="zh-CN"/>
        </w:rPr>
      </w:pPr>
    </w:p>
    <w:p w14:paraId="51CC7A3F">
      <w:pPr>
        <w:spacing w:line="360" w:lineRule="auto"/>
        <w:jc w:val="both"/>
        <w:rPr>
          <w:rFonts w:eastAsia="楷体_GB2312"/>
          <w:lang w:eastAsia="zh-CN"/>
        </w:rPr>
      </w:pPr>
      <w:r>
        <w:rPr>
          <w:rFonts w:eastAsia="楷体_GB2312"/>
          <w:lang w:eastAsia="zh-CN"/>
        </w:rPr>
        <w:t>（适用于：1、通知对象为“借款人”、“抵押人”及“共同借款人”（如有）；2、发生“权利完善事件”之第(c)项或第(d)项之情形；3、由【发起机构全称】通知。）</w:t>
      </w:r>
    </w:p>
    <w:p w14:paraId="2C7AB3BB">
      <w:pPr>
        <w:spacing w:line="360" w:lineRule="auto"/>
        <w:jc w:val="both"/>
        <w:rPr>
          <w:rFonts w:eastAsia="楷体_GB2312"/>
          <w:b/>
          <w:lang w:eastAsia="zh-CN"/>
        </w:rPr>
      </w:pPr>
    </w:p>
    <w:p w14:paraId="7A4DD589">
      <w:pPr>
        <w:spacing w:line="360" w:lineRule="auto"/>
        <w:jc w:val="both"/>
        <w:rPr>
          <w:rFonts w:eastAsia="楷体_GB2312"/>
          <w:b/>
          <w:lang w:eastAsia="zh-CN"/>
        </w:rPr>
      </w:pPr>
      <w:r>
        <w:rPr>
          <w:rFonts w:eastAsia="楷体_GB2312"/>
          <w:b/>
          <w:lang w:eastAsia="zh-CN"/>
        </w:rPr>
        <w:t>致：【相关“借款人”、“抵押人”、“共同借款人”（如有）的名称和地址】</w:t>
      </w:r>
    </w:p>
    <w:p w14:paraId="1705E959">
      <w:pPr>
        <w:spacing w:line="360" w:lineRule="auto"/>
        <w:jc w:val="both"/>
        <w:rPr>
          <w:rFonts w:eastAsia="楷体_GB2312"/>
          <w:b/>
          <w:lang w:eastAsia="zh-CN"/>
        </w:rPr>
      </w:pPr>
      <w:r>
        <w:rPr>
          <w:rFonts w:eastAsia="楷体_GB2312"/>
          <w:b/>
          <w:lang w:eastAsia="zh-CN"/>
        </w:rPr>
        <w:t>抄送：【受托机构全称】</w:t>
      </w:r>
    </w:p>
    <w:p w14:paraId="58D5C97B">
      <w:pPr>
        <w:spacing w:line="360" w:lineRule="auto"/>
        <w:jc w:val="both"/>
        <w:rPr>
          <w:rFonts w:eastAsia="楷体_GB2312"/>
          <w:b/>
          <w:lang w:eastAsia="zh-CN"/>
        </w:rPr>
      </w:pPr>
      <w:r>
        <w:rPr>
          <w:rFonts w:eastAsia="楷体_GB2312"/>
          <w:b/>
          <w:lang w:eastAsia="zh-CN"/>
        </w:rPr>
        <w:t>日期_______________</w:t>
      </w:r>
    </w:p>
    <w:p w14:paraId="1C9F5ED5">
      <w:pPr>
        <w:spacing w:line="360" w:lineRule="auto"/>
        <w:jc w:val="both"/>
        <w:rPr>
          <w:rFonts w:eastAsia="楷体_GB2312"/>
          <w:b/>
          <w:lang w:eastAsia="zh-CN"/>
        </w:rPr>
      </w:pPr>
    </w:p>
    <w:p w14:paraId="2905E17B">
      <w:pPr>
        <w:spacing w:line="360" w:lineRule="auto"/>
        <w:jc w:val="both"/>
        <w:rPr>
          <w:rFonts w:eastAsia="楷体_GB2312"/>
          <w:b/>
          <w:lang w:eastAsia="zh-CN"/>
        </w:rPr>
      </w:pPr>
      <w:r>
        <w:rPr>
          <w:rFonts w:eastAsia="楷体_GB2312"/>
          <w:b/>
          <w:lang w:eastAsia="zh-CN"/>
        </w:rPr>
        <w:t>敬启者</w:t>
      </w:r>
    </w:p>
    <w:p w14:paraId="61A7E5D4">
      <w:pPr>
        <w:spacing w:line="360" w:lineRule="auto"/>
        <w:jc w:val="both"/>
        <w:rPr>
          <w:rFonts w:eastAsia="楷体_GB2312"/>
          <w:lang w:eastAsia="zh-CN"/>
        </w:rPr>
      </w:pPr>
    </w:p>
    <w:p w14:paraId="0128CE0F">
      <w:pPr>
        <w:spacing w:line="360" w:lineRule="auto"/>
        <w:ind w:firstLine="480" w:firstLineChars="200"/>
        <w:jc w:val="both"/>
        <w:rPr>
          <w:rFonts w:eastAsia="楷体_GB2312"/>
          <w:lang w:eastAsia="zh-CN"/>
        </w:rPr>
      </w:pPr>
      <w:r>
        <w:rPr>
          <w:rFonts w:eastAsia="楷体_GB2312"/>
          <w:lang w:eastAsia="zh-CN"/>
        </w:rPr>
        <w:t>根据【发起机构全称】（“【发起机构简称】”）与【受托机构全称】（“【受托机构名称】”）于【】年【】月【】日签署的《【信托名称】之信托合同》（“《信托合同》”）以及【发起机构简称】和【受托机构名称】于【</w:t>
      </w:r>
      <w:r>
        <w:rPr>
          <w:rFonts w:eastAsia="楷体_GB2312"/>
          <w:i/>
          <w:lang w:eastAsia="zh-CN"/>
        </w:rPr>
        <w:t>日期</w:t>
      </w:r>
      <w:r>
        <w:rPr>
          <w:rFonts w:eastAsia="楷体_GB2312"/>
          <w:lang w:eastAsia="zh-CN"/>
        </w:rPr>
        <w:t>】在【</w:t>
      </w:r>
      <w:r>
        <w:rPr>
          <w:rFonts w:eastAsia="楷体_GB2312"/>
          <w:i/>
          <w:lang w:eastAsia="zh-CN"/>
        </w:rPr>
        <w:t>公共媒体</w:t>
      </w:r>
      <w:r>
        <w:rPr>
          <w:rFonts w:eastAsia="楷体_GB2312"/>
          <w:lang w:eastAsia="zh-CN"/>
        </w:rPr>
        <w:t>】刊登的信托设立公告（“信托设立公告”），【发起机构简称】已将包括您的“个人汽车贷款”（具体信息见本通知附件）在内的特定“个人汽车贷款”债权及其“附属权益”（现有的和将来的、实际的和或有的）全部信托予【受托机构名称】。</w:t>
      </w:r>
    </w:p>
    <w:p w14:paraId="1575D956">
      <w:pPr>
        <w:spacing w:line="360" w:lineRule="auto"/>
        <w:jc w:val="both"/>
        <w:rPr>
          <w:rFonts w:eastAsia="楷体_GB2312"/>
          <w:lang w:eastAsia="zh-CN"/>
        </w:rPr>
      </w:pPr>
    </w:p>
    <w:p w14:paraId="651F8172">
      <w:pPr>
        <w:spacing w:line="360" w:lineRule="auto"/>
        <w:ind w:firstLine="480" w:firstLineChars="200"/>
        <w:jc w:val="both"/>
        <w:rPr>
          <w:rFonts w:eastAsia="楷体_GB2312"/>
          <w:lang w:eastAsia="zh-CN"/>
        </w:rPr>
      </w:pPr>
      <w:r>
        <w:rPr>
          <w:rFonts w:eastAsia="楷体_GB2312"/>
          <w:lang w:eastAsia="zh-CN"/>
        </w:rPr>
        <w:t>自【</w:t>
      </w:r>
      <w:r>
        <w:rPr>
          <w:rFonts w:eastAsia="楷体_GB2312"/>
          <w:i/>
          <w:lang w:eastAsia="zh-CN"/>
        </w:rPr>
        <w:t>日期</w:t>
      </w:r>
      <w:r>
        <w:rPr>
          <w:rFonts w:eastAsia="楷体_GB2312"/>
          <w:lang w:eastAsia="zh-CN"/>
        </w:rPr>
        <w:t>】起，与该笔“个人汽车贷款”及相关“附属权益”有关的所有权利，均由【受托机构名称】（为资产支持证券持有人的利益）行使，【发起机构简称】有义务继续履行其在“贷款合同”中应承担的义务。该项转让行为并未改变【发起机构简称】与您签署的“贷款合同”的其他内容，不会给您的利益带来不利影响。</w:t>
      </w:r>
    </w:p>
    <w:p w14:paraId="04B5E984">
      <w:pPr>
        <w:spacing w:line="360" w:lineRule="auto"/>
        <w:jc w:val="both"/>
        <w:rPr>
          <w:rFonts w:eastAsia="楷体_GB2312"/>
          <w:lang w:eastAsia="zh-CN"/>
        </w:rPr>
      </w:pPr>
    </w:p>
    <w:p w14:paraId="51CC28BF">
      <w:pPr>
        <w:spacing w:line="360" w:lineRule="auto"/>
        <w:ind w:firstLine="480" w:firstLineChars="200"/>
        <w:jc w:val="both"/>
        <w:rPr>
          <w:rFonts w:eastAsia="楷体_GB2312"/>
          <w:lang w:eastAsia="zh-CN"/>
        </w:rPr>
      </w:pPr>
      <w:r>
        <w:rPr>
          <w:rFonts w:eastAsia="楷体_GB2312"/>
          <w:lang w:eastAsia="zh-CN"/>
        </w:rPr>
        <w:t>根据【受托机构名称】与【发起机构简称】于【</w:t>
      </w:r>
      <w:r>
        <w:rPr>
          <w:rFonts w:eastAsia="楷体_GB2312"/>
          <w:i/>
          <w:lang w:eastAsia="zh-CN"/>
        </w:rPr>
        <w:t>日期</w:t>
      </w:r>
      <w:r>
        <w:rPr>
          <w:rFonts w:eastAsia="楷体_GB2312"/>
          <w:lang w:eastAsia="zh-CN"/>
        </w:rPr>
        <w:t>】签署的《【信托名称】服务合同》（“《服务合同》”），【受托机构名称】已委托【发起机构简称】担任您的“贷款服务机构”，继续处理与您的该笔“个人汽车贷款”相关的未来收款工作（包括在您违约时，根据“贷款合同”的</w:t>
      </w:r>
      <w:r>
        <w:rPr>
          <w:rFonts w:eastAsia="楷体_GB2312"/>
          <w:bCs/>
          <w:lang w:eastAsia="zh-CN"/>
        </w:rPr>
        <w:t>约</w:t>
      </w:r>
      <w:r>
        <w:rPr>
          <w:rFonts w:eastAsia="楷体_GB2312"/>
          <w:lang w:eastAsia="zh-CN"/>
        </w:rPr>
        <w:t>定向您主张权利）。您应继续按照现有方式向【发起机构简称】还款，直到“个人汽车贷款”全部还清或我们向您发出进一步通知。</w:t>
      </w:r>
    </w:p>
    <w:p w14:paraId="2043FF48">
      <w:pPr>
        <w:spacing w:line="360" w:lineRule="auto"/>
        <w:jc w:val="both"/>
        <w:rPr>
          <w:rFonts w:eastAsia="楷体_GB2312"/>
          <w:lang w:eastAsia="zh-CN"/>
        </w:rPr>
      </w:pPr>
    </w:p>
    <w:p w14:paraId="6BA5231A">
      <w:pPr>
        <w:spacing w:line="360" w:lineRule="auto"/>
        <w:ind w:firstLine="480" w:firstLineChars="200"/>
        <w:jc w:val="both"/>
        <w:rPr>
          <w:rFonts w:eastAsia="楷体_GB2312"/>
          <w:lang w:eastAsia="zh-CN"/>
        </w:rPr>
      </w:pPr>
      <w:r>
        <w:rPr>
          <w:rFonts w:eastAsia="楷体_GB2312"/>
          <w:lang w:eastAsia="zh-CN"/>
        </w:rPr>
        <w:t>如果您对本通知内容或您的“个人汽车贷款”及与其有关的任何付款金额有任何问题，请按如下方式进行查询：</w:t>
      </w:r>
    </w:p>
    <w:p w14:paraId="39409442">
      <w:pPr>
        <w:spacing w:line="360" w:lineRule="auto"/>
        <w:jc w:val="both"/>
        <w:rPr>
          <w:rFonts w:eastAsia="楷体_GB2312"/>
          <w:lang w:eastAsia="zh-CN"/>
        </w:rPr>
      </w:pPr>
    </w:p>
    <w:p w14:paraId="7D846C88">
      <w:pPr>
        <w:spacing w:line="360" w:lineRule="auto"/>
        <w:ind w:firstLine="480" w:firstLineChars="200"/>
        <w:jc w:val="both"/>
        <w:rPr>
          <w:rFonts w:eastAsia="楷体_GB2312"/>
          <w:lang w:eastAsia="zh-CN"/>
        </w:rPr>
      </w:pPr>
      <w:r>
        <w:rPr>
          <w:rFonts w:eastAsia="楷体_GB2312"/>
          <w:lang w:eastAsia="zh-CN"/>
        </w:rPr>
        <w:t>联系地址：</w:t>
      </w:r>
    </w:p>
    <w:p w14:paraId="5C44A553">
      <w:pPr>
        <w:spacing w:line="360" w:lineRule="auto"/>
        <w:ind w:firstLine="480" w:firstLineChars="200"/>
        <w:jc w:val="both"/>
        <w:rPr>
          <w:rFonts w:eastAsia="楷体_GB2312"/>
          <w:lang w:eastAsia="zh-CN"/>
        </w:rPr>
      </w:pPr>
      <w:r>
        <w:rPr>
          <w:rFonts w:eastAsia="楷体_GB2312"/>
          <w:lang w:eastAsia="zh-CN"/>
        </w:rPr>
        <w:t>联系人：</w:t>
      </w:r>
    </w:p>
    <w:p w14:paraId="50874E2C">
      <w:pPr>
        <w:spacing w:line="360" w:lineRule="auto"/>
        <w:ind w:firstLine="480" w:firstLineChars="200"/>
        <w:jc w:val="both"/>
        <w:rPr>
          <w:rFonts w:eastAsia="楷体_GB2312"/>
          <w:lang w:eastAsia="zh-CN"/>
        </w:rPr>
      </w:pPr>
      <w:r>
        <w:rPr>
          <w:rFonts w:eastAsia="楷体_GB2312"/>
          <w:lang w:eastAsia="zh-CN"/>
        </w:rPr>
        <w:t>联系电话：</w:t>
      </w:r>
    </w:p>
    <w:p w14:paraId="71CED2D6">
      <w:pPr>
        <w:spacing w:line="360" w:lineRule="auto"/>
        <w:ind w:firstLine="480" w:firstLineChars="200"/>
        <w:jc w:val="both"/>
        <w:rPr>
          <w:rFonts w:eastAsia="楷体_GB2312"/>
          <w:lang w:eastAsia="zh-CN"/>
        </w:rPr>
      </w:pPr>
      <w:r>
        <w:rPr>
          <w:rFonts w:eastAsia="楷体_GB2312"/>
          <w:lang w:eastAsia="zh-CN"/>
        </w:rPr>
        <w:t>传真：</w:t>
      </w:r>
    </w:p>
    <w:p w14:paraId="267B4851">
      <w:pPr>
        <w:spacing w:line="360" w:lineRule="auto"/>
        <w:jc w:val="both"/>
        <w:rPr>
          <w:rFonts w:eastAsia="楷体_GB2312"/>
          <w:lang w:eastAsia="zh-CN"/>
        </w:rPr>
      </w:pPr>
    </w:p>
    <w:p w14:paraId="6292068B">
      <w:pPr>
        <w:spacing w:line="360" w:lineRule="auto"/>
        <w:jc w:val="both"/>
        <w:rPr>
          <w:rFonts w:eastAsia="楷体_GB2312"/>
          <w:lang w:eastAsia="zh-CN"/>
        </w:rPr>
      </w:pPr>
    </w:p>
    <w:p w14:paraId="1711E867">
      <w:pPr>
        <w:spacing w:line="360" w:lineRule="auto"/>
        <w:jc w:val="both"/>
        <w:rPr>
          <w:rFonts w:eastAsia="楷体_GB2312"/>
          <w:b/>
          <w:lang w:eastAsia="zh-CN"/>
        </w:rPr>
      </w:pPr>
      <w:r>
        <w:rPr>
          <w:rFonts w:eastAsia="楷体_GB2312"/>
          <w:b/>
          <w:lang w:eastAsia="zh-CN"/>
        </w:rPr>
        <w:t>【发起机构全称】</w:t>
      </w:r>
      <w:r>
        <w:rPr>
          <w:rFonts w:eastAsia="楷体_GB2312"/>
          <w:lang w:eastAsia="zh-CN"/>
        </w:rPr>
        <w:t>（作为“委托人”、“发起机构”）（公章）</w:t>
      </w:r>
    </w:p>
    <w:p w14:paraId="250D6C18">
      <w:pPr>
        <w:spacing w:line="360" w:lineRule="auto"/>
        <w:jc w:val="both"/>
        <w:rPr>
          <w:rFonts w:eastAsia="楷体_GB2312"/>
          <w:lang w:eastAsia="zh-CN"/>
        </w:rPr>
      </w:pPr>
    </w:p>
    <w:p w14:paraId="0EF8A2CC">
      <w:pPr>
        <w:spacing w:line="360" w:lineRule="auto"/>
        <w:jc w:val="both"/>
        <w:rPr>
          <w:rFonts w:eastAsia="楷体_GB2312"/>
          <w:lang w:eastAsia="zh-CN"/>
        </w:rPr>
      </w:pPr>
      <w:r>
        <w:rPr>
          <w:rFonts w:eastAsia="楷体_GB2312"/>
          <w:lang w:eastAsia="zh-CN"/>
        </w:rPr>
        <w:t>法定代表人或授权代表（签字或签章）</w:t>
      </w:r>
    </w:p>
    <w:p w14:paraId="738A29EC">
      <w:pPr>
        <w:spacing w:line="360" w:lineRule="auto"/>
        <w:jc w:val="both"/>
        <w:rPr>
          <w:rFonts w:eastAsia="楷体_GB2312"/>
          <w:lang w:eastAsia="zh-CN"/>
        </w:rPr>
      </w:pPr>
    </w:p>
    <w:p w14:paraId="16773D52">
      <w:pPr>
        <w:spacing w:line="360" w:lineRule="auto"/>
        <w:jc w:val="both"/>
        <w:rPr>
          <w:rFonts w:eastAsia="楷体_GB2312"/>
          <w:b/>
          <w:lang w:eastAsia="zh-CN"/>
        </w:rPr>
      </w:pPr>
      <w:r>
        <w:rPr>
          <w:rFonts w:eastAsia="楷体_GB2312"/>
          <w:b/>
          <w:lang w:eastAsia="zh-CN"/>
        </w:rPr>
        <w:t>附件：</w:t>
      </w:r>
    </w:p>
    <w:p w14:paraId="77782C8E">
      <w:pPr>
        <w:spacing w:line="360" w:lineRule="auto"/>
        <w:jc w:val="both"/>
        <w:rPr>
          <w:rFonts w:eastAsia="楷体_GB2312"/>
          <w:lang w:eastAsia="zh-CN"/>
        </w:rPr>
      </w:pPr>
      <w:r>
        <w:rPr>
          <w:rFonts w:eastAsia="楷体_GB2312"/>
          <w:lang w:eastAsia="zh-CN"/>
        </w:rPr>
        <w:t>贷款合同编号：</w:t>
      </w:r>
    </w:p>
    <w:p w14:paraId="58524583">
      <w:pPr>
        <w:spacing w:line="360" w:lineRule="auto"/>
        <w:jc w:val="both"/>
        <w:rPr>
          <w:rFonts w:eastAsia="楷体_GB2312"/>
          <w:lang w:eastAsia="zh-CN"/>
        </w:rPr>
      </w:pPr>
      <w:r>
        <w:rPr>
          <w:rFonts w:eastAsia="楷体_GB2312"/>
          <w:lang w:eastAsia="zh-CN"/>
        </w:rPr>
        <w:t>借款人名称：</w:t>
      </w:r>
    </w:p>
    <w:p w14:paraId="67418B3A">
      <w:pPr>
        <w:spacing w:line="360" w:lineRule="auto"/>
        <w:jc w:val="both"/>
        <w:rPr>
          <w:rFonts w:eastAsia="楷体_GB2312"/>
          <w:u w:val="single"/>
          <w:lang w:eastAsia="zh-CN"/>
        </w:rPr>
      </w:pPr>
      <w:r>
        <w:rPr>
          <w:rFonts w:eastAsia="楷体_GB2312"/>
          <w:lang w:eastAsia="zh-CN"/>
        </w:rPr>
        <w:t>共同借款人名称：</w:t>
      </w:r>
    </w:p>
    <w:p w14:paraId="58872BB3">
      <w:pPr>
        <w:spacing w:line="360" w:lineRule="auto"/>
        <w:jc w:val="both"/>
        <w:rPr>
          <w:rFonts w:eastAsia="楷体_GB2312"/>
          <w:u w:val="single"/>
          <w:lang w:eastAsia="zh-CN"/>
        </w:rPr>
      </w:pPr>
      <w:r>
        <w:rPr>
          <w:rFonts w:eastAsia="楷体_GB2312"/>
          <w:lang w:eastAsia="zh-CN"/>
        </w:rPr>
        <w:t>保证人名称：</w:t>
      </w:r>
    </w:p>
    <w:p w14:paraId="54A466FD">
      <w:pPr>
        <w:spacing w:line="360" w:lineRule="auto"/>
        <w:jc w:val="both"/>
        <w:rPr>
          <w:rFonts w:eastAsia="楷体_GB2312"/>
          <w:lang w:eastAsia="zh-CN"/>
        </w:rPr>
      </w:pPr>
      <w:r>
        <w:rPr>
          <w:rFonts w:eastAsia="楷体_GB2312"/>
          <w:lang w:eastAsia="zh-CN"/>
        </w:rPr>
        <w:t>剩余本金余额：</w:t>
      </w:r>
    </w:p>
    <w:p w14:paraId="420FE681">
      <w:pPr>
        <w:spacing w:line="360" w:lineRule="auto"/>
        <w:jc w:val="both"/>
        <w:rPr>
          <w:rFonts w:eastAsia="楷体_GB2312"/>
          <w:b/>
          <w:lang w:eastAsia="zh-CN"/>
        </w:rPr>
      </w:pPr>
      <w:r>
        <w:rPr>
          <w:rFonts w:eastAsia="楷体_GB2312"/>
          <w:b/>
          <w:lang w:eastAsia="zh-CN"/>
        </w:rPr>
        <w:br w:type="page"/>
      </w:r>
    </w:p>
    <w:p w14:paraId="770AC098">
      <w:pPr>
        <w:spacing w:line="360" w:lineRule="auto"/>
        <w:jc w:val="center"/>
        <w:rPr>
          <w:rFonts w:eastAsia="楷体_GB2312"/>
          <w:b/>
          <w:lang w:eastAsia="zh-CN"/>
        </w:rPr>
      </w:pPr>
      <w:r>
        <w:rPr>
          <w:rFonts w:eastAsia="楷体_GB2312"/>
          <w:b/>
          <w:lang w:eastAsia="zh-CN"/>
        </w:rPr>
        <w:t>权利完善通知格式</w:t>
      </w:r>
    </w:p>
    <w:p w14:paraId="728B9056">
      <w:pPr>
        <w:spacing w:line="360" w:lineRule="auto"/>
        <w:jc w:val="both"/>
        <w:rPr>
          <w:rFonts w:eastAsia="楷体_GB2312"/>
          <w:b/>
          <w:lang w:eastAsia="zh-CN"/>
        </w:rPr>
      </w:pPr>
    </w:p>
    <w:p w14:paraId="6F2D1CAA">
      <w:pPr>
        <w:spacing w:line="360" w:lineRule="auto"/>
        <w:jc w:val="both"/>
        <w:rPr>
          <w:rFonts w:eastAsia="楷体_GB2312"/>
          <w:lang w:eastAsia="zh-CN"/>
        </w:rPr>
      </w:pPr>
      <w:r>
        <w:rPr>
          <w:rFonts w:eastAsia="楷体_GB2312"/>
          <w:lang w:eastAsia="zh-CN"/>
        </w:rPr>
        <w:t>（适用于：1、通知对象为“保证人”；2、发生“权利完善事件”之第(c)项或第(d)项之情形；3、由【发起机构全称】通知。）</w:t>
      </w:r>
    </w:p>
    <w:p w14:paraId="30B1957A">
      <w:pPr>
        <w:spacing w:line="360" w:lineRule="auto"/>
        <w:jc w:val="both"/>
        <w:rPr>
          <w:rFonts w:eastAsia="楷体_GB2312"/>
          <w:b/>
          <w:lang w:eastAsia="zh-CN"/>
        </w:rPr>
      </w:pPr>
    </w:p>
    <w:p w14:paraId="27C03C91">
      <w:pPr>
        <w:spacing w:line="360" w:lineRule="auto"/>
        <w:jc w:val="both"/>
        <w:rPr>
          <w:rFonts w:eastAsia="楷体_GB2312"/>
          <w:b/>
          <w:lang w:eastAsia="zh-CN"/>
        </w:rPr>
      </w:pPr>
      <w:r>
        <w:rPr>
          <w:rFonts w:eastAsia="楷体_GB2312"/>
          <w:b/>
          <w:lang w:eastAsia="zh-CN"/>
        </w:rPr>
        <w:t>致：【相关“保证人”的名称和地址】</w:t>
      </w:r>
    </w:p>
    <w:p w14:paraId="14E058F3">
      <w:pPr>
        <w:spacing w:line="360" w:lineRule="auto"/>
        <w:jc w:val="both"/>
        <w:rPr>
          <w:rFonts w:eastAsia="楷体_GB2312"/>
          <w:b/>
          <w:lang w:eastAsia="zh-CN"/>
        </w:rPr>
      </w:pPr>
      <w:r>
        <w:rPr>
          <w:rFonts w:eastAsia="楷体_GB2312"/>
          <w:b/>
          <w:lang w:eastAsia="zh-CN"/>
        </w:rPr>
        <w:t>抄送：【受托机构全称】</w:t>
      </w:r>
    </w:p>
    <w:p w14:paraId="7DC126AF">
      <w:pPr>
        <w:spacing w:line="360" w:lineRule="auto"/>
        <w:jc w:val="both"/>
        <w:rPr>
          <w:rFonts w:eastAsia="楷体_GB2312"/>
          <w:b/>
          <w:lang w:eastAsia="zh-CN"/>
        </w:rPr>
      </w:pPr>
      <w:r>
        <w:rPr>
          <w:rFonts w:eastAsia="楷体_GB2312"/>
          <w:b/>
          <w:lang w:eastAsia="zh-CN"/>
        </w:rPr>
        <w:t>日期_______________</w:t>
      </w:r>
    </w:p>
    <w:p w14:paraId="75F6018E">
      <w:pPr>
        <w:spacing w:line="360" w:lineRule="auto"/>
        <w:jc w:val="both"/>
        <w:rPr>
          <w:rFonts w:eastAsia="楷体_GB2312"/>
          <w:b/>
          <w:lang w:eastAsia="zh-CN"/>
        </w:rPr>
      </w:pPr>
    </w:p>
    <w:p w14:paraId="79A699B2">
      <w:pPr>
        <w:spacing w:line="360" w:lineRule="auto"/>
        <w:jc w:val="both"/>
        <w:rPr>
          <w:rFonts w:eastAsia="楷体_GB2312"/>
          <w:b/>
          <w:lang w:eastAsia="zh-CN"/>
        </w:rPr>
      </w:pPr>
      <w:r>
        <w:rPr>
          <w:rFonts w:eastAsia="楷体_GB2312"/>
          <w:b/>
          <w:lang w:eastAsia="zh-CN"/>
        </w:rPr>
        <w:t>敬启者</w:t>
      </w:r>
    </w:p>
    <w:p w14:paraId="07633E46">
      <w:pPr>
        <w:spacing w:line="360" w:lineRule="auto"/>
        <w:jc w:val="both"/>
        <w:rPr>
          <w:rFonts w:eastAsia="楷体_GB2312"/>
          <w:lang w:eastAsia="zh-CN"/>
        </w:rPr>
      </w:pPr>
    </w:p>
    <w:p w14:paraId="0558B99B">
      <w:pPr>
        <w:spacing w:line="360" w:lineRule="auto"/>
        <w:ind w:firstLine="480" w:firstLineChars="200"/>
        <w:jc w:val="both"/>
        <w:rPr>
          <w:rFonts w:eastAsia="楷体_GB2312"/>
          <w:lang w:eastAsia="zh-CN"/>
        </w:rPr>
      </w:pPr>
      <w:r>
        <w:rPr>
          <w:rFonts w:eastAsia="楷体_GB2312"/>
          <w:lang w:eastAsia="zh-CN"/>
        </w:rPr>
        <w:t>根据【发起机构全称】（“【发起机构简称】”）与【受托机构全称】（“【受托机构名称】”）于【】年【】月【】日签署的《【信托名称】之信托合同》（“《信托合同》”）以及【发起机构简称】和【受托机构名称】于【</w:t>
      </w:r>
      <w:r>
        <w:rPr>
          <w:rFonts w:eastAsia="楷体_GB2312"/>
          <w:i/>
          <w:lang w:eastAsia="zh-CN"/>
        </w:rPr>
        <w:t>日期</w:t>
      </w:r>
      <w:r>
        <w:rPr>
          <w:rFonts w:eastAsia="楷体_GB2312"/>
          <w:lang w:eastAsia="zh-CN"/>
        </w:rPr>
        <w:t>】在【</w:t>
      </w:r>
      <w:r>
        <w:rPr>
          <w:rFonts w:eastAsia="楷体_GB2312"/>
          <w:i/>
          <w:lang w:eastAsia="zh-CN"/>
        </w:rPr>
        <w:t>公共媒体</w:t>
      </w:r>
      <w:r>
        <w:rPr>
          <w:rFonts w:eastAsia="楷体_GB2312"/>
          <w:lang w:eastAsia="zh-CN"/>
        </w:rPr>
        <w:t>】刊登的信托设立公告（“信托设立公告”），【发起机构简称】已将包括您提供保证担保的“个人汽车贷款”（具体信息见本通知附件）在内的特定“个人汽车贷款”债权及其“附属权益”（现有的和将来的、实际的和或有的）全部信托予【受托机构名称】。</w:t>
      </w:r>
    </w:p>
    <w:p w14:paraId="37D52F4C">
      <w:pPr>
        <w:spacing w:line="360" w:lineRule="auto"/>
        <w:jc w:val="both"/>
        <w:rPr>
          <w:rFonts w:eastAsia="楷体_GB2312"/>
          <w:lang w:eastAsia="zh-CN"/>
        </w:rPr>
      </w:pPr>
    </w:p>
    <w:p w14:paraId="08845519">
      <w:pPr>
        <w:spacing w:line="360" w:lineRule="auto"/>
        <w:ind w:firstLine="480" w:firstLineChars="200"/>
        <w:jc w:val="both"/>
        <w:rPr>
          <w:rFonts w:eastAsia="楷体_GB2312"/>
          <w:lang w:eastAsia="zh-CN"/>
        </w:rPr>
      </w:pPr>
      <w:r>
        <w:rPr>
          <w:rFonts w:eastAsia="楷体_GB2312"/>
          <w:lang w:eastAsia="zh-CN"/>
        </w:rPr>
        <w:t>自【</w:t>
      </w:r>
      <w:r>
        <w:rPr>
          <w:rFonts w:eastAsia="楷体_GB2312"/>
          <w:i/>
          <w:lang w:eastAsia="zh-CN"/>
        </w:rPr>
        <w:t>日期</w:t>
      </w:r>
      <w:r>
        <w:rPr>
          <w:rFonts w:eastAsia="楷体_GB2312"/>
          <w:lang w:eastAsia="zh-CN"/>
        </w:rPr>
        <w:t>】起，与该笔“个人汽车贷款”及相关“附属权益”有关的所有权利，均由【受托机构名称】（为资产支持证券持有人的利益）行使，【发起机构简称】有义务继续履行其在“贷款合同”中应承担的义务。该项转让行为并未改变【发起机构简称】与“借款人”签署的“贷款合同”的其他内容，不会给您的利益带来不利影响。</w:t>
      </w:r>
    </w:p>
    <w:p w14:paraId="57C1556E">
      <w:pPr>
        <w:spacing w:line="360" w:lineRule="auto"/>
        <w:jc w:val="both"/>
        <w:rPr>
          <w:rFonts w:eastAsia="楷体_GB2312"/>
          <w:lang w:eastAsia="zh-CN"/>
        </w:rPr>
      </w:pPr>
    </w:p>
    <w:p w14:paraId="2EF74364">
      <w:pPr>
        <w:spacing w:line="360" w:lineRule="auto"/>
        <w:ind w:firstLine="480" w:firstLineChars="200"/>
        <w:jc w:val="both"/>
        <w:rPr>
          <w:rFonts w:eastAsia="楷体_GB2312"/>
          <w:lang w:eastAsia="zh-CN"/>
        </w:rPr>
      </w:pPr>
      <w:r>
        <w:rPr>
          <w:rFonts w:eastAsia="楷体_GB2312"/>
          <w:lang w:eastAsia="zh-CN"/>
        </w:rPr>
        <w:t>根据【受托机构名称】与【发起机构简称】于【</w:t>
      </w:r>
      <w:r>
        <w:rPr>
          <w:rFonts w:eastAsia="楷体_GB2312"/>
          <w:i/>
          <w:lang w:eastAsia="zh-CN"/>
        </w:rPr>
        <w:t>日期</w:t>
      </w:r>
      <w:r>
        <w:rPr>
          <w:rFonts w:eastAsia="楷体_GB2312"/>
          <w:lang w:eastAsia="zh-CN"/>
        </w:rPr>
        <w:t>】签署的《【信托名称】服务合同》（“《服务合同》”），【受托机构名称】已委托【发起机构简称】担任您提供保证担保的该笔“个人汽车贷款”的服务机构，继续处理与贵公司担保的该笔贷款相关的未来收款工作（包括在您违约时，根据“贷款合同”的</w:t>
      </w:r>
      <w:r>
        <w:rPr>
          <w:rFonts w:eastAsia="楷体_GB2312"/>
          <w:bCs/>
          <w:lang w:eastAsia="zh-CN"/>
        </w:rPr>
        <w:t>约</w:t>
      </w:r>
      <w:r>
        <w:rPr>
          <w:rFonts w:eastAsia="楷体_GB2312"/>
          <w:lang w:eastAsia="zh-CN"/>
        </w:rPr>
        <w:t>定向“借款人”或您主张权利）；您应继续履行原“贷款合同”项下的保证义务。</w:t>
      </w:r>
    </w:p>
    <w:p w14:paraId="5EE1126B">
      <w:pPr>
        <w:spacing w:line="360" w:lineRule="auto"/>
        <w:jc w:val="both"/>
        <w:rPr>
          <w:rFonts w:eastAsia="楷体_GB2312"/>
          <w:lang w:eastAsia="zh-CN"/>
        </w:rPr>
      </w:pPr>
    </w:p>
    <w:p w14:paraId="7B8C6A75">
      <w:pPr>
        <w:spacing w:line="360" w:lineRule="auto"/>
        <w:ind w:firstLine="480" w:firstLineChars="200"/>
        <w:jc w:val="both"/>
        <w:rPr>
          <w:rFonts w:eastAsia="楷体_GB2312"/>
          <w:lang w:eastAsia="zh-CN"/>
        </w:rPr>
      </w:pPr>
      <w:r>
        <w:rPr>
          <w:rFonts w:eastAsia="楷体_GB2312"/>
          <w:lang w:eastAsia="zh-CN"/>
        </w:rPr>
        <w:t>如果您对本通知内容或您所担保的“个人汽车贷款”的转让有任何问题，请按如下方式进行查询：</w:t>
      </w:r>
    </w:p>
    <w:p w14:paraId="54DD17AB">
      <w:pPr>
        <w:spacing w:line="360" w:lineRule="auto"/>
        <w:jc w:val="both"/>
        <w:rPr>
          <w:rFonts w:eastAsia="楷体_GB2312"/>
          <w:lang w:eastAsia="zh-CN"/>
        </w:rPr>
      </w:pPr>
    </w:p>
    <w:p w14:paraId="40E1DD0D">
      <w:pPr>
        <w:spacing w:line="360" w:lineRule="auto"/>
        <w:ind w:firstLine="480" w:firstLineChars="200"/>
        <w:jc w:val="both"/>
        <w:rPr>
          <w:rFonts w:eastAsia="楷体_GB2312"/>
          <w:lang w:eastAsia="zh-CN"/>
        </w:rPr>
      </w:pPr>
      <w:r>
        <w:rPr>
          <w:rFonts w:eastAsia="楷体_GB2312"/>
          <w:lang w:eastAsia="zh-CN"/>
        </w:rPr>
        <w:t>联系地址：</w:t>
      </w:r>
    </w:p>
    <w:p w14:paraId="33EA2513">
      <w:pPr>
        <w:spacing w:line="360" w:lineRule="auto"/>
        <w:ind w:firstLine="480" w:firstLineChars="200"/>
        <w:jc w:val="both"/>
        <w:rPr>
          <w:rFonts w:eastAsia="楷体_GB2312"/>
          <w:lang w:eastAsia="zh-CN"/>
        </w:rPr>
      </w:pPr>
      <w:r>
        <w:rPr>
          <w:rFonts w:eastAsia="楷体_GB2312"/>
          <w:lang w:eastAsia="zh-CN"/>
        </w:rPr>
        <w:t>联系人：</w:t>
      </w:r>
    </w:p>
    <w:p w14:paraId="389D0C37">
      <w:pPr>
        <w:spacing w:line="360" w:lineRule="auto"/>
        <w:ind w:firstLine="480" w:firstLineChars="200"/>
        <w:jc w:val="both"/>
        <w:rPr>
          <w:rFonts w:eastAsia="楷体_GB2312"/>
          <w:lang w:eastAsia="zh-CN"/>
        </w:rPr>
      </w:pPr>
      <w:r>
        <w:rPr>
          <w:rFonts w:eastAsia="楷体_GB2312"/>
          <w:lang w:eastAsia="zh-CN"/>
        </w:rPr>
        <w:t>联系电话：</w:t>
      </w:r>
    </w:p>
    <w:p w14:paraId="7BEA6A4D">
      <w:pPr>
        <w:spacing w:line="360" w:lineRule="auto"/>
        <w:ind w:firstLine="480" w:firstLineChars="200"/>
        <w:jc w:val="both"/>
        <w:rPr>
          <w:rFonts w:eastAsia="楷体_GB2312"/>
          <w:lang w:eastAsia="zh-CN"/>
        </w:rPr>
      </w:pPr>
      <w:r>
        <w:rPr>
          <w:rFonts w:eastAsia="楷体_GB2312"/>
          <w:lang w:eastAsia="zh-CN"/>
        </w:rPr>
        <w:t>传真：</w:t>
      </w:r>
    </w:p>
    <w:p w14:paraId="6AFD0162">
      <w:pPr>
        <w:spacing w:line="360" w:lineRule="auto"/>
        <w:jc w:val="both"/>
        <w:rPr>
          <w:rFonts w:eastAsia="楷体_GB2312"/>
          <w:lang w:eastAsia="zh-CN"/>
        </w:rPr>
      </w:pPr>
    </w:p>
    <w:p w14:paraId="072AFEB9">
      <w:pPr>
        <w:spacing w:line="360" w:lineRule="auto"/>
        <w:jc w:val="both"/>
        <w:rPr>
          <w:rFonts w:eastAsia="楷体_GB2312"/>
          <w:lang w:eastAsia="zh-CN"/>
        </w:rPr>
      </w:pPr>
    </w:p>
    <w:p w14:paraId="177AA4E6">
      <w:pPr>
        <w:spacing w:line="360" w:lineRule="auto"/>
        <w:jc w:val="both"/>
        <w:rPr>
          <w:rFonts w:eastAsia="楷体_GB2312"/>
          <w:lang w:eastAsia="zh-CN"/>
        </w:rPr>
      </w:pPr>
      <w:r>
        <w:rPr>
          <w:rFonts w:eastAsia="楷体_GB2312"/>
          <w:b/>
          <w:lang w:eastAsia="zh-CN"/>
        </w:rPr>
        <w:t>【发起机构全称】</w:t>
      </w:r>
      <w:r>
        <w:rPr>
          <w:rFonts w:eastAsia="楷体_GB2312"/>
          <w:lang w:eastAsia="zh-CN"/>
        </w:rPr>
        <w:t>（作为“委托人”、“发起机构”）（公章）</w:t>
      </w:r>
    </w:p>
    <w:p w14:paraId="5714CD0A">
      <w:pPr>
        <w:spacing w:line="360" w:lineRule="auto"/>
        <w:jc w:val="both"/>
        <w:rPr>
          <w:rFonts w:eastAsia="楷体_GB2312"/>
          <w:lang w:eastAsia="zh-CN"/>
        </w:rPr>
      </w:pPr>
    </w:p>
    <w:p w14:paraId="540AEF65">
      <w:pPr>
        <w:spacing w:line="360" w:lineRule="auto"/>
        <w:jc w:val="both"/>
        <w:rPr>
          <w:rFonts w:eastAsia="楷体_GB2312"/>
          <w:lang w:eastAsia="zh-CN"/>
        </w:rPr>
      </w:pPr>
      <w:r>
        <w:rPr>
          <w:rFonts w:eastAsia="楷体_GB2312"/>
          <w:lang w:eastAsia="zh-CN"/>
        </w:rPr>
        <w:t>法定代表人或授权代表（签字或签章）</w:t>
      </w:r>
    </w:p>
    <w:p w14:paraId="428ECBB6">
      <w:pPr>
        <w:spacing w:line="360" w:lineRule="auto"/>
        <w:jc w:val="both"/>
        <w:rPr>
          <w:rFonts w:eastAsia="楷体_GB2312"/>
          <w:lang w:eastAsia="zh-CN"/>
        </w:rPr>
      </w:pPr>
    </w:p>
    <w:p w14:paraId="7B29CCAC">
      <w:pPr>
        <w:spacing w:line="360" w:lineRule="auto"/>
        <w:jc w:val="both"/>
        <w:rPr>
          <w:rFonts w:eastAsia="楷体_GB2312"/>
          <w:b/>
          <w:lang w:eastAsia="zh-CN"/>
        </w:rPr>
      </w:pPr>
      <w:r>
        <w:rPr>
          <w:rFonts w:eastAsia="楷体_GB2312"/>
          <w:b/>
          <w:lang w:eastAsia="zh-CN"/>
        </w:rPr>
        <w:t>附件：</w:t>
      </w:r>
    </w:p>
    <w:p w14:paraId="0D9DCE3C">
      <w:pPr>
        <w:spacing w:line="360" w:lineRule="auto"/>
        <w:jc w:val="both"/>
        <w:rPr>
          <w:rFonts w:eastAsia="楷体_GB2312"/>
          <w:lang w:eastAsia="zh-CN"/>
        </w:rPr>
      </w:pPr>
      <w:r>
        <w:rPr>
          <w:rFonts w:eastAsia="楷体_GB2312"/>
          <w:lang w:eastAsia="zh-CN"/>
        </w:rPr>
        <w:t>贷款合同编号：</w:t>
      </w:r>
    </w:p>
    <w:p w14:paraId="79FD8F10">
      <w:pPr>
        <w:spacing w:line="360" w:lineRule="auto"/>
        <w:jc w:val="both"/>
        <w:rPr>
          <w:rFonts w:eastAsia="楷体_GB2312"/>
          <w:lang w:eastAsia="zh-CN"/>
        </w:rPr>
      </w:pPr>
      <w:r>
        <w:rPr>
          <w:rFonts w:eastAsia="楷体_GB2312"/>
          <w:lang w:eastAsia="zh-CN"/>
        </w:rPr>
        <w:t>借款人名称：</w:t>
      </w:r>
    </w:p>
    <w:p w14:paraId="0F664CA8">
      <w:pPr>
        <w:spacing w:line="360" w:lineRule="auto"/>
        <w:jc w:val="both"/>
        <w:rPr>
          <w:rFonts w:eastAsia="楷体_GB2312"/>
          <w:u w:val="single"/>
          <w:lang w:eastAsia="zh-CN"/>
        </w:rPr>
      </w:pPr>
      <w:r>
        <w:rPr>
          <w:rFonts w:eastAsia="楷体_GB2312"/>
          <w:lang w:eastAsia="zh-CN"/>
        </w:rPr>
        <w:t>共同借款人名称：</w:t>
      </w:r>
    </w:p>
    <w:p w14:paraId="6297759D">
      <w:pPr>
        <w:spacing w:line="360" w:lineRule="auto"/>
        <w:jc w:val="both"/>
        <w:rPr>
          <w:rFonts w:eastAsia="楷体_GB2312"/>
          <w:u w:val="single"/>
          <w:lang w:eastAsia="zh-CN"/>
        </w:rPr>
      </w:pPr>
      <w:r>
        <w:rPr>
          <w:rFonts w:eastAsia="楷体_GB2312"/>
          <w:lang w:eastAsia="zh-CN"/>
        </w:rPr>
        <w:t>保证人名称：</w:t>
      </w:r>
    </w:p>
    <w:p w14:paraId="6787E4CB">
      <w:pPr>
        <w:spacing w:line="360" w:lineRule="auto"/>
        <w:jc w:val="both"/>
        <w:rPr>
          <w:rFonts w:eastAsia="楷体_GB2312"/>
          <w:lang w:eastAsia="zh-CN"/>
        </w:rPr>
      </w:pPr>
      <w:r>
        <w:rPr>
          <w:rFonts w:eastAsia="楷体_GB2312"/>
          <w:lang w:eastAsia="zh-CN"/>
        </w:rPr>
        <w:t>剩余本金余额：</w:t>
      </w:r>
    </w:p>
    <w:p w14:paraId="63613B00">
      <w:pPr>
        <w:spacing w:line="360" w:lineRule="auto"/>
        <w:outlineLvl w:val="0"/>
        <w:rPr>
          <w:rFonts w:eastAsia="楷体_GB2312"/>
          <w:b/>
          <w:lang w:eastAsia="zh-CN"/>
        </w:rPr>
      </w:pPr>
      <w:r>
        <w:rPr>
          <w:rFonts w:eastAsia="楷体_GB2312"/>
          <w:lang w:eastAsia="zh-CN"/>
        </w:rPr>
        <w:br w:type="page"/>
      </w:r>
      <w:bookmarkStart w:id="839" w:name="_Toc331764792"/>
      <w:bookmarkStart w:id="840" w:name="_Toc227955312"/>
      <w:bookmarkStart w:id="841" w:name="_Toc69138615"/>
      <w:bookmarkStart w:id="842" w:name="_Toc166105898"/>
      <w:bookmarkStart w:id="843" w:name="_Toc75510497"/>
      <w:r>
        <w:rPr>
          <w:rFonts w:eastAsia="楷体_GB2312"/>
          <w:b/>
          <w:lang w:eastAsia="zh-CN"/>
        </w:rPr>
        <w:t>附件七：授权书的格式</w:t>
      </w:r>
      <w:bookmarkEnd w:id="839"/>
      <w:bookmarkEnd w:id="840"/>
      <w:bookmarkEnd w:id="841"/>
      <w:bookmarkEnd w:id="842"/>
      <w:bookmarkEnd w:id="843"/>
    </w:p>
    <w:p w14:paraId="2421677D">
      <w:pPr>
        <w:spacing w:line="360" w:lineRule="auto"/>
        <w:rPr>
          <w:rFonts w:eastAsia="楷体_GB2312"/>
          <w:lang w:eastAsia="zh-CN"/>
        </w:rPr>
      </w:pPr>
    </w:p>
    <w:p w14:paraId="308BDCE2">
      <w:pPr>
        <w:spacing w:line="360" w:lineRule="auto"/>
        <w:jc w:val="center"/>
        <w:rPr>
          <w:rFonts w:eastAsia="楷体_GB2312"/>
          <w:b/>
          <w:lang w:eastAsia="zh-CN"/>
        </w:rPr>
      </w:pPr>
      <w:r>
        <w:rPr>
          <w:rFonts w:eastAsia="楷体_GB2312"/>
          <w:b/>
          <w:lang w:eastAsia="zh-CN"/>
        </w:rPr>
        <w:t>权利完善通知之授权书</w:t>
      </w:r>
    </w:p>
    <w:p w14:paraId="00A5A5F8">
      <w:pPr>
        <w:spacing w:line="360" w:lineRule="auto"/>
        <w:jc w:val="center"/>
        <w:rPr>
          <w:rFonts w:eastAsia="楷体_GB2312"/>
          <w:lang w:eastAsia="zh-CN"/>
        </w:rPr>
      </w:pPr>
    </w:p>
    <w:p w14:paraId="6DDCC2BA">
      <w:pPr>
        <w:spacing w:line="360" w:lineRule="auto"/>
        <w:rPr>
          <w:rFonts w:eastAsia="楷体_GB2312"/>
          <w:lang w:eastAsia="zh-CN"/>
        </w:rPr>
      </w:pPr>
      <w:r>
        <w:rPr>
          <w:rFonts w:eastAsia="楷体_GB2312"/>
          <w:lang w:eastAsia="zh-CN"/>
        </w:rPr>
        <w:t>【受托机构全称】：</w:t>
      </w:r>
    </w:p>
    <w:p w14:paraId="49275D25">
      <w:pPr>
        <w:spacing w:line="360" w:lineRule="auto"/>
        <w:rPr>
          <w:rFonts w:eastAsia="楷体_GB2312"/>
          <w:lang w:eastAsia="zh-CN"/>
        </w:rPr>
      </w:pPr>
    </w:p>
    <w:p w14:paraId="062D3853">
      <w:pPr>
        <w:spacing w:line="360" w:lineRule="auto"/>
        <w:ind w:firstLine="420"/>
        <w:jc w:val="both"/>
        <w:rPr>
          <w:rFonts w:eastAsia="楷体_GB2312"/>
          <w:lang w:eastAsia="zh-CN"/>
        </w:rPr>
      </w:pPr>
      <w:r>
        <w:rPr>
          <w:rFonts w:eastAsia="楷体_GB2312"/>
          <w:lang w:eastAsia="zh-CN"/>
        </w:rPr>
        <w:t>鉴于本公司作为委托人，于【】年【】月【】日与贵公司签署《【信托名称】之信托合同》（“《信托合同》”），将初始基础资产信托予贵公司，设立【信托名称】。根据《信托合同》第</w:t>
      </w:r>
      <w:r>
        <w:rPr>
          <w:rFonts w:eastAsia="楷体_GB2312"/>
          <w:lang w:eastAsia="zh-CN"/>
        </w:rPr>
        <w:fldChar w:fldCharType="begin"/>
      </w:r>
      <w:r>
        <w:rPr>
          <w:rFonts w:eastAsia="楷体_GB2312"/>
          <w:lang w:eastAsia="zh-CN"/>
        </w:rPr>
        <w:instrText xml:space="preserve"> REF _Ref332385414 \r \h  \* MERGEFORMAT </w:instrText>
      </w:r>
      <w:r>
        <w:rPr>
          <w:rFonts w:eastAsia="楷体_GB2312"/>
          <w:lang w:eastAsia="zh-CN"/>
        </w:rPr>
        <w:fldChar w:fldCharType="separate"/>
      </w:r>
      <w:r>
        <w:rPr>
          <w:rFonts w:eastAsia="楷体_GB2312"/>
          <w:lang w:eastAsia="zh-CN"/>
        </w:rPr>
        <w:t>6.1</w:t>
      </w:r>
      <w:r>
        <w:rPr>
          <w:rFonts w:eastAsia="楷体_GB2312"/>
          <w:lang w:eastAsia="zh-CN"/>
        </w:rPr>
        <w:fldChar w:fldCharType="end"/>
      </w:r>
      <w:r>
        <w:rPr>
          <w:rFonts w:eastAsia="楷体_GB2312"/>
          <w:lang w:eastAsia="zh-CN"/>
        </w:rPr>
        <w:t>款的约定，发生权利完善事件后的【】个工作日内，本公司应以挂号信的方式发出权利完善通知。根据《信托合同》第</w:t>
      </w:r>
      <w:r>
        <w:rPr>
          <w:rFonts w:eastAsia="楷体_GB2312"/>
          <w:lang w:eastAsia="zh-CN"/>
        </w:rPr>
        <w:fldChar w:fldCharType="begin"/>
      </w:r>
      <w:r>
        <w:rPr>
          <w:rFonts w:eastAsia="楷体_GB2312"/>
          <w:lang w:eastAsia="zh-CN"/>
        </w:rPr>
        <w:instrText xml:space="preserve"> REF _Ref333411174 \r \h  \* MERGEFORMAT </w:instrText>
      </w:r>
      <w:r>
        <w:rPr>
          <w:rFonts w:eastAsia="楷体_GB2312"/>
          <w:lang w:eastAsia="zh-CN"/>
        </w:rPr>
        <w:fldChar w:fldCharType="separate"/>
      </w:r>
      <w:r>
        <w:rPr>
          <w:rFonts w:eastAsia="楷体_GB2312"/>
          <w:lang w:eastAsia="zh-CN"/>
        </w:rPr>
        <w:t>6.2</w:t>
      </w:r>
      <w:r>
        <w:rPr>
          <w:rFonts w:eastAsia="楷体_GB2312"/>
          <w:lang w:eastAsia="zh-CN"/>
        </w:rPr>
        <w:fldChar w:fldCharType="end"/>
      </w:r>
      <w:r>
        <w:rPr>
          <w:rFonts w:eastAsia="楷体_GB2312"/>
          <w:lang w:eastAsia="zh-CN"/>
        </w:rPr>
        <w:t>款的</w:t>
      </w:r>
      <w:r>
        <w:rPr>
          <w:rFonts w:eastAsia="楷体_GB2312"/>
          <w:bCs/>
          <w:lang w:eastAsia="zh-CN"/>
        </w:rPr>
        <w:t>约</w:t>
      </w:r>
      <w:r>
        <w:rPr>
          <w:rFonts w:eastAsia="楷体_GB2312"/>
          <w:lang w:eastAsia="zh-CN"/>
        </w:rPr>
        <w:t>定，本公司在此无条件、不可撤销地向贵公司授权如下：</w:t>
      </w:r>
    </w:p>
    <w:p w14:paraId="0FD68080">
      <w:pPr>
        <w:spacing w:line="360" w:lineRule="auto"/>
        <w:jc w:val="both"/>
        <w:rPr>
          <w:rFonts w:eastAsia="楷体_GB2312"/>
          <w:lang w:eastAsia="zh-CN"/>
        </w:rPr>
      </w:pPr>
    </w:p>
    <w:p w14:paraId="330C78C1">
      <w:pPr>
        <w:spacing w:line="360" w:lineRule="auto"/>
        <w:ind w:firstLine="420"/>
        <w:jc w:val="both"/>
        <w:rPr>
          <w:rFonts w:eastAsia="楷体_GB2312"/>
          <w:lang w:eastAsia="zh-CN"/>
        </w:rPr>
      </w:pPr>
      <w:r>
        <w:rPr>
          <w:rFonts w:eastAsia="楷体_GB2312"/>
          <w:lang w:eastAsia="zh-CN"/>
        </w:rPr>
        <w:t>如果本公司未按照《信托合同》第</w:t>
      </w:r>
      <w:r>
        <w:rPr>
          <w:rFonts w:eastAsia="楷体_GB2312"/>
          <w:lang w:eastAsia="zh-CN"/>
        </w:rPr>
        <w:fldChar w:fldCharType="begin"/>
      </w:r>
      <w:r>
        <w:rPr>
          <w:rFonts w:eastAsia="楷体_GB2312"/>
          <w:lang w:eastAsia="zh-CN"/>
        </w:rPr>
        <w:instrText xml:space="preserve"> REF _Ref332385414 \r \h  \* MERGEFORMAT </w:instrText>
      </w:r>
      <w:r>
        <w:rPr>
          <w:rFonts w:eastAsia="楷体_GB2312"/>
          <w:lang w:eastAsia="zh-CN"/>
        </w:rPr>
        <w:fldChar w:fldCharType="separate"/>
      </w:r>
      <w:r>
        <w:rPr>
          <w:rFonts w:eastAsia="楷体_GB2312"/>
          <w:lang w:eastAsia="zh-CN"/>
        </w:rPr>
        <w:t>6.1</w:t>
      </w:r>
      <w:r>
        <w:rPr>
          <w:rFonts w:eastAsia="楷体_GB2312"/>
          <w:lang w:eastAsia="zh-CN"/>
        </w:rPr>
        <w:fldChar w:fldCharType="end"/>
      </w:r>
      <w:r>
        <w:rPr>
          <w:rFonts w:eastAsia="楷体_GB2312"/>
          <w:lang w:eastAsia="zh-CN"/>
        </w:rPr>
        <w:t>款的约定履行发送权利完善通知的义务，本公司无条件、不可撤销地授权贵公司以本公司的名义代为履行《信托合同》第</w:t>
      </w:r>
      <w:r>
        <w:rPr>
          <w:rFonts w:eastAsia="楷体_GB2312"/>
          <w:lang w:eastAsia="zh-CN"/>
        </w:rPr>
        <w:fldChar w:fldCharType="begin"/>
      </w:r>
      <w:r>
        <w:rPr>
          <w:rFonts w:eastAsia="楷体_GB2312"/>
          <w:lang w:eastAsia="zh-CN"/>
        </w:rPr>
        <w:instrText xml:space="preserve"> REF _Ref332385414 \r \h  \* MERGEFORMAT </w:instrText>
      </w:r>
      <w:r>
        <w:rPr>
          <w:rFonts w:eastAsia="楷体_GB2312"/>
          <w:lang w:eastAsia="zh-CN"/>
        </w:rPr>
        <w:fldChar w:fldCharType="separate"/>
      </w:r>
      <w:r>
        <w:rPr>
          <w:rFonts w:eastAsia="楷体_GB2312"/>
          <w:lang w:eastAsia="zh-CN"/>
        </w:rPr>
        <w:t>6.1</w:t>
      </w:r>
      <w:r>
        <w:rPr>
          <w:rFonts w:eastAsia="楷体_GB2312"/>
          <w:lang w:eastAsia="zh-CN"/>
        </w:rPr>
        <w:fldChar w:fldCharType="end"/>
      </w:r>
      <w:r>
        <w:rPr>
          <w:rFonts w:eastAsia="楷体_GB2312"/>
          <w:lang w:eastAsia="zh-CN"/>
        </w:rPr>
        <w:t>款约定的通知义务，并同意认可和确认贵公司根据本授权书合法做出的合理行为。</w:t>
      </w:r>
    </w:p>
    <w:p w14:paraId="00815E2E">
      <w:pPr>
        <w:spacing w:line="360" w:lineRule="auto"/>
        <w:ind w:firstLine="420"/>
        <w:jc w:val="both"/>
        <w:rPr>
          <w:rFonts w:eastAsia="楷体_GB2312"/>
          <w:lang w:eastAsia="zh-CN"/>
        </w:rPr>
      </w:pPr>
    </w:p>
    <w:p w14:paraId="7E06CAEC">
      <w:pPr>
        <w:spacing w:line="360" w:lineRule="auto"/>
        <w:ind w:firstLine="420"/>
        <w:jc w:val="both"/>
        <w:rPr>
          <w:rFonts w:eastAsia="楷体_GB2312"/>
          <w:lang w:eastAsia="zh-CN"/>
        </w:rPr>
      </w:pPr>
      <w:r>
        <w:rPr>
          <w:rFonts w:eastAsia="楷体_GB2312"/>
          <w:lang w:eastAsia="zh-CN"/>
        </w:rPr>
        <w:t>除上下文特别说明以外，本授权书中所使用的词语，与《【信托名称】定义表》中所定义的相应词语，具有相同的含义。</w:t>
      </w:r>
    </w:p>
    <w:p w14:paraId="65A3B320">
      <w:pPr>
        <w:spacing w:line="360" w:lineRule="auto"/>
        <w:ind w:firstLine="420"/>
        <w:jc w:val="both"/>
        <w:rPr>
          <w:rFonts w:eastAsia="楷体_GB2312"/>
          <w:lang w:eastAsia="zh-CN"/>
        </w:rPr>
      </w:pPr>
    </w:p>
    <w:p w14:paraId="541BAD83">
      <w:pPr>
        <w:spacing w:line="360" w:lineRule="auto"/>
        <w:ind w:firstLine="420"/>
        <w:jc w:val="both"/>
        <w:rPr>
          <w:rFonts w:eastAsia="楷体_GB2312"/>
          <w:lang w:eastAsia="zh-CN"/>
        </w:rPr>
      </w:pPr>
      <w:r>
        <w:rPr>
          <w:rFonts w:eastAsia="楷体_GB2312"/>
          <w:lang w:eastAsia="zh-CN"/>
        </w:rPr>
        <w:t>本授权书的有效期为自签署之日起至信托清算完毕之日止。</w:t>
      </w:r>
    </w:p>
    <w:p w14:paraId="44DC6117">
      <w:pPr>
        <w:spacing w:line="360" w:lineRule="auto"/>
        <w:rPr>
          <w:rFonts w:eastAsia="楷体_GB2312"/>
          <w:lang w:eastAsia="zh-CN"/>
        </w:rPr>
      </w:pPr>
    </w:p>
    <w:p w14:paraId="55859BC7">
      <w:pPr>
        <w:spacing w:line="360" w:lineRule="auto"/>
        <w:jc w:val="right"/>
        <w:rPr>
          <w:rFonts w:eastAsia="楷体_GB2312"/>
          <w:b/>
          <w:lang w:eastAsia="zh-CN"/>
        </w:rPr>
      </w:pPr>
      <w:r>
        <w:rPr>
          <w:rFonts w:eastAsia="楷体_GB2312"/>
          <w:b/>
          <w:lang w:eastAsia="zh-CN"/>
        </w:rPr>
        <w:t>【发起机构全称】</w:t>
      </w:r>
      <w:r>
        <w:rPr>
          <w:rFonts w:eastAsia="楷体_GB2312"/>
          <w:lang w:eastAsia="zh-CN"/>
        </w:rPr>
        <w:t>（公章）</w:t>
      </w:r>
    </w:p>
    <w:p w14:paraId="01B5F4C4">
      <w:pPr>
        <w:spacing w:line="360" w:lineRule="auto"/>
        <w:jc w:val="right"/>
        <w:rPr>
          <w:rFonts w:eastAsia="楷体_GB2312"/>
          <w:b/>
          <w:lang w:eastAsia="zh-CN"/>
        </w:rPr>
      </w:pPr>
    </w:p>
    <w:p w14:paraId="3C7BC404">
      <w:pPr>
        <w:spacing w:line="360" w:lineRule="auto"/>
        <w:jc w:val="right"/>
        <w:rPr>
          <w:rFonts w:eastAsia="楷体_GB2312"/>
          <w:b/>
          <w:lang w:eastAsia="zh-CN"/>
        </w:rPr>
      </w:pPr>
      <w:r>
        <w:rPr>
          <w:rFonts w:eastAsia="楷体_GB2312"/>
          <w:b/>
          <w:lang w:eastAsia="zh-CN"/>
        </w:rPr>
        <w:t>法定代表人或授权代表</w:t>
      </w:r>
      <w:r>
        <w:rPr>
          <w:rFonts w:eastAsia="楷体_GB2312"/>
          <w:lang w:eastAsia="zh-CN"/>
        </w:rPr>
        <w:t>（签字或签章）</w:t>
      </w:r>
    </w:p>
    <w:p w14:paraId="731BABDD">
      <w:pPr>
        <w:spacing w:line="360" w:lineRule="auto"/>
        <w:jc w:val="right"/>
        <w:rPr>
          <w:rFonts w:eastAsia="楷体_GB2312"/>
          <w:b/>
          <w:lang w:eastAsia="zh-CN"/>
        </w:rPr>
      </w:pPr>
    </w:p>
    <w:p w14:paraId="079D2909">
      <w:pPr>
        <w:spacing w:line="360" w:lineRule="auto"/>
        <w:jc w:val="right"/>
        <w:rPr>
          <w:rFonts w:eastAsia="楷体_GB2312"/>
          <w:b/>
          <w:lang w:eastAsia="zh-CN"/>
        </w:rPr>
      </w:pPr>
      <w:r>
        <w:rPr>
          <w:rFonts w:eastAsia="楷体_GB2312"/>
          <w:b/>
          <w:lang w:eastAsia="zh-CN"/>
        </w:rPr>
        <w:t>年   月  日</w:t>
      </w:r>
    </w:p>
    <w:p w14:paraId="333BF98A">
      <w:pPr>
        <w:spacing w:line="360" w:lineRule="auto"/>
        <w:jc w:val="right"/>
        <w:rPr>
          <w:rFonts w:eastAsia="楷体_GB2312"/>
          <w:b/>
          <w:lang w:eastAsia="zh-CN"/>
        </w:rPr>
      </w:pPr>
      <w:r>
        <w:rPr>
          <w:rFonts w:eastAsia="楷体_GB2312"/>
          <w:b/>
          <w:lang w:eastAsia="zh-CN"/>
        </w:rPr>
        <w:br w:type="page"/>
      </w:r>
    </w:p>
    <w:p w14:paraId="1EE0F09C">
      <w:pPr>
        <w:spacing w:line="360" w:lineRule="auto"/>
        <w:outlineLvl w:val="0"/>
        <w:rPr>
          <w:rFonts w:eastAsia="楷体_GB2312"/>
          <w:b/>
          <w:lang w:eastAsia="zh-CN"/>
        </w:rPr>
      </w:pPr>
      <w:bookmarkStart w:id="844" w:name="_Toc75510498"/>
      <w:bookmarkStart w:id="845" w:name="_Toc454484885"/>
      <w:bookmarkStart w:id="846" w:name="_Toc69138616"/>
      <w:bookmarkStart w:id="847" w:name="_Toc227955313"/>
      <w:bookmarkStart w:id="848" w:name="_Toc331764794"/>
      <w:bookmarkStart w:id="849" w:name="_Toc166105899"/>
      <w:r>
        <w:rPr>
          <w:rFonts w:eastAsia="楷体_GB2312"/>
          <w:b/>
          <w:lang w:eastAsia="zh-CN"/>
        </w:rPr>
        <w:t>附件八：信托会计处理的具体原则和方式</w:t>
      </w:r>
      <w:bookmarkEnd w:id="844"/>
      <w:bookmarkEnd w:id="845"/>
      <w:bookmarkEnd w:id="846"/>
      <w:bookmarkEnd w:id="847"/>
      <w:bookmarkEnd w:id="848"/>
      <w:bookmarkEnd w:id="849"/>
    </w:p>
    <w:p w14:paraId="367B6378">
      <w:pPr>
        <w:spacing w:line="360" w:lineRule="auto"/>
        <w:rPr>
          <w:rFonts w:eastAsia="楷体_GB2312"/>
          <w:b/>
          <w:lang w:eastAsia="zh-CN"/>
        </w:rPr>
      </w:pPr>
    </w:p>
    <w:p w14:paraId="36A3C16B">
      <w:pPr>
        <w:pStyle w:val="8"/>
        <w:spacing w:after="0" w:line="360" w:lineRule="auto"/>
        <w:ind w:firstLine="504"/>
        <w:jc w:val="center"/>
        <w:rPr>
          <w:rFonts w:eastAsia="楷体_GB2312"/>
          <w:b/>
          <w:sz w:val="28"/>
          <w:szCs w:val="28"/>
        </w:rPr>
      </w:pPr>
      <w:r>
        <w:rPr>
          <w:rFonts w:eastAsia="楷体_GB2312"/>
          <w:b/>
          <w:sz w:val="28"/>
          <w:szCs w:val="28"/>
        </w:rPr>
        <w:t>信托会计处理的原则和方式</w:t>
      </w:r>
    </w:p>
    <w:p w14:paraId="43400302">
      <w:pPr>
        <w:pStyle w:val="50"/>
        <w:numPr>
          <w:ilvl w:val="0"/>
          <w:numId w:val="47"/>
        </w:numPr>
        <w:spacing w:after="0" w:line="360" w:lineRule="auto"/>
        <w:rPr>
          <w:rFonts w:eastAsia="楷体_GB2312"/>
          <w:lang w:eastAsia="zh-CN"/>
        </w:rPr>
      </w:pPr>
      <w:r>
        <w:rPr>
          <w:rFonts w:eastAsia="楷体_GB2312"/>
          <w:lang w:eastAsia="zh-CN"/>
        </w:rPr>
        <w:t>信托涉及的各交易主体（包括受托人、贷款服务机构和资金保管机构等）应根据本身所负责的事务，采用适当的形式为信托单独记账、单独核算、单独编制财务会计报告。</w:t>
      </w:r>
    </w:p>
    <w:p w14:paraId="09C0351A">
      <w:pPr>
        <w:pStyle w:val="50"/>
        <w:spacing w:after="0" w:line="360" w:lineRule="auto"/>
        <w:rPr>
          <w:rFonts w:eastAsia="楷体_GB2312"/>
          <w:lang w:eastAsia="zh-CN"/>
        </w:rPr>
      </w:pPr>
    </w:p>
    <w:p w14:paraId="2DC1E3F6">
      <w:pPr>
        <w:pStyle w:val="50"/>
        <w:numPr>
          <w:ilvl w:val="0"/>
          <w:numId w:val="47"/>
        </w:numPr>
        <w:spacing w:after="0" w:line="360" w:lineRule="auto"/>
        <w:rPr>
          <w:rFonts w:eastAsia="楷体_GB2312"/>
          <w:lang w:eastAsia="zh-CN"/>
        </w:rPr>
      </w:pPr>
      <w:r>
        <w:rPr>
          <w:rFonts w:eastAsia="楷体_GB2312"/>
          <w:lang w:eastAsia="zh-CN"/>
        </w:rPr>
        <w:t>信托涉及的各交易主体应根据《企业会计准则》以及财政部发布的相关《企业会计准则解释》的有关规定进行会计处理，分工完成整个信托过程的会计处理。</w:t>
      </w:r>
    </w:p>
    <w:p w14:paraId="02533315">
      <w:pPr>
        <w:pStyle w:val="50"/>
        <w:spacing w:after="0" w:line="360" w:lineRule="auto"/>
        <w:rPr>
          <w:rFonts w:eastAsia="楷体_GB2312"/>
          <w:lang w:eastAsia="zh-CN"/>
        </w:rPr>
      </w:pPr>
    </w:p>
    <w:p w14:paraId="4CDB5085">
      <w:pPr>
        <w:pStyle w:val="50"/>
        <w:numPr>
          <w:ilvl w:val="0"/>
          <w:numId w:val="48"/>
        </w:numPr>
        <w:tabs>
          <w:tab w:val="left" w:pos="851"/>
          <w:tab w:val="clear" w:pos="720"/>
        </w:tabs>
        <w:spacing w:after="0" w:line="360" w:lineRule="auto"/>
        <w:rPr>
          <w:rFonts w:eastAsia="楷体_GB2312"/>
          <w:lang w:eastAsia="zh-CN"/>
        </w:rPr>
      </w:pPr>
      <w:r>
        <w:rPr>
          <w:rFonts w:eastAsia="楷体_GB2312"/>
          <w:lang w:eastAsia="zh-CN"/>
        </w:rPr>
        <w:t>受托人根据《企业会计准则》以及财政部发布的相关《企业会计准则解释》为信托建立一套完整的核算体系，对“资产池”的管理进行总账核算。</w:t>
      </w:r>
    </w:p>
    <w:p w14:paraId="14ACD863">
      <w:pPr>
        <w:pStyle w:val="51"/>
        <w:spacing w:after="0" w:line="360" w:lineRule="auto"/>
        <w:ind w:left="1440"/>
        <w:rPr>
          <w:rFonts w:eastAsia="楷体_GB2312"/>
          <w:lang w:eastAsia="zh-CN"/>
        </w:rPr>
      </w:pPr>
    </w:p>
    <w:p w14:paraId="45F5FED1">
      <w:pPr>
        <w:pStyle w:val="50"/>
        <w:spacing w:after="0" w:line="360" w:lineRule="auto"/>
        <w:ind w:left="840"/>
        <w:rPr>
          <w:rFonts w:eastAsia="楷体_GB2312"/>
          <w:lang w:eastAsia="zh-CN"/>
        </w:rPr>
      </w:pPr>
      <w:r>
        <w:rPr>
          <w:rFonts w:eastAsia="楷体_GB2312"/>
          <w:lang w:eastAsia="zh-CN"/>
        </w:rPr>
        <w:t>受托人对“资产池”进行会计核算的直接依据是月度服务机构报告、贷款服务机构会计信息等统计报告，不同于一般意义上依据原始凭证进行的会计核算。受托人对上述信托财产不进行逐笔的、明细的会计核算。</w:t>
      </w:r>
    </w:p>
    <w:p w14:paraId="093D8241">
      <w:pPr>
        <w:pStyle w:val="51"/>
        <w:spacing w:after="0" w:line="360" w:lineRule="auto"/>
        <w:rPr>
          <w:rFonts w:eastAsia="楷体_GB2312"/>
          <w:lang w:eastAsia="zh-CN"/>
        </w:rPr>
      </w:pPr>
    </w:p>
    <w:p w14:paraId="17BAA16D">
      <w:pPr>
        <w:pStyle w:val="50"/>
        <w:numPr>
          <w:ilvl w:val="0"/>
          <w:numId w:val="48"/>
        </w:numPr>
        <w:tabs>
          <w:tab w:val="left" w:pos="851"/>
          <w:tab w:val="clear" w:pos="720"/>
        </w:tabs>
        <w:spacing w:after="0" w:line="360" w:lineRule="auto"/>
        <w:rPr>
          <w:rFonts w:eastAsia="楷体_GB2312"/>
          <w:lang w:eastAsia="zh-CN"/>
        </w:rPr>
      </w:pPr>
      <w:r>
        <w:rPr>
          <w:rFonts w:eastAsia="楷体_GB2312"/>
          <w:lang w:eastAsia="zh-CN"/>
        </w:rPr>
        <w:t>贷款服务机构负责“资产池”的逐笔明细核算。贷款服务机构应按一般标准管理、核算信托的“资产池”，包括有关管理方法、违约贷款处置程序及方法和账务处理方法。</w:t>
      </w:r>
    </w:p>
    <w:p w14:paraId="6DCF93B5">
      <w:pPr>
        <w:pStyle w:val="51"/>
        <w:spacing w:after="0" w:line="360" w:lineRule="auto"/>
        <w:ind w:left="1440"/>
        <w:rPr>
          <w:rFonts w:eastAsia="楷体_GB2312"/>
          <w:lang w:eastAsia="zh-CN"/>
        </w:rPr>
      </w:pPr>
    </w:p>
    <w:p w14:paraId="4F628109">
      <w:pPr>
        <w:pStyle w:val="50"/>
        <w:spacing w:after="0" w:line="360" w:lineRule="auto"/>
        <w:ind w:left="840"/>
        <w:rPr>
          <w:rFonts w:eastAsia="楷体_GB2312"/>
          <w:lang w:eastAsia="zh-CN"/>
        </w:rPr>
      </w:pPr>
      <w:r>
        <w:rPr>
          <w:rFonts w:eastAsia="楷体_GB2312"/>
          <w:lang w:eastAsia="zh-CN"/>
        </w:rPr>
        <w:t>受托人将月度服务机构报告和贷款服务机构会计信息作为会计处理依据。贷款服务机构应保证在同一报告期内，月度服务机构报告和贷款服务机构会计信息的有关内容和其会计账面数字一致。</w:t>
      </w:r>
    </w:p>
    <w:p w14:paraId="10FD20E5">
      <w:pPr>
        <w:pStyle w:val="51"/>
        <w:spacing w:after="0" w:line="360" w:lineRule="auto"/>
        <w:rPr>
          <w:rFonts w:eastAsia="楷体_GB2312"/>
          <w:lang w:eastAsia="zh-CN"/>
        </w:rPr>
      </w:pPr>
    </w:p>
    <w:p w14:paraId="59E3B6E0">
      <w:pPr>
        <w:pStyle w:val="50"/>
        <w:numPr>
          <w:ilvl w:val="0"/>
          <w:numId w:val="48"/>
        </w:numPr>
        <w:tabs>
          <w:tab w:val="left" w:pos="851"/>
          <w:tab w:val="clear" w:pos="720"/>
        </w:tabs>
        <w:spacing w:after="0" w:line="360" w:lineRule="auto"/>
        <w:rPr>
          <w:rFonts w:eastAsia="楷体_GB2312"/>
          <w:lang w:eastAsia="zh-CN"/>
        </w:rPr>
      </w:pPr>
      <w:r>
        <w:rPr>
          <w:rFonts w:eastAsia="楷体_GB2312"/>
          <w:lang w:eastAsia="zh-CN"/>
        </w:rPr>
        <w:t>受托人依据月度服务机构报告负责计算信托发生的费用、应付各服务机构报酬和应付资产支持证券持有人的本息，并向资金保管机构发出付款指令。</w:t>
      </w:r>
    </w:p>
    <w:p w14:paraId="0FEB865F">
      <w:pPr>
        <w:pStyle w:val="50"/>
        <w:spacing w:after="0" w:line="360" w:lineRule="auto"/>
        <w:ind w:left="840"/>
        <w:rPr>
          <w:rFonts w:eastAsia="楷体_GB2312"/>
          <w:lang w:eastAsia="zh-CN"/>
        </w:rPr>
      </w:pPr>
    </w:p>
    <w:p w14:paraId="598E9991">
      <w:pPr>
        <w:pStyle w:val="50"/>
        <w:spacing w:after="0" w:line="360" w:lineRule="auto"/>
        <w:ind w:left="840"/>
        <w:rPr>
          <w:rFonts w:eastAsia="楷体_GB2312"/>
          <w:lang w:eastAsia="zh-CN"/>
        </w:rPr>
      </w:pPr>
      <w:r>
        <w:rPr>
          <w:rFonts w:eastAsia="楷体_GB2312"/>
          <w:lang w:eastAsia="zh-CN"/>
        </w:rPr>
        <w:t>受托人依据月度服务机构报告计提当季度应付的各项费用以及资产支持证券持有人收益。受托人根据相关的月度服务机构报告、资金保管报告核算前一个季度计提的各项费用及资产支持证券持有人收益的支付情况。</w:t>
      </w:r>
    </w:p>
    <w:p w14:paraId="4EA62C36">
      <w:pPr>
        <w:spacing w:line="360" w:lineRule="auto"/>
        <w:rPr>
          <w:rFonts w:eastAsia="楷体_GB2312"/>
          <w:lang w:val="en-GB" w:eastAsia="zh-CN"/>
        </w:rPr>
      </w:pPr>
    </w:p>
    <w:p w14:paraId="57FAF9F8">
      <w:pPr>
        <w:pStyle w:val="50"/>
        <w:numPr>
          <w:ilvl w:val="0"/>
          <w:numId w:val="47"/>
        </w:numPr>
        <w:spacing w:after="0" w:line="360" w:lineRule="auto"/>
        <w:rPr>
          <w:rFonts w:eastAsia="楷体_GB2312"/>
          <w:lang w:eastAsia="zh-CN"/>
        </w:rPr>
      </w:pPr>
      <w:r>
        <w:rPr>
          <w:rFonts w:eastAsia="楷体_GB2312"/>
          <w:lang w:eastAsia="zh-CN"/>
        </w:rPr>
        <w:t>因管理信贷资产等产生的会计凭证保存在贷款服务机构处；各项信托费用的结算单据、发票等原始凭证保存在受托人处。上述机构应按财政部会计档案管理有关规定保存上述会计档案。</w:t>
      </w:r>
    </w:p>
    <w:p w14:paraId="52547D94">
      <w:pPr>
        <w:pStyle w:val="50"/>
        <w:spacing w:after="0" w:line="360" w:lineRule="auto"/>
        <w:ind w:left="420"/>
        <w:rPr>
          <w:rFonts w:eastAsia="楷体_GB2312"/>
          <w:lang w:eastAsia="zh-CN"/>
        </w:rPr>
      </w:pPr>
    </w:p>
    <w:p w14:paraId="0E62727B">
      <w:pPr>
        <w:pStyle w:val="50"/>
        <w:spacing w:after="0" w:line="360" w:lineRule="auto"/>
        <w:ind w:left="420"/>
        <w:rPr>
          <w:rFonts w:eastAsia="楷体_GB2312"/>
          <w:lang w:eastAsia="zh-CN"/>
        </w:rPr>
      </w:pPr>
      <w:r>
        <w:rPr>
          <w:rFonts w:eastAsia="楷体_GB2312"/>
          <w:lang w:eastAsia="zh-CN"/>
        </w:rPr>
        <w:t>信托终止时受托人出具信托清算报告。信托清算报告公告期届满，信托终止日时资产支持证券未兑付完毕的资产支持证券持有人（如信托终止日时资产支持证券均已兑付完毕，则指次级资产支持证券持有人）未提出书面异议的，信托涉及的各交易主体进行各自账目结转、封存。</w:t>
      </w:r>
    </w:p>
    <w:p w14:paraId="71CE98BF">
      <w:pPr>
        <w:spacing w:line="360" w:lineRule="auto"/>
        <w:outlineLvl w:val="0"/>
        <w:rPr>
          <w:rFonts w:eastAsia="楷体_GB2312"/>
          <w:b/>
          <w:szCs w:val="20"/>
          <w:lang w:val="en-GB" w:eastAsia="zh-CN"/>
        </w:rPr>
      </w:pPr>
      <w:r>
        <w:rPr>
          <w:rFonts w:eastAsia="楷体_GB2312"/>
          <w:szCs w:val="20"/>
          <w:lang w:val="en-GB" w:eastAsia="zh-CN"/>
        </w:rPr>
        <w:br w:type="page"/>
      </w:r>
      <w:bookmarkStart w:id="850" w:name="_Toc454484886"/>
      <w:bookmarkStart w:id="851" w:name="_Toc69138617"/>
      <w:bookmarkStart w:id="852" w:name="_Toc227955314"/>
      <w:bookmarkStart w:id="853" w:name="_Toc75510499"/>
      <w:bookmarkStart w:id="854" w:name="_Toc166105900"/>
      <w:bookmarkStart w:id="855" w:name="_Hlk74326996"/>
      <w:r>
        <w:rPr>
          <w:rFonts w:eastAsia="楷体_GB2312"/>
          <w:b/>
          <w:szCs w:val="20"/>
          <w:lang w:val="en-GB" w:eastAsia="zh-CN"/>
        </w:rPr>
        <w:t>附件九：受托机构报告格式</w:t>
      </w:r>
      <w:bookmarkEnd w:id="850"/>
      <w:bookmarkEnd w:id="851"/>
      <w:bookmarkEnd w:id="852"/>
      <w:bookmarkEnd w:id="853"/>
      <w:bookmarkEnd w:id="854"/>
    </w:p>
    <w:p w14:paraId="1DC6BCD8">
      <w:pPr>
        <w:spacing w:line="360" w:lineRule="auto"/>
        <w:rPr>
          <w:rFonts w:eastAsia="楷体_GB2312"/>
          <w:b/>
          <w:i/>
          <w:iCs/>
          <w:color w:val="FF0000"/>
        </w:rPr>
      </w:pPr>
      <w:r>
        <w:rPr>
          <w:rFonts w:eastAsia="楷体_GB2312"/>
          <w:b/>
          <w:i/>
          <w:iCs/>
          <w:color w:val="FF0000"/>
        </w:rPr>
        <w:t>【注：报告格式与内容需要按届时所适用的最新信息披露指引进行调整并更新。】</w:t>
      </w:r>
    </w:p>
    <w:p w14:paraId="6C475BD8">
      <w:pPr>
        <w:spacing w:line="360" w:lineRule="auto"/>
        <w:rPr>
          <w:rFonts w:eastAsia="楷体_GB2312"/>
          <w:b/>
          <w:sz w:val="44"/>
          <w:lang w:eastAsia="zh-CN"/>
        </w:rPr>
      </w:pPr>
    </w:p>
    <w:p w14:paraId="089B6236">
      <w:pPr>
        <w:spacing w:line="360" w:lineRule="auto"/>
        <w:jc w:val="center"/>
        <w:rPr>
          <w:rFonts w:eastAsia="楷体_GB2312"/>
          <w:b/>
          <w:sz w:val="36"/>
          <w:szCs w:val="36"/>
          <w:lang w:eastAsia="zh-CN"/>
        </w:rPr>
      </w:pPr>
      <w:bookmarkStart w:id="856" w:name="_DV_M630"/>
      <w:bookmarkEnd w:id="856"/>
      <w:bookmarkStart w:id="857" w:name="_DV_M803"/>
      <w:bookmarkEnd w:id="857"/>
      <w:bookmarkStart w:id="858" w:name="_DV_M635"/>
      <w:bookmarkEnd w:id="858"/>
      <w:bookmarkStart w:id="859" w:name="_DV_M186"/>
      <w:bookmarkEnd w:id="859"/>
      <w:bookmarkStart w:id="860" w:name="_DV_M643"/>
      <w:bookmarkEnd w:id="860"/>
      <w:bookmarkStart w:id="861" w:name="_DV_M189"/>
      <w:bookmarkEnd w:id="861"/>
      <w:bookmarkStart w:id="862" w:name="_DV_M185"/>
      <w:bookmarkEnd w:id="862"/>
      <w:bookmarkStart w:id="863" w:name="_DV_M624"/>
      <w:bookmarkEnd w:id="863"/>
      <w:bookmarkStart w:id="864" w:name="_DV_M188"/>
      <w:bookmarkEnd w:id="864"/>
      <w:bookmarkStart w:id="865" w:name="_DV_M192"/>
      <w:bookmarkEnd w:id="865"/>
      <w:bookmarkStart w:id="866" w:name="_DV_M625"/>
      <w:bookmarkEnd w:id="866"/>
      <w:bookmarkStart w:id="867" w:name="_DV_M184"/>
      <w:bookmarkEnd w:id="867"/>
      <w:bookmarkStart w:id="868" w:name="_DV_M633"/>
      <w:bookmarkEnd w:id="868"/>
      <w:bookmarkStart w:id="869" w:name="_DV_M647"/>
      <w:bookmarkEnd w:id="869"/>
      <w:bookmarkStart w:id="870" w:name="_DV_M648"/>
      <w:bookmarkEnd w:id="870"/>
      <w:bookmarkStart w:id="871" w:name="_Toc13816330"/>
      <w:bookmarkEnd w:id="871"/>
      <w:bookmarkStart w:id="872" w:name="_DV_M187"/>
      <w:bookmarkEnd w:id="872"/>
      <w:bookmarkStart w:id="873" w:name="_Toc15369301"/>
      <w:bookmarkEnd w:id="873"/>
      <w:bookmarkStart w:id="874" w:name="_DV_M626"/>
      <w:bookmarkEnd w:id="874"/>
      <w:bookmarkStart w:id="875" w:name="_DV_M802"/>
      <w:bookmarkEnd w:id="875"/>
      <w:bookmarkStart w:id="876" w:name="_DV_M801"/>
      <w:bookmarkEnd w:id="876"/>
      <w:bookmarkStart w:id="877" w:name="_DV_M644"/>
      <w:bookmarkEnd w:id="877"/>
      <w:bookmarkStart w:id="878" w:name="_DV_M623"/>
      <w:bookmarkEnd w:id="878"/>
      <w:bookmarkStart w:id="879" w:name="_Toc11139647"/>
      <w:bookmarkEnd w:id="879"/>
      <w:bookmarkStart w:id="880" w:name="_DV_M646"/>
      <w:bookmarkEnd w:id="880"/>
      <w:bookmarkStart w:id="881" w:name="_DV_M628"/>
      <w:bookmarkEnd w:id="881"/>
      <w:bookmarkStart w:id="882" w:name="_DV_M634"/>
      <w:bookmarkEnd w:id="882"/>
      <w:bookmarkStart w:id="883" w:name="_DV_M190"/>
      <w:bookmarkEnd w:id="883"/>
      <w:bookmarkStart w:id="884" w:name="_DV_M645"/>
      <w:bookmarkEnd w:id="884"/>
      <w:bookmarkStart w:id="885" w:name="_Toc473511390"/>
      <w:bookmarkEnd w:id="885"/>
      <w:bookmarkStart w:id="886" w:name="_DV_M641"/>
      <w:bookmarkEnd w:id="886"/>
      <w:bookmarkStart w:id="887" w:name="_DV_M200"/>
      <w:bookmarkEnd w:id="887"/>
      <w:r>
        <w:rPr>
          <w:rFonts w:eastAsia="楷体_GB2312"/>
          <w:b/>
          <w:sz w:val="36"/>
          <w:szCs w:val="36"/>
          <w:lang w:eastAsia="zh-CN"/>
        </w:rPr>
        <w:t>【信托名称】</w:t>
      </w:r>
    </w:p>
    <w:p w14:paraId="4C136518">
      <w:pPr>
        <w:spacing w:line="360" w:lineRule="auto"/>
        <w:jc w:val="center"/>
        <w:rPr>
          <w:rFonts w:eastAsia="楷体_GB2312"/>
          <w:b/>
          <w:sz w:val="36"/>
          <w:szCs w:val="36"/>
          <w:lang w:eastAsia="zh-CN"/>
        </w:rPr>
      </w:pPr>
      <w:r>
        <w:rPr>
          <w:rFonts w:eastAsia="楷体_GB2312"/>
          <w:b/>
          <w:sz w:val="36"/>
          <w:szCs w:val="36"/>
          <w:lang w:eastAsia="zh-CN"/>
        </w:rPr>
        <w:t>受托机构月度/年度报告</w:t>
      </w:r>
    </w:p>
    <w:p w14:paraId="1F1A1B65">
      <w:pPr>
        <w:spacing w:line="360" w:lineRule="auto"/>
        <w:jc w:val="center"/>
        <w:rPr>
          <w:rFonts w:eastAsia="楷体_GB2312"/>
          <w:b/>
          <w:sz w:val="30"/>
          <w:szCs w:val="30"/>
          <w:lang w:eastAsia="zh-CN"/>
        </w:rPr>
      </w:pPr>
      <w:r>
        <w:rPr>
          <w:rFonts w:eastAsia="楷体_GB2312"/>
          <w:b/>
          <w:sz w:val="30"/>
          <w:szCs w:val="30"/>
          <w:lang w:eastAsia="zh-CN"/>
        </w:rPr>
        <w:t>（第【】期/20XX年度）</w:t>
      </w:r>
    </w:p>
    <w:p w14:paraId="4799A4B8">
      <w:pPr>
        <w:spacing w:line="360" w:lineRule="auto"/>
        <w:jc w:val="center"/>
        <w:rPr>
          <w:rFonts w:eastAsia="楷体_GB2312"/>
          <w:b/>
          <w:sz w:val="30"/>
          <w:szCs w:val="30"/>
        </w:rPr>
      </w:pPr>
      <w:r>
        <w:rPr>
          <w:rFonts w:eastAsia="楷体_GB2312"/>
          <w:b/>
          <w:sz w:val="30"/>
          <w:szCs w:val="30"/>
        </w:rPr>
        <w:t>（20【】年【】月）</w:t>
      </w:r>
    </w:p>
    <w:p w14:paraId="6C50F511">
      <w:pPr>
        <w:spacing w:line="360" w:lineRule="auto"/>
        <w:rPr>
          <w:rFonts w:eastAsia="楷体_GB2312"/>
          <w:b/>
        </w:rPr>
      </w:pPr>
    </w:p>
    <w:tbl>
      <w:tblPr>
        <w:tblStyle w:val="31"/>
        <w:tblW w:w="6360" w:type="dxa"/>
        <w:jc w:val="center"/>
        <w:tblLayout w:type="fixed"/>
        <w:tblCellMar>
          <w:top w:w="0" w:type="dxa"/>
          <w:left w:w="0" w:type="dxa"/>
          <w:bottom w:w="0" w:type="dxa"/>
          <w:right w:w="0" w:type="dxa"/>
        </w:tblCellMar>
      </w:tblPr>
      <w:tblGrid>
        <w:gridCol w:w="6360"/>
      </w:tblGrid>
      <w:tr w14:paraId="57DE2C4C">
        <w:tblPrEx>
          <w:tblCellMar>
            <w:top w:w="0" w:type="dxa"/>
            <w:left w:w="0" w:type="dxa"/>
            <w:bottom w:w="0" w:type="dxa"/>
            <w:right w:w="0" w:type="dxa"/>
          </w:tblCellMar>
        </w:tblPrEx>
        <w:trPr>
          <w:trHeight w:val="1508" w:hRule="atLeast"/>
          <w:jc w:val="center"/>
        </w:trPr>
        <w:tc>
          <w:tcPr>
            <w:tcW w:w="6360" w:type="dxa"/>
            <w:tcBorders>
              <w:top w:val="single" w:color="auto" w:sz="8" w:space="0"/>
              <w:left w:val="single" w:color="auto" w:sz="8" w:space="0"/>
              <w:bottom w:val="single" w:color="auto" w:sz="8" w:space="0"/>
              <w:right w:val="single" w:color="auto" w:sz="8" w:space="0"/>
            </w:tcBorders>
          </w:tcPr>
          <w:p w14:paraId="78D67F4A">
            <w:pPr>
              <w:spacing w:line="360" w:lineRule="auto"/>
              <w:rPr>
                <w:rFonts w:eastAsia="楷体_GB2312"/>
                <w:b/>
                <w:lang w:eastAsia="zh-CN"/>
              </w:rPr>
            </w:pPr>
            <w:r>
              <w:rPr>
                <w:rFonts w:eastAsia="楷体_GB2312"/>
                <w:b/>
                <w:lang w:eastAsia="zh-CN"/>
              </w:rPr>
              <w:t>受托人管理信托财产应恪尽职守，履行诚实、信用、谨慎、有效管理义务。依据信托合同规定管理信托财产所产生的风险，由信托财产承担，即由委托人交付的财产以及由受托人对该财产运用后形成的财产承担；受托人违背信托合同、处理信托事务不当使信托财产受到损失，由受托人赔偿。</w:t>
            </w:r>
          </w:p>
        </w:tc>
      </w:tr>
    </w:tbl>
    <w:p w14:paraId="0156478A">
      <w:pPr>
        <w:spacing w:line="360" w:lineRule="auto"/>
        <w:jc w:val="center"/>
        <w:rPr>
          <w:rFonts w:eastAsia="楷体_GB2312"/>
          <w:b/>
          <w:lang w:eastAsia="zh-CN"/>
        </w:rPr>
      </w:pPr>
    </w:p>
    <w:tbl>
      <w:tblPr>
        <w:tblStyle w:val="31"/>
        <w:tblW w:w="7735" w:type="dxa"/>
        <w:jc w:val="center"/>
        <w:tblLayout w:type="fixed"/>
        <w:tblCellMar>
          <w:top w:w="0" w:type="dxa"/>
          <w:left w:w="0" w:type="dxa"/>
          <w:bottom w:w="0" w:type="dxa"/>
          <w:right w:w="0" w:type="dxa"/>
        </w:tblCellMar>
      </w:tblPr>
      <w:tblGrid>
        <w:gridCol w:w="2065"/>
        <w:gridCol w:w="5670"/>
      </w:tblGrid>
      <w:tr w14:paraId="6392246E">
        <w:tblPrEx>
          <w:tblCellMar>
            <w:top w:w="0" w:type="dxa"/>
            <w:left w:w="0" w:type="dxa"/>
            <w:bottom w:w="0" w:type="dxa"/>
            <w:right w:w="0" w:type="dxa"/>
          </w:tblCellMar>
        </w:tblPrEx>
        <w:trPr>
          <w:trHeight w:val="285" w:hRule="atLeast"/>
          <w:jc w:val="center"/>
        </w:trPr>
        <w:tc>
          <w:tcPr>
            <w:tcW w:w="2065" w:type="dxa"/>
            <w:tcBorders>
              <w:top w:val="nil"/>
              <w:left w:val="nil"/>
              <w:bottom w:val="nil"/>
              <w:right w:val="nil"/>
            </w:tcBorders>
            <w:vAlign w:val="bottom"/>
          </w:tcPr>
          <w:p w14:paraId="66032A22">
            <w:pPr>
              <w:jc w:val="right"/>
              <w:rPr>
                <w:rFonts w:eastAsia="楷体_GB2312"/>
                <w:b/>
              </w:rPr>
            </w:pPr>
            <w:r>
              <w:rPr>
                <w:rFonts w:eastAsia="楷体_GB2312"/>
                <w:b/>
              </w:rPr>
              <w:t>信托合同号：</w:t>
            </w:r>
          </w:p>
        </w:tc>
        <w:tc>
          <w:tcPr>
            <w:tcW w:w="5670" w:type="dxa"/>
            <w:tcBorders>
              <w:top w:val="nil"/>
              <w:left w:val="nil"/>
              <w:bottom w:val="nil"/>
              <w:right w:val="nil"/>
            </w:tcBorders>
            <w:vAlign w:val="bottom"/>
          </w:tcPr>
          <w:p w14:paraId="2274529D">
            <w:pPr>
              <w:jc w:val="right"/>
              <w:rPr>
                <w:rFonts w:eastAsia="楷体_GB2312"/>
                <w:b/>
              </w:rPr>
            </w:pPr>
          </w:p>
        </w:tc>
      </w:tr>
      <w:tr w14:paraId="3484209D">
        <w:tblPrEx>
          <w:tblCellMar>
            <w:top w:w="0" w:type="dxa"/>
            <w:left w:w="0" w:type="dxa"/>
            <w:bottom w:w="0" w:type="dxa"/>
            <w:right w:w="0" w:type="dxa"/>
          </w:tblCellMar>
        </w:tblPrEx>
        <w:trPr>
          <w:trHeight w:val="285" w:hRule="atLeast"/>
          <w:jc w:val="center"/>
        </w:trPr>
        <w:tc>
          <w:tcPr>
            <w:tcW w:w="2065" w:type="dxa"/>
            <w:tcBorders>
              <w:top w:val="nil"/>
              <w:left w:val="nil"/>
              <w:bottom w:val="nil"/>
              <w:right w:val="nil"/>
            </w:tcBorders>
            <w:vAlign w:val="bottom"/>
          </w:tcPr>
          <w:p w14:paraId="788C702A">
            <w:pPr>
              <w:jc w:val="right"/>
              <w:rPr>
                <w:rFonts w:eastAsia="楷体_GB2312"/>
                <w:b/>
              </w:rPr>
            </w:pPr>
            <w:r>
              <w:rPr>
                <w:rFonts w:eastAsia="楷体_GB2312"/>
                <w:b/>
              </w:rPr>
              <w:t>受托人：</w:t>
            </w:r>
          </w:p>
        </w:tc>
        <w:tc>
          <w:tcPr>
            <w:tcW w:w="5670" w:type="dxa"/>
            <w:tcBorders>
              <w:top w:val="nil"/>
              <w:left w:val="nil"/>
              <w:bottom w:val="nil"/>
              <w:right w:val="nil"/>
            </w:tcBorders>
            <w:vAlign w:val="bottom"/>
          </w:tcPr>
          <w:p w14:paraId="3EB80427">
            <w:pPr>
              <w:rPr>
                <w:rFonts w:eastAsia="楷体_GB2312"/>
                <w:b/>
                <w:lang w:eastAsia="zh-CN"/>
              </w:rPr>
            </w:pPr>
            <w:r>
              <w:rPr>
                <w:rFonts w:eastAsia="楷体_GB2312"/>
                <w:b/>
                <w:lang w:eastAsia="zh-CN"/>
              </w:rPr>
              <w:t>【受托机构全称】</w:t>
            </w:r>
          </w:p>
        </w:tc>
      </w:tr>
      <w:tr w14:paraId="18A2FB0B">
        <w:tblPrEx>
          <w:tblCellMar>
            <w:top w:w="0" w:type="dxa"/>
            <w:left w:w="0" w:type="dxa"/>
            <w:bottom w:w="0" w:type="dxa"/>
            <w:right w:w="0" w:type="dxa"/>
          </w:tblCellMar>
        </w:tblPrEx>
        <w:trPr>
          <w:trHeight w:val="285" w:hRule="atLeast"/>
          <w:jc w:val="center"/>
        </w:trPr>
        <w:tc>
          <w:tcPr>
            <w:tcW w:w="2065" w:type="dxa"/>
            <w:tcBorders>
              <w:top w:val="nil"/>
              <w:left w:val="nil"/>
              <w:bottom w:val="nil"/>
              <w:right w:val="nil"/>
            </w:tcBorders>
            <w:vAlign w:val="bottom"/>
          </w:tcPr>
          <w:p w14:paraId="4BE3F5B6">
            <w:pPr>
              <w:jc w:val="right"/>
              <w:rPr>
                <w:rFonts w:eastAsia="楷体_GB2312"/>
                <w:b/>
              </w:rPr>
            </w:pPr>
            <w:r>
              <w:rPr>
                <w:rFonts w:eastAsia="楷体_GB2312"/>
                <w:b/>
              </w:rPr>
              <w:t>报告日期：</w:t>
            </w:r>
          </w:p>
        </w:tc>
        <w:tc>
          <w:tcPr>
            <w:tcW w:w="5670" w:type="dxa"/>
            <w:tcBorders>
              <w:top w:val="nil"/>
              <w:left w:val="nil"/>
              <w:bottom w:val="nil"/>
              <w:right w:val="nil"/>
            </w:tcBorders>
            <w:vAlign w:val="bottom"/>
          </w:tcPr>
          <w:p w14:paraId="03561652">
            <w:pPr>
              <w:rPr>
                <w:rFonts w:eastAsia="楷体_GB2312"/>
                <w:b/>
              </w:rPr>
            </w:pPr>
            <w:r>
              <w:rPr>
                <w:rFonts w:eastAsia="楷体_GB2312"/>
                <w:b/>
              </w:rPr>
              <w:t>20</w:t>
            </w:r>
            <w:r>
              <w:rPr>
                <w:rFonts w:eastAsia="楷体_GB2312"/>
                <w:b/>
                <w:lang w:eastAsia="zh-CN"/>
              </w:rPr>
              <w:t>X</w:t>
            </w:r>
            <w:r>
              <w:rPr>
                <w:rFonts w:eastAsia="楷体_GB2312"/>
                <w:b/>
              </w:rPr>
              <w:t>X年XX月XX日</w:t>
            </w:r>
          </w:p>
        </w:tc>
      </w:tr>
      <w:tr w14:paraId="64D05351">
        <w:tblPrEx>
          <w:tblCellMar>
            <w:top w:w="0" w:type="dxa"/>
            <w:left w:w="0" w:type="dxa"/>
            <w:bottom w:w="0" w:type="dxa"/>
            <w:right w:w="0" w:type="dxa"/>
          </w:tblCellMar>
        </w:tblPrEx>
        <w:trPr>
          <w:trHeight w:val="285" w:hRule="atLeast"/>
          <w:jc w:val="center"/>
        </w:trPr>
        <w:tc>
          <w:tcPr>
            <w:tcW w:w="2065" w:type="dxa"/>
            <w:tcBorders>
              <w:top w:val="nil"/>
              <w:left w:val="nil"/>
              <w:bottom w:val="nil"/>
              <w:right w:val="nil"/>
            </w:tcBorders>
            <w:vAlign w:val="bottom"/>
          </w:tcPr>
          <w:p w14:paraId="3F8591C3">
            <w:pPr>
              <w:jc w:val="right"/>
              <w:rPr>
                <w:rFonts w:eastAsia="楷体_GB2312"/>
                <w:b/>
              </w:rPr>
            </w:pPr>
            <w:r>
              <w:rPr>
                <w:rFonts w:eastAsia="楷体_GB2312"/>
                <w:b/>
              </w:rPr>
              <w:t>受托人地址：</w:t>
            </w:r>
          </w:p>
        </w:tc>
        <w:tc>
          <w:tcPr>
            <w:tcW w:w="5670" w:type="dxa"/>
            <w:tcBorders>
              <w:top w:val="nil"/>
              <w:left w:val="nil"/>
              <w:bottom w:val="nil"/>
              <w:right w:val="nil"/>
            </w:tcBorders>
            <w:vAlign w:val="bottom"/>
          </w:tcPr>
          <w:p w14:paraId="0235CB99">
            <w:pPr>
              <w:rPr>
                <w:rFonts w:eastAsia="楷体_GB2312"/>
                <w:b/>
              </w:rPr>
            </w:pPr>
            <w:r>
              <w:rPr>
                <w:rFonts w:eastAsia="楷体_GB2312"/>
                <w:b/>
              </w:rPr>
              <w:t>【】</w:t>
            </w:r>
          </w:p>
        </w:tc>
      </w:tr>
      <w:tr w14:paraId="4C6D09B8">
        <w:tblPrEx>
          <w:tblCellMar>
            <w:top w:w="0" w:type="dxa"/>
            <w:left w:w="0" w:type="dxa"/>
            <w:bottom w:w="0" w:type="dxa"/>
            <w:right w:w="0" w:type="dxa"/>
          </w:tblCellMar>
        </w:tblPrEx>
        <w:trPr>
          <w:trHeight w:val="285" w:hRule="atLeast"/>
          <w:jc w:val="center"/>
        </w:trPr>
        <w:tc>
          <w:tcPr>
            <w:tcW w:w="2065" w:type="dxa"/>
            <w:tcBorders>
              <w:top w:val="nil"/>
              <w:left w:val="nil"/>
              <w:bottom w:val="nil"/>
              <w:right w:val="nil"/>
            </w:tcBorders>
            <w:vAlign w:val="bottom"/>
          </w:tcPr>
          <w:p w14:paraId="2719471C">
            <w:pPr>
              <w:jc w:val="right"/>
              <w:rPr>
                <w:rFonts w:eastAsia="楷体_GB2312"/>
                <w:b/>
              </w:rPr>
            </w:pPr>
            <w:r>
              <w:rPr>
                <w:rFonts w:eastAsia="楷体_GB2312"/>
                <w:b/>
              </w:rPr>
              <w:t>电话：</w:t>
            </w:r>
          </w:p>
        </w:tc>
        <w:tc>
          <w:tcPr>
            <w:tcW w:w="5670" w:type="dxa"/>
            <w:tcBorders>
              <w:top w:val="nil"/>
              <w:left w:val="nil"/>
              <w:bottom w:val="nil"/>
              <w:right w:val="nil"/>
            </w:tcBorders>
            <w:vAlign w:val="bottom"/>
          </w:tcPr>
          <w:p w14:paraId="0FC9D13F">
            <w:pPr>
              <w:rPr>
                <w:rFonts w:eastAsia="楷体_GB2312"/>
                <w:b/>
              </w:rPr>
            </w:pPr>
            <w:r>
              <w:rPr>
                <w:rFonts w:eastAsia="楷体_GB2312"/>
                <w:b/>
              </w:rPr>
              <w:t>【】</w:t>
            </w:r>
          </w:p>
        </w:tc>
      </w:tr>
      <w:tr w14:paraId="651E45BC">
        <w:tblPrEx>
          <w:tblCellMar>
            <w:top w:w="0" w:type="dxa"/>
            <w:left w:w="0" w:type="dxa"/>
            <w:bottom w:w="0" w:type="dxa"/>
            <w:right w:w="0" w:type="dxa"/>
          </w:tblCellMar>
        </w:tblPrEx>
        <w:trPr>
          <w:trHeight w:val="285" w:hRule="atLeast"/>
          <w:jc w:val="center"/>
        </w:trPr>
        <w:tc>
          <w:tcPr>
            <w:tcW w:w="2065" w:type="dxa"/>
            <w:tcBorders>
              <w:top w:val="nil"/>
              <w:left w:val="nil"/>
              <w:bottom w:val="nil"/>
              <w:right w:val="nil"/>
            </w:tcBorders>
            <w:vAlign w:val="bottom"/>
          </w:tcPr>
          <w:p w14:paraId="0E1ABBA7">
            <w:pPr>
              <w:jc w:val="right"/>
              <w:rPr>
                <w:rFonts w:eastAsia="楷体_GB2312"/>
                <w:b/>
              </w:rPr>
            </w:pPr>
            <w:r>
              <w:rPr>
                <w:rFonts w:eastAsia="楷体_GB2312"/>
                <w:b/>
              </w:rPr>
              <w:t>传真：</w:t>
            </w:r>
          </w:p>
        </w:tc>
        <w:tc>
          <w:tcPr>
            <w:tcW w:w="5670" w:type="dxa"/>
            <w:tcBorders>
              <w:top w:val="nil"/>
              <w:left w:val="nil"/>
              <w:bottom w:val="nil"/>
              <w:right w:val="nil"/>
            </w:tcBorders>
            <w:vAlign w:val="bottom"/>
          </w:tcPr>
          <w:p w14:paraId="329DA70C">
            <w:pPr>
              <w:rPr>
                <w:rFonts w:eastAsia="楷体_GB2312"/>
                <w:b/>
              </w:rPr>
            </w:pPr>
            <w:r>
              <w:rPr>
                <w:rFonts w:eastAsia="楷体_GB2312"/>
                <w:b/>
              </w:rPr>
              <w:t>【】</w:t>
            </w:r>
          </w:p>
        </w:tc>
      </w:tr>
      <w:tr w14:paraId="57A1BA92">
        <w:tblPrEx>
          <w:tblCellMar>
            <w:top w:w="0" w:type="dxa"/>
            <w:left w:w="0" w:type="dxa"/>
            <w:bottom w:w="0" w:type="dxa"/>
            <w:right w:w="0" w:type="dxa"/>
          </w:tblCellMar>
        </w:tblPrEx>
        <w:trPr>
          <w:trHeight w:val="285" w:hRule="atLeast"/>
          <w:jc w:val="center"/>
        </w:trPr>
        <w:tc>
          <w:tcPr>
            <w:tcW w:w="2065" w:type="dxa"/>
            <w:tcBorders>
              <w:top w:val="nil"/>
              <w:left w:val="nil"/>
              <w:bottom w:val="nil"/>
              <w:right w:val="nil"/>
            </w:tcBorders>
            <w:vAlign w:val="bottom"/>
          </w:tcPr>
          <w:p w14:paraId="556616FC">
            <w:pPr>
              <w:jc w:val="right"/>
              <w:rPr>
                <w:rFonts w:eastAsia="楷体_GB2312"/>
                <w:b/>
              </w:rPr>
            </w:pPr>
            <w:r>
              <w:rPr>
                <w:rFonts w:eastAsia="楷体_GB2312"/>
                <w:b/>
              </w:rPr>
              <w:t>公司网址：</w:t>
            </w:r>
          </w:p>
        </w:tc>
        <w:tc>
          <w:tcPr>
            <w:tcW w:w="5670" w:type="dxa"/>
            <w:tcBorders>
              <w:top w:val="nil"/>
              <w:left w:val="nil"/>
              <w:bottom w:val="nil"/>
              <w:right w:val="nil"/>
            </w:tcBorders>
            <w:vAlign w:val="bottom"/>
          </w:tcPr>
          <w:p w14:paraId="488CABA5">
            <w:pPr>
              <w:rPr>
                <w:rFonts w:eastAsia="楷体_GB2312"/>
                <w:b/>
              </w:rPr>
            </w:pPr>
            <w:r>
              <w:rPr>
                <w:rFonts w:eastAsia="楷体_GB2312"/>
                <w:b/>
              </w:rPr>
              <w:t>【】</w:t>
            </w:r>
          </w:p>
        </w:tc>
      </w:tr>
    </w:tbl>
    <w:p w14:paraId="727F66E0">
      <w:pPr>
        <w:spacing w:line="360" w:lineRule="auto"/>
        <w:jc w:val="center"/>
        <w:rPr>
          <w:rFonts w:eastAsia="楷体_GB2312"/>
          <w:sz w:val="32"/>
        </w:rPr>
      </w:pPr>
    </w:p>
    <w:p w14:paraId="1C9A9889">
      <w:pPr>
        <w:spacing w:line="360" w:lineRule="auto"/>
        <w:rPr>
          <w:rFonts w:eastAsia="楷体_GB2312"/>
          <w:lang w:eastAsia="zh-CN"/>
        </w:rPr>
      </w:pPr>
      <w:r>
        <w:rPr>
          <w:rFonts w:eastAsia="楷体_GB2312"/>
          <w:sz w:val="32"/>
        </w:rPr>
        <w:br w:type="page"/>
      </w:r>
    </w:p>
    <w:tbl>
      <w:tblPr>
        <w:tblStyle w:val="31"/>
        <w:tblW w:w="85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8"/>
        <w:gridCol w:w="6840"/>
        <w:gridCol w:w="900"/>
      </w:tblGrid>
      <w:tr w14:paraId="61825E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68" w:type="dxa"/>
            <w:gridSpan w:val="3"/>
            <w:tcBorders>
              <w:bottom w:val="single" w:color="auto" w:sz="4" w:space="0"/>
            </w:tcBorders>
          </w:tcPr>
          <w:p w14:paraId="71DA8EAB">
            <w:pPr>
              <w:spacing w:line="360" w:lineRule="auto"/>
              <w:jc w:val="center"/>
              <w:rPr>
                <w:rFonts w:eastAsia="楷体_GB2312"/>
                <w:b/>
                <w:sz w:val="28"/>
                <w:lang w:eastAsia="zh-CN"/>
              </w:rPr>
            </w:pPr>
            <w:r>
              <w:rPr>
                <w:rFonts w:eastAsia="楷体_GB2312"/>
                <w:b/>
                <w:sz w:val="28"/>
                <w:lang w:eastAsia="zh-CN"/>
              </w:rPr>
              <w:t>【信托名称】</w:t>
            </w:r>
          </w:p>
          <w:p w14:paraId="68A01A39">
            <w:pPr>
              <w:spacing w:line="360" w:lineRule="auto"/>
              <w:jc w:val="center"/>
              <w:rPr>
                <w:rFonts w:eastAsia="楷体_GB2312"/>
                <w:b/>
                <w:sz w:val="28"/>
                <w:lang w:eastAsia="zh-CN"/>
              </w:rPr>
            </w:pPr>
            <w:r>
              <w:rPr>
                <w:rFonts w:eastAsia="楷体_GB2312"/>
                <w:b/>
                <w:sz w:val="28"/>
                <w:lang w:eastAsia="zh-CN"/>
              </w:rPr>
              <w:t>受托机构月度/年度报告</w:t>
            </w:r>
          </w:p>
          <w:p w14:paraId="611AF052">
            <w:pPr>
              <w:spacing w:line="360" w:lineRule="auto"/>
              <w:rPr>
                <w:rFonts w:eastAsia="楷体_GB2312"/>
                <w:b/>
                <w:i/>
                <w:iCs/>
                <w:sz w:val="28"/>
                <w:lang w:eastAsia="zh-CN"/>
              </w:rPr>
            </w:pPr>
            <w:r>
              <w:rPr>
                <w:rFonts w:eastAsia="楷体_GB2312"/>
                <w:b/>
                <w:i/>
                <w:iCs/>
                <w:color w:val="FF0000"/>
                <w:szCs w:val="22"/>
                <w:lang w:eastAsia="zh-CN"/>
              </w:rPr>
              <w:t>【注：如不适用持续购买情形，应删除第六部分、第七部分存续期基础资产持续购买总体信息及分布信息以及指标中关于持续购买的相关表述】</w:t>
            </w:r>
          </w:p>
        </w:tc>
      </w:tr>
      <w:tr w14:paraId="21554C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8" w:type="dxa"/>
            <w:tcBorders>
              <w:top w:val="single" w:color="auto" w:sz="4" w:space="0"/>
              <w:bottom w:val="nil"/>
            </w:tcBorders>
          </w:tcPr>
          <w:p w14:paraId="615EA72F">
            <w:pPr>
              <w:spacing w:line="360" w:lineRule="auto"/>
              <w:rPr>
                <w:rFonts w:eastAsia="楷体_GB2312"/>
                <w:lang w:eastAsia="zh-CN"/>
              </w:rPr>
            </w:pPr>
          </w:p>
        </w:tc>
        <w:tc>
          <w:tcPr>
            <w:tcW w:w="6840" w:type="dxa"/>
            <w:tcBorders>
              <w:top w:val="single" w:color="auto" w:sz="4" w:space="0"/>
              <w:bottom w:val="nil"/>
            </w:tcBorders>
          </w:tcPr>
          <w:p w14:paraId="07409217">
            <w:pPr>
              <w:spacing w:line="360" w:lineRule="auto"/>
              <w:ind w:firstLine="360" w:firstLineChars="200"/>
              <w:rPr>
                <w:rFonts w:eastAsia="楷体_GB2312"/>
                <w:lang w:eastAsia="zh-CN"/>
              </w:rPr>
            </w:pPr>
            <w:r>
              <w:rPr>
                <w:rFonts w:eastAsia="楷体_GB2312"/>
                <w:sz w:val="18"/>
                <w:lang w:eastAsia="zh-CN"/>
              </w:rPr>
              <w:t>20【】年【】月【】日，经发起机构【发起机构全称】委托、本公司承诺受托管理的“【信托名称】”依法成立。作为受托人，根据20【】年【】月【】日的月度/年度服务机构报告、20【】年【】月【】日月度/年度资金保管报告，本公司现向您报告本信托信托财产的管理、运用、处分及收益情况。本公司对本报告全部内容的真实性、准确性、完整性负责。</w:t>
            </w:r>
          </w:p>
        </w:tc>
        <w:tc>
          <w:tcPr>
            <w:tcW w:w="900" w:type="dxa"/>
            <w:tcBorders>
              <w:top w:val="single" w:color="auto" w:sz="4" w:space="0"/>
              <w:bottom w:val="nil"/>
            </w:tcBorders>
          </w:tcPr>
          <w:p w14:paraId="533131EE">
            <w:pPr>
              <w:spacing w:line="360" w:lineRule="auto"/>
              <w:rPr>
                <w:rFonts w:eastAsia="楷体_GB2312"/>
                <w:lang w:eastAsia="zh-CN"/>
              </w:rPr>
            </w:pPr>
          </w:p>
        </w:tc>
      </w:tr>
      <w:tr w14:paraId="03FAFA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8" w:type="dxa"/>
            <w:tcBorders>
              <w:top w:val="nil"/>
            </w:tcBorders>
          </w:tcPr>
          <w:p w14:paraId="6061F10D">
            <w:pPr>
              <w:spacing w:line="360" w:lineRule="auto"/>
              <w:rPr>
                <w:rFonts w:eastAsia="楷体_GB2312"/>
                <w:lang w:eastAsia="zh-CN"/>
              </w:rPr>
            </w:pPr>
          </w:p>
        </w:tc>
        <w:tc>
          <w:tcPr>
            <w:tcW w:w="6840" w:type="dxa"/>
            <w:tcBorders>
              <w:top w:val="nil"/>
              <w:bottom w:val="nil"/>
            </w:tcBorders>
            <w:shd w:val="clear" w:color="auto" w:fill="C0C0C0"/>
          </w:tcPr>
          <w:p w14:paraId="28695871">
            <w:pPr>
              <w:spacing w:line="360" w:lineRule="auto"/>
              <w:rPr>
                <w:rFonts w:eastAsia="楷体_GB2312"/>
                <w:b/>
              </w:rPr>
            </w:pPr>
            <w:r>
              <w:rPr>
                <w:rFonts w:eastAsia="楷体_GB2312"/>
                <w:b/>
              </w:rPr>
              <w:t>内容</w:t>
            </w:r>
          </w:p>
        </w:tc>
        <w:tc>
          <w:tcPr>
            <w:tcW w:w="900" w:type="dxa"/>
            <w:tcBorders>
              <w:top w:val="nil"/>
              <w:bottom w:val="nil"/>
            </w:tcBorders>
            <w:shd w:val="clear" w:color="auto" w:fill="C0C0C0"/>
          </w:tcPr>
          <w:p w14:paraId="6C729CEC">
            <w:pPr>
              <w:spacing w:line="360" w:lineRule="auto"/>
              <w:rPr>
                <w:rFonts w:eastAsia="楷体_GB2312"/>
                <w:b/>
              </w:rPr>
            </w:pPr>
            <w:r>
              <w:rPr>
                <w:rFonts w:eastAsia="楷体_GB2312"/>
                <w:b/>
              </w:rPr>
              <w:t>页码</w:t>
            </w:r>
          </w:p>
        </w:tc>
      </w:tr>
      <w:tr w14:paraId="47DDFA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8" w:type="dxa"/>
          </w:tcPr>
          <w:p w14:paraId="4E6BC885">
            <w:pPr>
              <w:spacing w:line="360" w:lineRule="auto"/>
              <w:rPr>
                <w:rFonts w:eastAsia="楷体_GB2312"/>
              </w:rPr>
            </w:pPr>
          </w:p>
        </w:tc>
        <w:tc>
          <w:tcPr>
            <w:tcW w:w="6840" w:type="dxa"/>
            <w:tcBorders>
              <w:top w:val="nil"/>
            </w:tcBorders>
          </w:tcPr>
          <w:p w14:paraId="17F87E78">
            <w:pPr>
              <w:spacing w:line="360" w:lineRule="auto"/>
              <w:rPr>
                <w:rFonts w:eastAsia="楷体_GB2312"/>
                <w:lang w:eastAsia="zh-CN"/>
              </w:rPr>
            </w:pPr>
            <w:r>
              <w:rPr>
                <w:rFonts w:eastAsia="楷体_GB2312"/>
                <w:lang w:eastAsia="zh-CN"/>
              </w:rPr>
              <w:t>一、受托机构和证券化服务机构的名称、地址</w:t>
            </w:r>
          </w:p>
          <w:p w14:paraId="33188781">
            <w:pPr>
              <w:spacing w:line="360" w:lineRule="auto"/>
              <w:rPr>
                <w:rFonts w:eastAsia="楷体_GB2312"/>
                <w:lang w:eastAsia="zh-CN"/>
              </w:rPr>
            </w:pPr>
            <w:r>
              <w:rPr>
                <w:rFonts w:eastAsia="楷体_GB2312"/>
                <w:lang w:eastAsia="zh-CN"/>
              </w:rPr>
              <w:t>二、证券概况</w:t>
            </w:r>
          </w:p>
          <w:p w14:paraId="4F132565">
            <w:pPr>
              <w:spacing w:line="360" w:lineRule="auto"/>
              <w:rPr>
                <w:rFonts w:eastAsia="楷体_GB2312"/>
                <w:lang w:eastAsia="zh-CN"/>
              </w:rPr>
            </w:pPr>
            <w:r>
              <w:rPr>
                <w:rFonts w:eastAsia="楷体_GB2312"/>
                <w:lang w:eastAsia="zh-CN"/>
              </w:rPr>
              <w:t>三、资产池情况</w:t>
            </w:r>
          </w:p>
          <w:p w14:paraId="2C8E831C">
            <w:pPr>
              <w:spacing w:line="360" w:lineRule="auto"/>
              <w:rPr>
                <w:rFonts w:eastAsia="楷体_GB2312"/>
                <w:lang w:eastAsia="zh-CN"/>
              </w:rPr>
            </w:pPr>
            <w:r>
              <w:rPr>
                <w:rFonts w:eastAsia="楷体_GB2312"/>
                <w:lang w:eastAsia="zh-CN"/>
              </w:rPr>
              <w:t>四、基础资产存续期总体信息</w:t>
            </w:r>
          </w:p>
          <w:p w14:paraId="7248A6D4">
            <w:pPr>
              <w:spacing w:line="360" w:lineRule="auto"/>
              <w:rPr>
                <w:rFonts w:eastAsia="楷体_GB2312"/>
                <w:lang w:eastAsia="zh-CN"/>
              </w:rPr>
            </w:pPr>
            <w:r>
              <w:rPr>
                <w:rFonts w:eastAsia="楷体_GB2312"/>
                <w:lang w:eastAsia="zh-CN"/>
              </w:rPr>
              <w:t>五、基础资产存续期分布信息</w:t>
            </w:r>
          </w:p>
          <w:p w14:paraId="6835152A">
            <w:pPr>
              <w:spacing w:line="360" w:lineRule="auto"/>
              <w:rPr>
                <w:rFonts w:eastAsia="楷体_GB2312"/>
                <w:lang w:eastAsia="zh-CN"/>
              </w:rPr>
            </w:pPr>
            <w:r>
              <w:rPr>
                <w:rFonts w:eastAsia="楷体_GB2312"/>
                <w:lang w:eastAsia="zh-CN"/>
              </w:rPr>
              <w:t>六、存续期基础资产持续购买总体信息</w:t>
            </w:r>
          </w:p>
          <w:p w14:paraId="5779D9BA">
            <w:pPr>
              <w:spacing w:line="360" w:lineRule="auto"/>
              <w:rPr>
                <w:rFonts w:eastAsia="楷体_GB2312"/>
                <w:lang w:eastAsia="zh-CN"/>
              </w:rPr>
            </w:pPr>
            <w:r>
              <w:rPr>
                <w:rFonts w:eastAsia="楷体_GB2312"/>
                <w:lang w:eastAsia="zh-CN"/>
              </w:rPr>
              <w:t>七、存续期基础资产持续购买分布信息</w:t>
            </w:r>
          </w:p>
          <w:p w14:paraId="78A29CDE">
            <w:pPr>
              <w:spacing w:line="360" w:lineRule="auto"/>
              <w:rPr>
                <w:rFonts w:eastAsia="楷体_GB2312"/>
                <w:lang w:eastAsia="zh-CN"/>
              </w:rPr>
            </w:pPr>
            <w:r>
              <w:rPr>
                <w:rFonts w:eastAsia="楷体_GB2312"/>
                <w:lang w:eastAsia="zh-CN"/>
              </w:rPr>
              <w:t>八、本期资产支持证券内外部信用增级情况</w:t>
            </w:r>
          </w:p>
          <w:p w14:paraId="1168EADC">
            <w:pPr>
              <w:spacing w:line="360" w:lineRule="auto"/>
              <w:rPr>
                <w:rFonts w:eastAsia="楷体_GB2312"/>
                <w:lang w:eastAsia="zh-CN"/>
              </w:rPr>
            </w:pPr>
            <w:r>
              <w:rPr>
                <w:rFonts w:eastAsia="楷体_GB2312"/>
                <w:lang w:eastAsia="zh-CN"/>
              </w:rPr>
              <w:t>九、对证券化信托财产和信托事务管理产生重大影响的事项</w:t>
            </w:r>
          </w:p>
          <w:p w14:paraId="0106B74B">
            <w:pPr>
              <w:spacing w:line="360" w:lineRule="auto"/>
              <w:rPr>
                <w:rFonts w:eastAsia="楷体_GB2312"/>
                <w:lang w:eastAsia="zh-CN"/>
              </w:rPr>
            </w:pPr>
            <w:r>
              <w:rPr>
                <w:rFonts w:eastAsia="楷体_GB2312"/>
                <w:lang w:eastAsia="zh-CN"/>
              </w:rPr>
              <w:t>十、信托资金投资情况</w:t>
            </w:r>
          </w:p>
          <w:p w14:paraId="79B262A7">
            <w:pPr>
              <w:spacing w:line="360" w:lineRule="auto"/>
              <w:rPr>
                <w:rFonts w:eastAsia="楷体_GB2312"/>
                <w:lang w:eastAsia="zh-CN"/>
              </w:rPr>
            </w:pPr>
            <w:r>
              <w:rPr>
                <w:rFonts w:eastAsia="楷体_GB2312"/>
                <w:lang w:eastAsia="zh-CN"/>
              </w:rPr>
              <w:t>十一、其他重大事项报告</w:t>
            </w:r>
          </w:p>
          <w:p w14:paraId="4B7F9987">
            <w:pPr>
              <w:spacing w:line="360" w:lineRule="auto"/>
              <w:rPr>
                <w:rFonts w:eastAsia="楷体_GB2312"/>
                <w:lang w:eastAsia="zh-CN"/>
              </w:rPr>
            </w:pPr>
            <w:r>
              <w:rPr>
                <w:rFonts w:eastAsia="楷体_GB2312"/>
                <w:lang w:eastAsia="zh-CN"/>
              </w:rPr>
              <w:t>十二、报告接收情况说明</w:t>
            </w:r>
          </w:p>
          <w:p w14:paraId="7931B4F8">
            <w:pPr>
              <w:spacing w:line="360" w:lineRule="auto"/>
              <w:rPr>
                <w:rFonts w:eastAsia="楷体_GB2312"/>
                <w:lang w:eastAsia="zh-CN"/>
              </w:rPr>
            </w:pPr>
            <w:r>
              <w:rPr>
                <w:rFonts w:eastAsia="楷体_GB2312"/>
                <w:lang w:eastAsia="zh-CN"/>
              </w:rPr>
              <w:t>十三、差错更正说明</w:t>
            </w:r>
          </w:p>
          <w:p w14:paraId="02F881A3">
            <w:pPr>
              <w:spacing w:line="360" w:lineRule="auto"/>
              <w:rPr>
                <w:rFonts w:eastAsia="楷体_GB2312"/>
                <w:lang w:eastAsia="zh-CN"/>
              </w:rPr>
            </w:pPr>
            <w:r>
              <w:rPr>
                <w:rFonts w:eastAsia="楷体_GB2312"/>
                <w:lang w:eastAsia="zh-CN"/>
              </w:rPr>
              <w:t>十四、备查文件</w:t>
            </w:r>
          </w:p>
          <w:p w14:paraId="1292014A">
            <w:pPr>
              <w:spacing w:line="360" w:lineRule="auto"/>
              <w:rPr>
                <w:rFonts w:eastAsia="楷体_GB2312"/>
                <w:sz w:val="18"/>
                <w:lang w:eastAsia="zh-CN"/>
              </w:rPr>
            </w:pPr>
          </w:p>
        </w:tc>
        <w:tc>
          <w:tcPr>
            <w:tcW w:w="900" w:type="dxa"/>
            <w:tcBorders>
              <w:top w:val="nil"/>
            </w:tcBorders>
          </w:tcPr>
          <w:p w14:paraId="06483AC5">
            <w:pPr>
              <w:spacing w:line="360" w:lineRule="auto"/>
              <w:rPr>
                <w:rFonts w:eastAsia="楷体_GB2312"/>
                <w:lang w:eastAsia="zh-CN"/>
              </w:rPr>
            </w:pPr>
          </w:p>
          <w:p w14:paraId="1C035B9B">
            <w:pPr>
              <w:spacing w:line="360" w:lineRule="auto"/>
              <w:rPr>
                <w:rFonts w:eastAsia="楷体_GB2312"/>
                <w:lang w:eastAsia="zh-CN"/>
              </w:rPr>
            </w:pPr>
          </w:p>
        </w:tc>
      </w:tr>
      <w:tr w14:paraId="044644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8" w:type="dxa"/>
          </w:tcPr>
          <w:p w14:paraId="29D00159">
            <w:pPr>
              <w:spacing w:line="360" w:lineRule="auto"/>
              <w:rPr>
                <w:rFonts w:eastAsia="楷体_GB2312"/>
                <w:lang w:eastAsia="zh-CN"/>
              </w:rPr>
            </w:pPr>
          </w:p>
        </w:tc>
        <w:tc>
          <w:tcPr>
            <w:tcW w:w="6840" w:type="dxa"/>
          </w:tcPr>
          <w:p w14:paraId="2BD087A1">
            <w:pPr>
              <w:spacing w:line="360" w:lineRule="auto"/>
              <w:rPr>
                <w:rFonts w:eastAsia="楷体_GB2312"/>
                <w:lang w:eastAsia="zh-CN"/>
              </w:rPr>
            </w:pPr>
          </w:p>
        </w:tc>
        <w:tc>
          <w:tcPr>
            <w:tcW w:w="900" w:type="dxa"/>
          </w:tcPr>
          <w:p w14:paraId="79EFEC39">
            <w:pPr>
              <w:spacing w:line="360" w:lineRule="auto"/>
              <w:rPr>
                <w:rFonts w:eastAsia="楷体_GB2312"/>
                <w:lang w:eastAsia="zh-CN"/>
              </w:rPr>
            </w:pPr>
          </w:p>
        </w:tc>
      </w:tr>
      <w:tr w14:paraId="423508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8" w:type="dxa"/>
          </w:tcPr>
          <w:p w14:paraId="16BF2E88">
            <w:pPr>
              <w:spacing w:line="360" w:lineRule="auto"/>
              <w:rPr>
                <w:rFonts w:eastAsia="楷体_GB2312"/>
                <w:sz w:val="18"/>
              </w:rPr>
            </w:pPr>
            <w:r>
              <w:rPr>
                <w:rFonts w:eastAsia="楷体_GB2312"/>
                <w:sz w:val="18"/>
              </w:rPr>
              <w:t>注：</w:t>
            </w:r>
          </w:p>
        </w:tc>
        <w:tc>
          <w:tcPr>
            <w:tcW w:w="6840" w:type="dxa"/>
          </w:tcPr>
          <w:p w14:paraId="3F68E22F">
            <w:pPr>
              <w:spacing w:before="34" w:line="276" w:lineRule="auto"/>
              <w:jc w:val="both"/>
              <w:rPr>
                <w:rFonts w:eastAsia="楷体_GB2312"/>
                <w:sz w:val="18"/>
                <w:lang w:eastAsia="zh-CN"/>
              </w:rPr>
            </w:pPr>
            <w:r>
              <w:rPr>
                <w:rFonts w:eastAsia="楷体_GB2312"/>
                <w:sz w:val="18"/>
                <w:lang w:eastAsia="zh-CN"/>
              </w:rPr>
              <w:t>1.本报告内容在以下</w:t>
            </w:r>
            <w:r>
              <w:rPr>
                <w:rFonts w:hint="eastAsia" w:eastAsia="楷体_GB2312"/>
                <w:sz w:val="18"/>
                <w:lang w:eastAsia="zh-CN"/>
              </w:rPr>
              <w:t>渠道</w:t>
            </w:r>
            <w:r>
              <w:rPr>
                <w:rFonts w:eastAsia="楷体_GB2312"/>
                <w:sz w:val="18"/>
                <w:lang w:eastAsia="zh-CN"/>
              </w:rPr>
              <w:t>披露：</w:t>
            </w:r>
            <w:r>
              <w:rPr>
                <w:rFonts w:eastAsia="楷体_GB2312"/>
                <w:color w:val="000000"/>
                <w:sz w:val="18"/>
                <w:szCs w:val="18"/>
              </w:rPr>
              <w:t>交易商协会综合业务和信息服务平台、中国货币网、中国债券信息网、北金所官方网站及交易商协会认可的其他方式</w:t>
            </w:r>
            <w:r>
              <w:rPr>
                <w:rFonts w:hint="eastAsia" w:eastAsia="楷体_GB2312"/>
                <w:sz w:val="18"/>
                <w:lang w:eastAsia="zh-CN"/>
              </w:rPr>
              <w:t>。</w:t>
            </w:r>
          </w:p>
          <w:p w14:paraId="35BA098E">
            <w:pPr>
              <w:spacing w:line="360" w:lineRule="auto"/>
              <w:rPr>
                <w:rFonts w:eastAsia="楷体_GB2312"/>
                <w:sz w:val="18"/>
                <w:lang w:eastAsia="zh-CN"/>
              </w:rPr>
            </w:pPr>
            <w:r>
              <w:rPr>
                <w:rFonts w:eastAsia="楷体_GB2312"/>
                <w:sz w:val="18"/>
                <w:lang w:eastAsia="zh-CN"/>
              </w:rPr>
              <w:t>2.本报告内容根据服务机构报告和资金保管报告等报告内容编制。</w:t>
            </w:r>
            <w:r>
              <w:rPr>
                <w:rFonts w:eastAsia="楷体_GB2312"/>
                <w:sz w:val="18"/>
                <w:lang w:eastAsia="zh-CN"/>
              </w:rPr>
              <w:tab/>
            </w:r>
          </w:p>
          <w:p w14:paraId="3D0D5651">
            <w:pPr>
              <w:spacing w:line="360" w:lineRule="auto"/>
              <w:rPr>
                <w:rFonts w:eastAsia="楷体_GB2312"/>
                <w:sz w:val="18"/>
                <w:lang w:eastAsia="zh-CN"/>
              </w:rPr>
            </w:pPr>
            <w:r>
              <w:rPr>
                <w:rFonts w:eastAsia="楷体_GB2312"/>
                <w:sz w:val="18"/>
                <w:lang w:eastAsia="zh-CN"/>
              </w:rPr>
              <w:t>3.本报告金额单位均以人民币元计。</w:t>
            </w:r>
          </w:p>
          <w:p w14:paraId="43B53113">
            <w:pPr>
              <w:spacing w:line="360" w:lineRule="auto"/>
              <w:rPr>
                <w:rFonts w:eastAsia="楷体_GB2312"/>
                <w:lang w:eastAsia="zh-CN"/>
              </w:rPr>
            </w:pPr>
            <w:r>
              <w:rPr>
                <w:rFonts w:eastAsia="楷体_GB2312"/>
                <w:sz w:val="18"/>
                <w:lang w:eastAsia="zh-CN"/>
              </w:rPr>
              <w:t>4.报告期间为:----年--月--日至----年--月--日</w:t>
            </w:r>
          </w:p>
        </w:tc>
        <w:tc>
          <w:tcPr>
            <w:tcW w:w="900" w:type="dxa"/>
          </w:tcPr>
          <w:p w14:paraId="192882F7">
            <w:pPr>
              <w:spacing w:line="360" w:lineRule="auto"/>
              <w:rPr>
                <w:rFonts w:eastAsia="楷体_GB2312"/>
                <w:lang w:eastAsia="zh-CN"/>
              </w:rPr>
            </w:pPr>
          </w:p>
        </w:tc>
      </w:tr>
    </w:tbl>
    <w:p w14:paraId="0785E85B">
      <w:pPr>
        <w:spacing w:line="360" w:lineRule="auto"/>
        <w:rPr>
          <w:rFonts w:eastAsia="楷体_GB2312"/>
          <w:lang w:eastAsia="zh-CN"/>
        </w:rPr>
      </w:pPr>
    </w:p>
    <w:tbl>
      <w:tblPr>
        <w:tblStyle w:val="31"/>
        <w:tblW w:w="851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03"/>
        <w:gridCol w:w="2542"/>
        <w:gridCol w:w="2567"/>
        <w:gridCol w:w="1704"/>
      </w:tblGrid>
      <w:tr w14:paraId="1FFAFC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gridSpan w:val="4"/>
            <w:tcBorders>
              <w:bottom w:val="single" w:color="auto" w:sz="4" w:space="0"/>
            </w:tcBorders>
            <w:vAlign w:val="center"/>
          </w:tcPr>
          <w:p w14:paraId="372FA308">
            <w:pPr>
              <w:spacing w:line="360" w:lineRule="auto"/>
              <w:jc w:val="center"/>
              <w:rPr>
                <w:rFonts w:eastAsia="楷体_GB2312"/>
                <w:b/>
                <w:sz w:val="28"/>
                <w:lang w:eastAsia="zh-CN"/>
              </w:rPr>
            </w:pPr>
            <w:r>
              <w:rPr>
                <w:rFonts w:eastAsia="楷体_GB2312"/>
                <w:b/>
                <w:sz w:val="28"/>
                <w:lang w:eastAsia="zh-CN"/>
              </w:rPr>
              <w:t>【信托名称】</w:t>
            </w:r>
          </w:p>
          <w:p w14:paraId="398E37AF">
            <w:pPr>
              <w:spacing w:line="360" w:lineRule="auto"/>
              <w:jc w:val="center"/>
              <w:rPr>
                <w:rFonts w:eastAsia="楷体_GB2312"/>
                <w:b/>
                <w:sz w:val="28"/>
                <w:lang w:eastAsia="zh-CN"/>
              </w:rPr>
            </w:pPr>
            <w:r>
              <w:rPr>
                <w:rFonts w:eastAsia="楷体_GB2312"/>
                <w:b/>
                <w:sz w:val="28"/>
                <w:lang w:eastAsia="zh-CN"/>
              </w:rPr>
              <w:t>受托机构月度/年度报告</w:t>
            </w:r>
          </w:p>
        </w:tc>
      </w:tr>
      <w:tr w14:paraId="525055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gridSpan w:val="4"/>
            <w:tcBorders>
              <w:top w:val="single" w:color="auto" w:sz="4" w:space="0"/>
              <w:bottom w:val="nil"/>
            </w:tcBorders>
          </w:tcPr>
          <w:p w14:paraId="7AC42870">
            <w:pPr>
              <w:spacing w:line="360" w:lineRule="auto"/>
              <w:rPr>
                <w:rFonts w:eastAsia="楷体_GB2312"/>
                <w:b/>
                <w:lang w:eastAsia="zh-CN"/>
              </w:rPr>
            </w:pPr>
            <w:r>
              <w:rPr>
                <w:rFonts w:eastAsia="楷体_GB2312"/>
                <w:b/>
                <w:lang w:eastAsia="zh-CN"/>
              </w:rPr>
              <w:t>一、受托机构和证券化服务机构的名称、地址</w:t>
            </w:r>
          </w:p>
        </w:tc>
      </w:tr>
      <w:tr w14:paraId="68D4AD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703" w:type="dxa"/>
            <w:tcBorders>
              <w:top w:val="nil"/>
              <w:bottom w:val="nil"/>
            </w:tcBorders>
          </w:tcPr>
          <w:p w14:paraId="6EF4044C">
            <w:pPr>
              <w:spacing w:line="360" w:lineRule="auto"/>
              <w:rPr>
                <w:rFonts w:eastAsia="楷体_GB2312"/>
                <w:b/>
                <w:lang w:eastAsia="zh-CN"/>
              </w:rPr>
            </w:pPr>
            <w:r>
              <w:rPr>
                <w:rFonts w:eastAsia="楷体_GB2312"/>
                <w:b/>
                <w:lang w:eastAsia="zh-CN"/>
              </w:rPr>
              <w:t>机构类别</w:t>
            </w:r>
          </w:p>
        </w:tc>
        <w:tc>
          <w:tcPr>
            <w:tcW w:w="2542" w:type="dxa"/>
            <w:tcBorders>
              <w:top w:val="nil"/>
              <w:bottom w:val="nil"/>
            </w:tcBorders>
            <w:shd w:val="clear" w:color="auto" w:fill="C0C0C0"/>
          </w:tcPr>
          <w:p w14:paraId="2255BCC4">
            <w:pPr>
              <w:spacing w:line="360" w:lineRule="auto"/>
              <w:rPr>
                <w:rFonts w:eastAsia="楷体_GB2312"/>
                <w:b/>
              </w:rPr>
            </w:pPr>
            <w:r>
              <w:rPr>
                <w:rFonts w:eastAsia="楷体_GB2312"/>
                <w:b/>
              </w:rPr>
              <w:t>机构名称</w:t>
            </w:r>
          </w:p>
        </w:tc>
        <w:tc>
          <w:tcPr>
            <w:tcW w:w="2567" w:type="dxa"/>
            <w:tcBorders>
              <w:top w:val="nil"/>
              <w:bottom w:val="nil"/>
            </w:tcBorders>
            <w:shd w:val="clear" w:color="auto" w:fill="C0C0C0"/>
          </w:tcPr>
          <w:p w14:paraId="4E376712">
            <w:pPr>
              <w:spacing w:line="360" w:lineRule="auto"/>
              <w:rPr>
                <w:rFonts w:eastAsia="楷体_GB2312"/>
                <w:b/>
              </w:rPr>
            </w:pPr>
            <w:r>
              <w:rPr>
                <w:rFonts w:eastAsia="楷体_GB2312"/>
                <w:b/>
              </w:rPr>
              <w:t>机构地址</w:t>
            </w:r>
          </w:p>
        </w:tc>
        <w:tc>
          <w:tcPr>
            <w:tcW w:w="1704" w:type="dxa"/>
            <w:tcBorders>
              <w:top w:val="nil"/>
              <w:bottom w:val="nil"/>
            </w:tcBorders>
            <w:shd w:val="clear" w:color="auto" w:fill="C0C0C0"/>
          </w:tcPr>
          <w:p w14:paraId="3E79FC66">
            <w:pPr>
              <w:spacing w:line="360" w:lineRule="auto"/>
              <w:rPr>
                <w:rFonts w:eastAsia="楷体_GB2312"/>
                <w:b/>
              </w:rPr>
            </w:pPr>
            <w:r>
              <w:rPr>
                <w:rFonts w:eastAsia="楷体_GB2312"/>
                <w:b/>
              </w:rPr>
              <w:t>联系电话</w:t>
            </w:r>
          </w:p>
        </w:tc>
      </w:tr>
      <w:tr w14:paraId="7BE2A9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703" w:type="dxa"/>
            <w:tcBorders>
              <w:top w:val="nil"/>
            </w:tcBorders>
          </w:tcPr>
          <w:p w14:paraId="42071BB5">
            <w:pPr>
              <w:spacing w:line="360" w:lineRule="auto"/>
              <w:rPr>
                <w:rFonts w:eastAsia="楷体_GB2312"/>
                <w:sz w:val="18"/>
              </w:rPr>
            </w:pPr>
            <w:r>
              <w:rPr>
                <w:rFonts w:eastAsia="楷体_GB2312"/>
                <w:sz w:val="18"/>
              </w:rPr>
              <w:t>受托机构</w:t>
            </w:r>
          </w:p>
          <w:p w14:paraId="25BED615">
            <w:pPr>
              <w:spacing w:line="360" w:lineRule="auto"/>
              <w:rPr>
                <w:rFonts w:eastAsia="楷体_GB2312"/>
                <w:sz w:val="18"/>
              </w:rPr>
            </w:pPr>
          </w:p>
        </w:tc>
        <w:tc>
          <w:tcPr>
            <w:tcW w:w="2542" w:type="dxa"/>
            <w:tcBorders>
              <w:top w:val="nil"/>
            </w:tcBorders>
          </w:tcPr>
          <w:p w14:paraId="2527A99D">
            <w:pPr>
              <w:spacing w:line="360" w:lineRule="auto"/>
              <w:rPr>
                <w:rFonts w:eastAsia="楷体_GB2312"/>
                <w:sz w:val="18"/>
                <w:lang w:eastAsia="zh-CN"/>
              </w:rPr>
            </w:pPr>
            <w:r>
              <w:rPr>
                <w:rFonts w:eastAsia="楷体_GB2312"/>
                <w:sz w:val="18"/>
                <w:lang w:eastAsia="zh-CN"/>
              </w:rPr>
              <w:t>【受托机构全称】</w:t>
            </w:r>
          </w:p>
        </w:tc>
        <w:tc>
          <w:tcPr>
            <w:tcW w:w="2567" w:type="dxa"/>
            <w:tcBorders>
              <w:top w:val="nil"/>
            </w:tcBorders>
          </w:tcPr>
          <w:p w14:paraId="7DA2B889">
            <w:pPr>
              <w:spacing w:line="360" w:lineRule="auto"/>
              <w:rPr>
                <w:rFonts w:eastAsia="楷体_GB2312"/>
                <w:sz w:val="18"/>
                <w:lang w:eastAsia="zh-CN"/>
              </w:rPr>
            </w:pPr>
          </w:p>
        </w:tc>
        <w:tc>
          <w:tcPr>
            <w:tcW w:w="1704" w:type="dxa"/>
            <w:tcBorders>
              <w:top w:val="nil"/>
            </w:tcBorders>
          </w:tcPr>
          <w:p w14:paraId="668E4B11">
            <w:pPr>
              <w:spacing w:line="360" w:lineRule="auto"/>
              <w:jc w:val="center"/>
              <w:rPr>
                <w:rFonts w:eastAsia="楷体_GB2312"/>
                <w:sz w:val="18"/>
                <w:lang w:eastAsia="zh-CN"/>
              </w:rPr>
            </w:pPr>
          </w:p>
        </w:tc>
      </w:tr>
      <w:tr w14:paraId="4FE81D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703" w:type="dxa"/>
          </w:tcPr>
          <w:p w14:paraId="418254E2">
            <w:pPr>
              <w:spacing w:line="360" w:lineRule="auto"/>
              <w:rPr>
                <w:rFonts w:eastAsia="楷体_GB2312"/>
                <w:sz w:val="18"/>
              </w:rPr>
            </w:pPr>
            <w:r>
              <w:rPr>
                <w:rFonts w:eastAsia="楷体_GB2312"/>
                <w:sz w:val="18"/>
              </w:rPr>
              <w:t>贷款服务机构</w:t>
            </w:r>
          </w:p>
          <w:p w14:paraId="3FFF3B0B">
            <w:pPr>
              <w:spacing w:line="360" w:lineRule="auto"/>
              <w:rPr>
                <w:rFonts w:eastAsia="楷体_GB2312"/>
                <w:sz w:val="18"/>
              </w:rPr>
            </w:pPr>
          </w:p>
        </w:tc>
        <w:tc>
          <w:tcPr>
            <w:tcW w:w="2542" w:type="dxa"/>
          </w:tcPr>
          <w:p w14:paraId="3D88DFC6">
            <w:pPr>
              <w:spacing w:line="360" w:lineRule="auto"/>
              <w:rPr>
                <w:rFonts w:eastAsia="楷体_GB2312"/>
                <w:sz w:val="18"/>
                <w:lang w:eastAsia="zh-CN"/>
              </w:rPr>
            </w:pPr>
            <w:r>
              <w:rPr>
                <w:rFonts w:eastAsia="楷体_GB2312"/>
                <w:sz w:val="18"/>
                <w:lang w:eastAsia="zh-CN"/>
              </w:rPr>
              <w:t>【发起机构全称】</w:t>
            </w:r>
          </w:p>
        </w:tc>
        <w:tc>
          <w:tcPr>
            <w:tcW w:w="2567" w:type="dxa"/>
          </w:tcPr>
          <w:p w14:paraId="46FD9369">
            <w:pPr>
              <w:spacing w:line="360" w:lineRule="auto"/>
              <w:rPr>
                <w:rFonts w:eastAsia="楷体_GB2312"/>
                <w:sz w:val="18"/>
                <w:lang w:eastAsia="zh-CN"/>
              </w:rPr>
            </w:pPr>
          </w:p>
        </w:tc>
        <w:tc>
          <w:tcPr>
            <w:tcW w:w="1704" w:type="dxa"/>
          </w:tcPr>
          <w:p w14:paraId="090CECE1">
            <w:pPr>
              <w:spacing w:line="360" w:lineRule="auto"/>
              <w:rPr>
                <w:rFonts w:eastAsia="楷体_GB2312"/>
                <w:sz w:val="18"/>
                <w:lang w:eastAsia="zh-CN"/>
              </w:rPr>
            </w:pPr>
          </w:p>
        </w:tc>
      </w:tr>
      <w:tr w14:paraId="69E877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703" w:type="dxa"/>
          </w:tcPr>
          <w:p w14:paraId="16AE4C3E">
            <w:pPr>
              <w:spacing w:line="360" w:lineRule="auto"/>
              <w:rPr>
                <w:rFonts w:eastAsia="楷体_GB2312"/>
                <w:sz w:val="18"/>
              </w:rPr>
            </w:pPr>
            <w:r>
              <w:rPr>
                <w:rFonts w:eastAsia="楷体_GB2312"/>
                <w:sz w:val="18"/>
              </w:rPr>
              <w:t>资金保管机构</w:t>
            </w:r>
          </w:p>
          <w:p w14:paraId="37AFB0EE">
            <w:pPr>
              <w:spacing w:line="360" w:lineRule="auto"/>
              <w:rPr>
                <w:rFonts w:eastAsia="楷体_GB2312"/>
                <w:sz w:val="18"/>
              </w:rPr>
            </w:pPr>
          </w:p>
        </w:tc>
        <w:tc>
          <w:tcPr>
            <w:tcW w:w="2542" w:type="dxa"/>
          </w:tcPr>
          <w:p w14:paraId="6A235C19">
            <w:pPr>
              <w:tabs>
                <w:tab w:val="center" w:pos="1163"/>
              </w:tabs>
              <w:spacing w:line="360" w:lineRule="auto"/>
              <w:rPr>
                <w:rFonts w:eastAsia="楷体_GB2312"/>
                <w:sz w:val="18"/>
                <w:lang w:eastAsia="zh-CN"/>
              </w:rPr>
            </w:pPr>
            <w:r>
              <w:rPr>
                <w:rFonts w:eastAsia="楷体_GB2312"/>
                <w:sz w:val="18"/>
                <w:lang w:eastAsia="zh-CN"/>
              </w:rPr>
              <w:t>【资金保管机构全称】</w:t>
            </w:r>
          </w:p>
        </w:tc>
        <w:tc>
          <w:tcPr>
            <w:tcW w:w="2567" w:type="dxa"/>
          </w:tcPr>
          <w:p w14:paraId="6991096A">
            <w:pPr>
              <w:spacing w:line="360" w:lineRule="auto"/>
              <w:rPr>
                <w:rFonts w:eastAsia="楷体_GB2312"/>
                <w:sz w:val="18"/>
                <w:lang w:eastAsia="zh-CN"/>
              </w:rPr>
            </w:pPr>
          </w:p>
        </w:tc>
        <w:tc>
          <w:tcPr>
            <w:tcW w:w="1704" w:type="dxa"/>
          </w:tcPr>
          <w:p w14:paraId="7C231BA5">
            <w:pPr>
              <w:spacing w:line="360" w:lineRule="auto"/>
              <w:rPr>
                <w:rFonts w:eastAsia="楷体_GB2312"/>
                <w:sz w:val="18"/>
                <w:lang w:eastAsia="zh-CN"/>
              </w:rPr>
            </w:pPr>
          </w:p>
        </w:tc>
      </w:tr>
      <w:tr w14:paraId="769E1B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703" w:type="dxa"/>
          </w:tcPr>
          <w:p w14:paraId="16418074">
            <w:pPr>
              <w:spacing w:line="360" w:lineRule="auto"/>
              <w:rPr>
                <w:rFonts w:eastAsia="楷体_GB2312"/>
                <w:sz w:val="18"/>
              </w:rPr>
            </w:pPr>
            <w:r>
              <w:rPr>
                <w:rFonts w:eastAsia="楷体_GB2312"/>
                <w:sz w:val="18"/>
              </w:rPr>
              <w:t>登记托管机构</w:t>
            </w:r>
          </w:p>
          <w:p w14:paraId="69E9A161">
            <w:pPr>
              <w:spacing w:line="360" w:lineRule="auto"/>
              <w:rPr>
                <w:rFonts w:eastAsia="楷体_GB2312"/>
                <w:sz w:val="18"/>
              </w:rPr>
            </w:pPr>
          </w:p>
        </w:tc>
        <w:tc>
          <w:tcPr>
            <w:tcW w:w="2542" w:type="dxa"/>
          </w:tcPr>
          <w:p w14:paraId="42E0EBC4">
            <w:pPr>
              <w:spacing w:line="360" w:lineRule="auto"/>
              <w:rPr>
                <w:rFonts w:eastAsia="楷体_GB2312"/>
                <w:sz w:val="18"/>
                <w:lang w:eastAsia="zh-CN"/>
              </w:rPr>
            </w:pPr>
          </w:p>
        </w:tc>
        <w:tc>
          <w:tcPr>
            <w:tcW w:w="2567" w:type="dxa"/>
          </w:tcPr>
          <w:p w14:paraId="49C19CC3">
            <w:pPr>
              <w:spacing w:line="360" w:lineRule="auto"/>
              <w:rPr>
                <w:rFonts w:eastAsia="楷体_GB2312"/>
                <w:sz w:val="18"/>
                <w:lang w:eastAsia="zh-CN"/>
              </w:rPr>
            </w:pPr>
          </w:p>
        </w:tc>
        <w:tc>
          <w:tcPr>
            <w:tcW w:w="1704" w:type="dxa"/>
          </w:tcPr>
          <w:p w14:paraId="23A7C786">
            <w:pPr>
              <w:spacing w:line="360" w:lineRule="auto"/>
              <w:rPr>
                <w:rFonts w:eastAsia="楷体_GB2312"/>
                <w:sz w:val="18"/>
                <w:lang w:eastAsia="zh-CN"/>
              </w:rPr>
            </w:pPr>
          </w:p>
        </w:tc>
      </w:tr>
    </w:tbl>
    <w:p w14:paraId="2A968897">
      <w:pPr>
        <w:spacing w:line="360" w:lineRule="auto"/>
        <w:rPr>
          <w:rFonts w:eastAsia="楷体_GB2312"/>
          <w:lang w:eastAsia="zh-CN"/>
        </w:rPr>
      </w:pPr>
    </w:p>
    <w:p w14:paraId="6C02DCFF">
      <w:pPr>
        <w:spacing w:line="360" w:lineRule="auto"/>
        <w:rPr>
          <w:rFonts w:eastAsia="楷体_GB2312"/>
          <w:lang w:eastAsia="zh-CN"/>
        </w:rPr>
      </w:pPr>
      <w:r>
        <w:rPr>
          <w:rFonts w:eastAsia="楷体_GB2312"/>
          <w:lang w:eastAsia="zh-CN"/>
        </w:rPr>
        <w:br w:type="page"/>
      </w:r>
    </w:p>
    <w:tbl>
      <w:tblPr>
        <w:tblStyle w:val="31"/>
        <w:tblW w:w="8613"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802"/>
        <w:gridCol w:w="5811"/>
      </w:tblGrid>
      <w:tr w14:paraId="696AA9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3" w:type="dxa"/>
            <w:gridSpan w:val="2"/>
            <w:tcBorders>
              <w:top w:val="single" w:color="auto" w:sz="4" w:space="0"/>
              <w:left w:val="single" w:color="auto" w:sz="4" w:space="0"/>
              <w:bottom w:val="single" w:color="auto" w:sz="4" w:space="0"/>
              <w:right w:val="single" w:color="auto" w:sz="4" w:space="0"/>
            </w:tcBorders>
            <w:vAlign w:val="center"/>
          </w:tcPr>
          <w:p w14:paraId="44E5222A">
            <w:pPr>
              <w:spacing w:line="360" w:lineRule="auto"/>
              <w:jc w:val="center"/>
              <w:rPr>
                <w:rFonts w:eastAsia="楷体_GB2312"/>
                <w:b/>
                <w:sz w:val="28"/>
                <w:lang w:eastAsia="zh-CN"/>
              </w:rPr>
            </w:pPr>
            <w:r>
              <w:rPr>
                <w:rFonts w:eastAsia="楷体_GB2312"/>
                <w:b/>
                <w:sz w:val="28"/>
                <w:lang w:eastAsia="zh-CN"/>
              </w:rPr>
              <w:t>【信托名称】</w:t>
            </w:r>
          </w:p>
          <w:p w14:paraId="255C8518">
            <w:pPr>
              <w:spacing w:line="360" w:lineRule="auto"/>
              <w:jc w:val="center"/>
              <w:rPr>
                <w:rFonts w:eastAsia="楷体_GB2312"/>
                <w:b/>
                <w:sz w:val="28"/>
                <w:lang w:eastAsia="zh-CN"/>
              </w:rPr>
            </w:pPr>
            <w:r>
              <w:rPr>
                <w:rFonts w:eastAsia="楷体_GB2312"/>
                <w:b/>
                <w:sz w:val="28"/>
                <w:lang w:eastAsia="zh-CN"/>
              </w:rPr>
              <w:t>受托机构月度/年度报告</w:t>
            </w:r>
          </w:p>
        </w:tc>
      </w:tr>
      <w:tr w14:paraId="31DE6E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3" w:type="dxa"/>
            <w:gridSpan w:val="2"/>
            <w:tcBorders>
              <w:left w:val="single" w:color="auto" w:sz="4" w:space="0"/>
              <w:bottom w:val="single" w:color="auto" w:sz="4" w:space="0"/>
              <w:right w:val="single" w:color="auto" w:sz="4" w:space="0"/>
            </w:tcBorders>
          </w:tcPr>
          <w:p w14:paraId="3BF1E3C2">
            <w:pPr>
              <w:rPr>
                <w:rFonts w:eastAsia="楷体_GB2312"/>
                <w:b/>
                <w:lang w:eastAsia="zh-CN"/>
              </w:rPr>
            </w:pPr>
            <w:r>
              <w:rPr>
                <w:rFonts w:eastAsia="楷体_GB2312"/>
                <w:b/>
                <w:lang w:eastAsia="zh-CN"/>
              </w:rPr>
              <w:t>二、证券概况</w:t>
            </w:r>
          </w:p>
          <w:p w14:paraId="49BB4F4F">
            <w:pPr>
              <w:rPr>
                <w:rFonts w:eastAsia="楷体_GB2312"/>
                <w:b/>
                <w:sz w:val="28"/>
                <w:lang w:eastAsia="zh-CN"/>
              </w:rPr>
            </w:pPr>
            <w:r>
              <w:rPr>
                <w:rFonts w:eastAsia="楷体_GB2312"/>
                <w:b/>
                <w:lang w:eastAsia="zh-CN"/>
              </w:rPr>
              <w:t>（一）资产支持证券日期概况：</w:t>
            </w:r>
          </w:p>
        </w:tc>
      </w:tr>
      <w:tr w14:paraId="78255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802" w:type="dxa"/>
            <w:tcBorders>
              <w:top w:val="single" w:color="auto" w:sz="4" w:space="0"/>
              <w:left w:val="single" w:color="auto" w:sz="4" w:space="0"/>
              <w:right w:val="single" w:color="auto" w:sz="4" w:space="0"/>
            </w:tcBorders>
            <w:vAlign w:val="center"/>
          </w:tcPr>
          <w:p w14:paraId="3D46E3AA">
            <w:pPr>
              <w:jc w:val="center"/>
              <w:rPr>
                <w:rFonts w:eastAsia="楷体_GB2312"/>
                <w:sz w:val="18"/>
                <w:szCs w:val="18"/>
                <w:lang w:eastAsia="zh-CN"/>
              </w:rPr>
            </w:pPr>
            <w:r>
              <w:rPr>
                <w:rFonts w:eastAsia="楷体_GB2312"/>
                <w:sz w:val="18"/>
                <w:szCs w:val="18"/>
                <w:lang w:eastAsia="zh-CN"/>
              </w:rPr>
              <w:t>信托生效日</w:t>
            </w:r>
          </w:p>
        </w:tc>
        <w:tc>
          <w:tcPr>
            <w:tcW w:w="5811" w:type="dxa"/>
            <w:tcBorders>
              <w:top w:val="single" w:color="auto" w:sz="4" w:space="0"/>
              <w:left w:val="single" w:color="auto" w:sz="4" w:space="0"/>
              <w:right w:val="single" w:color="auto" w:sz="4" w:space="0"/>
            </w:tcBorders>
            <w:vAlign w:val="center"/>
          </w:tcPr>
          <w:p w14:paraId="6398CE0B">
            <w:pPr>
              <w:jc w:val="center"/>
              <w:rPr>
                <w:rFonts w:eastAsia="楷体_GB2312"/>
                <w:sz w:val="18"/>
                <w:szCs w:val="18"/>
              </w:rPr>
            </w:pPr>
          </w:p>
        </w:tc>
      </w:tr>
      <w:tr w14:paraId="121ED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802" w:type="dxa"/>
            <w:tcBorders>
              <w:top w:val="single" w:color="auto" w:sz="4" w:space="0"/>
              <w:left w:val="single" w:color="auto" w:sz="4" w:space="0"/>
              <w:right w:val="single" w:color="auto" w:sz="4" w:space="0"/>
            </w:tcBorders>
            <w:vAlign w:val="center"/>
          </w:tcPr>
          <w:p w14:paraId="4C2C9AF9">
            <w:pPr>
              <w:jc w:val="center"/>
              <w:rPr>
                <w:rFonts w:eastAsia="楷体_GB2312"/>
                <w:sz w:val="18"/>
                <w:szCs w:val="18"/>
              </w:rPr>
            </w:pPr>
            <w:r>
              <w:rPr>
                <w:rFonts w:eastAsia="楷体_GB2312"/>
                <w:sz w:val="18"/>
                <w:szCs w:val="18"/>
              </w:rPr>
              <w:t>本期期初日</w:t>
            </w:r>
          </w:p>
        </w:tc>
        <w:tc>
          <w:tcPr>
            <w:tcW w:w="5811" w:type="dxa"/>
            <w:tcBorders>
              <w:top w:val="single" w:color="auto" w:sz="4" w:space="0"/>
              <w:left w:val="single" w:color="auto" w:sz="4" w:space="0"/>
              <w:right w:val="single" w:color="auto" w:sz="4" w:space="0"/>
            </w:tcBorders>
            <w:vAlign w:val="center"/>
          </w:tcPr>
          <w:p w14:paraId="664221FD">
            <w:pPr>
              <w:ind w:left="-122" w:leftChars="-51"/>
              <w:jc w:val="center"/>
              <w:rPr>
                <w:rFonts w:eastAsia="楷体_GB2312"/>
                <w:sz w:val="18"/>
                <w:szCs w:val="18"/>
              </w:rPr>
            </w:pPr>
          </w:p>
        </w:tc>
      </w:tr>
      <w:tr w14:paraId="7CEF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802" w:type="dxa"/>
            <w:tcBorders>
              <w:top w:val="single" w:color="auto" w:sz="4" w:space="0"/>
              <w:left w:val="single" w:color="auto" w:sz="4" w:space="0"/>
              <w:right w:val="single" w:color="auto" w:sz="4" w:space="0"/>
            </w:tcBorders>
            <w:vAlign w:val="center"/>
          </w:tcPr>
          <w:p w14:paraId="443C503C">
            <w:pPr>
              <w:jc w:val="center"/>
              <w:rPr>
                <w:rFonts w:eastAsia="楷体_GB2312"/>
                <w:sz w:val="18"/>
                <w:szCs w:val="18"/>
              </w:rPr>
            </w:pPr>
            <w:r>
              <w:rPr>
                <w:rFonts w:eastAsia="楷体_GB2312"/>
                <w:sz w:val="18"/>
                <w:szCs w:val="18"/>
              </w:rPr>
              <w:t>本期期末日</w:t>
            </w:r>
          </w:p>
        </w:tc>
        <w:tc>
          <w:tcPr>
            <w:tcW w:w="5811" w:type="dxa"/>
            <w:tcBorders>
              <w:top w:val="single" w:color="auto" w:sz="4" w:space="0"/>
              <w:left w:val="single" w:color="auto" w:sz="4" w:space="0"/>
              <w:right w:val="single" w:color="auto" w:sz="4" w:space="0"/>
            </w:tcBorders>
            <w:vAlign w:val="center"/>
          </w:tcPr>
          <w:p w14:paraId="58DEF87E">
            <w:pPr>
              <w:jc w:val="center"/>
              <w:rPr>
                <w:rFonts w:eastAsia="楷体_GB2312"/>
                <w:sz w:val="18"/>
                <w:szCs w:val="18"/>
              </w:rPr>
            </w:pPr>
          </w:p>
        </w:tc>
      </w:tr>
      <w:tr w14:paraId="3EC50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802" w:type="dxa"/>
            <w:tcBorders>
              <w:top w:val="single" w:color="auto" w:sz="4" w:space="0"/>
              <w:left w:val="single" w:color="auto" w:sz="4" w:space="0"/>
              <w:right w:val="single" w:color="auto" w:sz="4" w:space="0"/>
            </w:tcBorders>
            <w:vAlign w:val="center"/>
          </w:tcPr>
          <w:p w14:paraId="1B5BD442">
            <w:pPr>
              <w:jc w:val="center"/>
              <w:rPr>
                <w:rFonts w:eastAsia="楷体_GB2312"/>
                <w:sz w:val="18"/>
                <w:szCs w:val="18"/>
              </w:rPr>
            </w:pPr>
            <w:r>
              <w:rPr>
                <w:rFonts w:eastAsia="楷体_GB2312"/>
                <w:sz w:val="18"/>
                <w:szCs w:val="18"/>
              </w:rPr>
              <w:t>计息方式</w:t>
            </w:r>
          </w:p>
        </w:tc>
        <w:tc>
          <w:tcPr>
            <w:tcW w:w="5811" w:type="dxa"/>
            <w:tcBorders>
              <w:top w:val="single" w:color="auto" w:sz="4" w:space="0"/>
              <w:left w:val="single" w:color="auto" w:sz="4" w:space="0"/>
              <w:right w:val="single" w:color="auto" w:sz="4" w:space="0"/>
            </w:tcBorders>
            <w:vAlign w:val="center"/>
          </w:tcPr>
          <w:p w14:paraId="2CEA978F">
            <w:pPr>
              <w:jc w:val="center"/>
              <w:rPr>
                <w:rFonts w:eastAsia="楷体_GB2312"/>
                <w:sz w:val="18"/>
                <w:szCs w:val="18"/>
              </w:rPr>
            </w:pPr>
          </w:p>
        </w:tc>
      </w:tr>
    </w:tbl>
    <w:p w14:paraId="280BBCA4">
      <w:pPr>
        <w:spacing w:line="360" w:lineRule="auto"/>
        <w:rPr>
          <w:rFonts w:eastAsia="楷体_GB2312"/>
        </w:rPr>
      </w:pPr>
    </w:p>
    <w:p w14:paraId="65509A52">
      <w:pPr>
        <w:spacing w:line="360" w:lineRule="auto"/>
        <w:rPr>
          <w:rFonts w:eastAsia="楷体_GB2312"/>
        </w:rPr>
      </w:pPr>
      <w:r>
        <w:rPr>
          <w:rFonts w:eastAsia="楷体_GB2312"/>
        </w:rPr>
        <w:br w:type="page"/>
      </w:r>
    </w:p>
    <w:tbl>
      <w:tblPr>
        <w:tblStyle w:val="31"/>
        <w:tblW w:w="899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40"/>
        <w:gridCol w:w="1652"/>
        <w:gridCol w:w="1778"/>
        <w:gridCol w:w="1652"/>
        <w:gridCol w:w="1652"/>
        <w:gridCol w:w="1016"/>
      </w:tblGrid>
      <w:tr w14:paraId="60176E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trPr>
        <w:tc>
          <w:tcPr>
            <w:tcW w:w="8990" w:type="dxa"/>
            <w:gridSpan w:val="6"/>
            <w:tcBorders>
              <w:bottom w:val="single" w:color="auto" w:sz="4" w:space="0"/>
            </w:tcBorders>
          </w:tcPr>
          <w:p w14:paraId="603D2536">
            <w:pPr>
              <w:jc w:val="center"/>
              <w:rPr>
                <w:rFonts w:eastAsia="楷体_GB2312"/>
                <w:b/>
                <w:sz w:val="28"/>
                <w:lang w:eastAsia="zh-CN"/>
              </w:rPr>
            </w:pPr>
            <w:r>
              <w:rPr>
                <w:rFonts w:eastAsia="楷体_GB2312"/>
                <w:b/>
                <w:sz w:val="28"/>
                <w:lang w:eastAsia="zh-CN"/>
              </w:rPr>
              <w:t>【信托名称】</w:t>
            </w:r>
          </w:p>
          <w:p w14:paraId="24C97843">
            <w:pPr>
              <w:jc w:val="center"/>
              <w:rPr>
                <w:rFonts w:eastAsia="楷体_GB2312"/>
                <w:b/>
                <w:sz w:val="28"/>
                <w:lang w:eastAsia="zh-CN"/>
              </w:rPr>
            </w:pPr>
            <w:r>
              <w:rPr>
                <w:rFonts w:eastAsia="楷体_GB2312"/>
                <w:b/>
                <w:sz w:val="28"/>
                <w:lang w:eastAsia="zh-CN"/>
              </w:rPr>
              <w:t>受托机构月度/年度报告</w:t>
            </w:r>
          </w:p>
        </w:tc>
      </w:tr>
      <w:tr w14:paraId="394F93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8990" w:type="dxa"/>
            <w:gridSpan w:val="6"/>
            <w:tcBorders>
              <w:top w:val="single" w:color="auto" w:sz="4" w:space="0"/>
              <w:bottom w:val="nil"/>
            </w:tcBorders>
          </w:tcPr>
          <w:p w14:paraId="7DF899EB">
            <w:pPr>
              <w:rPr>
                <w:rFonts w:eastAsia="楷体_GB2312"/>
                <w:b/>
                <w:lang w:eastAsia="zh-CN"/>
              </w:rPr>
            </w:pPr>
            <w:r>
              <w:rPr>
                <w:rFonts w:eastAsia="楷体_GB2312"/>
                <w:b/>
                <w:lang w:eastAsia="zh-CN"/>
              </w:rPr>
              <w:t>二、证券概况（续）</w:t>
            </w:r>
          </w:p>
          <w:p w14:paraId="4535BAE4">
            <w:pPr>
              <w:rPr>
                <w:rFonts w:eastAsia="楷体_GB2312"/>
                <w:b/>
                <w:lang w:eastAsia="zh-CN"/>
              </w:rPr>
            </w:pPr>
            <w:r>
              <w:rPr>
                <w:rFonts w:eastAsia="楷体_GB2312"/>
                <w:b/>
                <w:lang w:eastAsia="zh-CN"/>
              </w:rPr>
              <w:t>（二）各档次证券的本金、利息兑付情况</w:t>
            </w:r>
          </w:p>
        </w:tc>
      </w:tr>
      <w:tr w14:paraId="1B0349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1240" w:type="dxa"/>
            <w:tcBorders>
              <w:top w:val="single" w:color="auto" w:sz="4" w:space="0"/>
              <w:bottom w:val="single" w:color="auto" w:sz="4" w:space="0"/>
              <w:right w:val="single" w:color="auto" w:sz="4" w:space="0"/>
            </w:tcBorders>
            <w:vAlign w:val="center"/>
          </w:tcPr>
          <w:p w14:paraId="3CE0F4F7">
            <w:pPr>
              <w:jc w:val="center"/>
              <w:rPr>
                <w:rFonts w:eastAsia="楷体_GB2312"/>
                <w:b/>
                <w:sz w:val="18"/>
              </w:rPr>
            </w:pPr>
            <w:r>
              <w:rPr>
                <w:rFonts w:eastAsia="楷体_GB2312"/>
                <w:b/>
                <w:sz w:val="18"/>
              </w:rPr>
              <w:t>证券</w:t>
            </w:r>
            <w:r>
              <w:rPr>
                <w:rFonts w:eastAsia="楷体_GB2312"/>
                <w:b/>
                <w:sz w:val="20"/>
                <w:szCs w:val="20"/>
                <w:lang w:eastAsia="zh-CN"/>
              </w:rPr>
              <w:t>名称</w:t>
            </w:r>
          </w:p>
        </w:tc>
        <w:tc>
          <w:tcPr>
            <w:tcW w:w="1652" w:type="dxa"/>
            <w:tcBorders>
              <w:top w:val="single" w:color="auto" w:sz="4" w:space="0"/>
              <w:left w:val="single" w:color="auto" w:sz="4" w:space="0"/>
              <w:bottom w:val="single" w:color="auto" w:sz="4" w:space="0"/>
              <w:right w:val="single" w:color="auto" w:sz="4" w:space="0"/>
            </w:tcBorders>
            <w:vAlign w:val="center"/>
          </w:tcPr>
          <w:p w14:paraId="1D228C83">
            <w:pPr>
              <w:keepNext/>
              <w:keepLines/>
              <w:ind w:right="-286" w:rightChars="-119"/>
              <w:jc w:val="center"/>
              <w:rPr>
                <w:rFonts w:eastAsia="楷体_GB2312"/>
                <w:b/>
                <w:sz w:val="20"/>
                <w:szCs w:val="20"/>
              </w:rPr>
            </w:pPr>
            <w:r>
              <w:rPr>
                <w:rFonts w:eastAsia="楷体_GB2312"/>
                <w:b/>
                <w:sz w:val="20"/>
                <w:szCs w:val="20"/>
                <w:lang w:eastAsia="zh-CN"/>
              </w:rPr>
              <w:t>信托生效日</w:t>
            </w:r>
            <w:r>
              <w:rPr>
                <w:rFonts w:eastAsia="楷体_GB2312"/>
                <w:b/>
                <w:sz w:val="20"/>
                <w:szCs w:val="20"/>
              </w:rPr>
              <w:t>余额</w:t>
            </w:r>
          </w:p>
        </w:tc>
        <w:tc>
          <w:tcPr>
            <w:tcW w:w="1778" w:type="dxa"/>
            <w:tcBorders>
              <w:top w:val="single" w:color="auto" w:sz="4" w:space="0"/>
              <w:left w:val="single" w:color="auto" w:sz="4" w:space="0"/>
              <w:bottom w:val="single" w:color="auto" w:sz="4" w:space="0"/>
              <w:right w:val="single" w:color="auto" w:sz="4" w:space="0"/>
            </w:tcBorders>
            <w:vAlign w:val="center"/>
          </w:tcPr>
          <w:p w14:paraId="51753CD4">
            <w:pPr>
              <w:keepNext/>
              <w:keepLines/>
              <w:jc w:val="center"/>
              <w:rPr>
                <w:rFonts w:eastAsia="楷体_GB2312"/>
                <w:b/>
                <w:sz w:val="20"/>
                <w:szCs w:val="20"/>
              </w:rPr>
            </w:pPr>
            <w:r>
              <w:rPr>
                <w:rFonts w:eastAsia="楷体_GB2312"/>
                <w:b/>
                <w:sz w:val="20"/>
                <w:szCs w:val="20"/>
              </w:rPr>
              <w:t>本期期初余额</w:t>
            </w:r>
          </w:p>
        </w:tc>
        <w:tc>
          <w:tcPr>
            <w:tcW w:w="1652" w:type="dxa"/>
            <w:tcBorders>
              <w:top w:val="single" w:color="auto" w:sz="4" w:space="0"/>
              <w:left w:val="single" w:color="auto" w:sz="4" w:space="0"/>
              <w:bottom w:val="single" w:color="auto" w:sz="4" w:space="0"/>
              <w:right w:val="single" w:color="auto" w:sz="4" w:space="0"/>
            </w:tcBorders>
            <w:vAlign w:val="center"/>
          </w:tcPr>
          <w:p w14:paraId="19AB768C">
            <w:pPr>
              <w:keepNext/>
              <w:keepLines/>
              <w:jc w:val="center"/>
              <w:rPr>
                <w:rFonts w:eastAsia="楷体_GB2312"/>
                <w:b/>
                <w:sz w:val="20"/>
                <w:szCs w:val="20"/>
              </w:rPr>
            </w:pPr>
            <w:r>
              <w:rPr>
                <w:rFonts w:eastAsia="楷体_GB2312"/>
                <w:b/>
                <w:sz w:val="20"/>
                <w:szCs w:val="20"/>
              </w:rPr>
              <w:t>本期本金还款</w:t>
            </w:r>
          </w:p>
        </w:tc>
        <w:tc>
          <w:tcPr>
            <w:tcW w:w="1652" w:type="dxa"/>
            <w:tcBorders>
              <w:top w:val="single" w:color="auto" w:sz="4" w:space="0"/>
              <w:left w:val="single" w:color="auto" w:sz="4" w:space="0"/>
              <w:bottom w:val="single" w:color="auto" w:sz="4" w:space="0"/>
              <w:right w:val="single" w:color="auto" w:sz="4" w:space="0"/>
            </w:tcBorders>
            <w:vAlign w:val="center"/>
          </w:tcPr>
          <w:p w14:paraId="61EF910E">
            <w:pPr>
              <w:keepNext/>
              <w:keepLines/>
              <w:jc w:val="center"/>
              <w:rPr>
                <w:rFonts w:eastAsia="楷体_GB2312"/>
                <w:b/>
                <w:sz w:val="20"/>
                <w:szCs w:val="20"/>
              </w:rPr>
            </w:pPr>
            <w:r>
              <w:rPr>
                <w:rFonts w:eastAsia="楷体_GB2312"/>
                <w:b/>
                <w:sz w:val="20"/>
                <w:szCs w:val="20"/>
              </w:rPr>
              <w:t>本期期末余额</w:t>
            </w:r>
          </w:p>
        </w:tc>
        <w:tc>
          <w:tcPr>
            <w:tcW w:w="1016" w:type="dxa"/>
            <w:tcBorders>
              <w:top w:val="single" w:color="auto" w:sz="4" w:space="0"/>
              <w:left w:val="single" w:color="auto" w:sz="4" w:space="0"/>
              <w:bottom w:val="single" w:color="auto" w:sz="4" w:space="0"/>
            </w:tcBorders>
            <w:vAlign w:val="center"/>
          </w:tcPr>
          <w:p w14:paraId="3E9CA8C4">
            <w:pPr>
              <w:keepNext/>
              <w:keepLines/>
              <w:jc w:val="center"/>
              <w:rPr>
                <w:rFonts w:eastAsia="楷体_GB2312"/>
                <w:b/>
                <w:sz w:val="20"/>
                <w:szCs w:val="20"/>
              </w:rPr>
            </w:pPr>
            <w:r>
              <w:rPr>
                <w:rFonts w:eastAsia="楷体_GB2312"/>
                <w:b/>
                <w:sz w:val="20"/>
                <w:szCs w:val="20"/>
              </w:rPr>
              <w:t>兑付比例</w:t>
            </w:r>
          </w:p>
        </w:tc>
      </w:tr>
      <w:tr w14:paraId="7CB23C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3" w:hRule="atLeast"/>
        </w:trPr>
        <w:tc>
          <w:tcPr>
            <w:tcW w:w="1240" w:type="dxa"/>
            <w:tcBorders>
              <w:top w:val="single" w:color="auto" w:sz="4" w:space="0"/>
              <w:bottom w:val="single" w:color="auto" w:sz="4" w:space="0"/>
              <w:right w:val="single" w:color="auto" w:sz="4" w:space="0"/>
            </w:tcBorders>
            <w:vAlign w:val="center"/>
          </w:tcPr>
          <w:p w14:paraId="6827E60D">
            <w:pPr>
              <w:jc w:val="center"/>
              <w:rPr>
                <w:rFonts w:eastAsia="楷体_GB2312"/>
                <w:sz w:val="18"/>
                <w:szCs w:val="18"/>
                <w:lang w:eastAsia="zh-CN"/>
              </w:rPr>
            </w:pPr>
            <w:r>
              <w:rPr>
                <w:rFonts w:eastAsia="楷体_GB2312"/>
                <w:sz w:val="18"/>
                <w:szCs w:val="18"/>
              </w:rPr>
              <w:t>优先级</w:t>
            </w:r>
          </w:p>
        </w:tc>
        <w:tc>
          <w:tcPr>
            <w:tcW w:w="1652" w:type="dxa"/>
            <w:tcBorders>
              <w:top w:val="single" w:color="auto" w:sz="4" w:space="0"/>
              <w:left w:val="single" w:color="auto" w:sz="4" w:space="0"/>
              <w:bottom w:val="single" w:color="auto" w:sz="4" w:space="0"/>
              <w:right w:val="single" w:color="auto" w:sz="4" w:space="0"/>
            </w:tcBorders>
            <w:vAlign w:val="center"/>
          </w:tcPr>
          <w:p w14:paraId="5DB17B27">
            <w:pPr>
              <w:jc w:val="center"/>
              <w:rPr>
                <w:rFonts w:eastAsia="楷体_GB2312"/>
                <w:b/>
                <w:sz w:val="18"/>
                <w:szCs w:val="18"/>
              </w:rPr>
            </w:pPr>
          </w:p>
        </w:tc>
        <w:tc>
          <w:tcPr>
            <w:tcW w:w="1778" w:type="dxa"/>
            <w:tcBorders>
              <w:top w:val="single" w:color="auto" w:sz="4" w:space="0"/>
              <w:left w:val="single" w:color="auto" w:sz="4" w:space="0"/>
              <w:bottom w:val="single" w:color="auto" w:sz="4" w:space="0"/>
              <w:right w:val="single" w:color="auto" w:sz="4" w:space="0"/>
            </w:tcBorders>
            <w:vAlign w:val="center"/>
          </w:tcPr>
          <w:p w14:paraId="7CCE7FB9">
            <w:pPr>
              <w:jc w:val="center"/>
              <w:rPr>
                <w:rFonts w:eastAsia="楷体_GB2312"/>
                <w:b/>
                <w:sz w:val="18"/>
                <w:szCs w:val="18"/>
              </w:rPr>
            </w:pPr>
          </w:p>
        </w:tc>
        <w:tc>
          <w:tcPr>
            <w:tcW w:w="1652" w:type="dxa"/>
            <w:tcBorders>
              <w:top w:val="single" w:color="auto" w:sz="4" w:space="0"/>
              <w:left w:val="single" w:color="auto" w:sz="4" w:space="0"/>
              <w:bottom w:val="single" w:color="auto" w:sz="4" w:space="0"/>
              <w:right w:val="single" w:color="auto" w:sz="4" w:space="0"/>
            </w:tcBorders>
            <w:vAlign w:val="center"/>
          </w:tcPr>
          <w:p w14:paraId="1906E661">
            <w:pPr>
              <w:jc w:val="center"/>
              <w:rPr>
                <w:rFonts w:eastAsia="楷体_GB2312"/>
                <w:b/>
                <w:sz w:val="18"/>
                <w:szCs w:val="18"/>
              </w:rPr>
            </w:pPr>
          </w:p>
        </w:tc>
        <w:tc>
          <w:tcPr>
            <w:tcW w:w="1652" w:type="dxa"/>
            <w:tcBorders>
              <w:top w:val="single" w:color="auto" w:sz="4" w:space="0"/>
              <w:left w:val="single" w:color="auto" w:sz="4" w:space="0"/>
              <w:bottom w:val="single" w:color="auto" w:sz="4" w:space="0"/>
              <w:right w:val="single" w:color="auto" w:sz="4" w:space="0"/>
            </w:tcBorders>
            <w:vAlign w:val="center"/>
          </w:tcPr>
          <w:p w14:paraId="38C0C89E">
            <w:pPr>
              <w:jc w:val="center"/>
              <w:rPr>
                <w:rFonts w:eastAsia="楷体_GB2312"/>
                <w:b/>
                <w:sz w:val="18"/>
                <w:szCs w:val="18"/>
              </w:rPr>
            </w:pPr>
          </w:p>
        </w:tc>
        <w:tc>
          <w:tcPr>
            <w:tcW w:w="1016" w:type="dxa"/>
            <w:tcBorders>
              <w:top w:val="single" w:color="auto" w:sz="4" w:space="0"/>
              <w:left w:val="single" w:color="auto" w:sz="4" w:space="0"/>
              <w:bottom w:val="single" w:color="auto" w:sz="4" w:space="0"/>
            </w:tcBorders>
            <w:vAlign w:val="center"/>
          </w:tcPr>
          <w:p w14:paraId="56DD23C6">
            <w:pPr>
              <w:jc w:val="center"/>
              <w:rPr>
                <w:rFonts w:eastAsia="楷体_GB2312"/>
                <w:b/>
                <w:sz w:val="18"/>
                <w:szCs w:val="18"/>
              </w:rPr>
            </w:pPr>
          </w:p>
        </w:tc>
      </w:tr>
      <w:tr w14:paraId="6EB09A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3" w:hRule="atLeast"/>
        </w:trPr>
        <w:tc>
          <w:tcPr>
            <w:tcW w:w="1240" w:type="dxa"/>
            <w:tcBorders>
              <w:top w:val="single" w:color="auto" w:sz="4" w:space="0"/>
              <w:bottom w:val="single" w:color="auto" w:sz="4" w:space="0"/>
              <w:right w:val="single" w:color="auto" w:sz="4" w:space="0"/>
            </w:tcBorders>
            <w:vAlign w:val="center"/>
          </w:tcPr>
          <w:p w14:paraId="5CCC637F">
            <w:pPr>
              <w:jc w:val="center"/>
              <w:rPr>
                <w:rFonts w:eastAsia="楷体_GB2312"/>
                <w:b/>
                <w:sz w:val="18"/>
                <w:szCs w:val="18"/>
                <w:lang w:eastAsia="zh-CN"/>
              </w:rPr>
            </w:pPr>
            <w:r>
              <w:rPr>
                <w:rFonts w:eastAsia="楷体_GB2312"/>
                <w:sz w:val="18"/>
                <w:lang w:eastAsia="zh-CN"/>
              </w:rPr>
              <w:t>次级</w:t>
            </w:r>
          </w:p>
        </w:tc>
        <w:tc>
          <w:tcPr>
            <w:tcW w:w="1652" w:type="dxa"/>
            <w:tcBorders>
              <w:top w:val="single" w:color="auto" w:sz="4" w:space="0"/>
              <w:left w:val="single" w:color="auto" w:sz="4" w:space="0"/>
              <w:bottom w:val="single" w:color="auto" w:sz="4" w:space="0"/>
              <w:right w:val="single" w:color="auto" w:sz="4" w:space="0"/>
            </w:tcBorders>
            <w:vAlign w:val="center"/>
          </w:tcPr>
          <w:p w14:paraId="2811E0C5">
            <w:pPr>
              <w:jc w:val="center"/>
              <w:rPr>
                <w:rFonts w:eastAsia="楷体_GB2312"/>
                <w:b/>
                <w:sz w:val="18"/>
                <w:szCs w:val="18"/>
              </w:rPr>
            </w:pPr>
          </w:p>
        </w:tc>
        <w:tc>
          <w:tcPr>
            <w:tcW w:w="1778" w:type="dxa"/>
            <w:tcBorders>
              <w:top w:val="single" w:color="auto" w:sz="4" w:space="0"/>
              <w:left w:val="single" w:color="auto" w:sz="4" w:space="0"/>
              <w:bottom w:val="single" w:color="auto" w:sz="4" w:space="0"/>
              <w:right w:val="single" w:color="auto" w:sz="4" w:space="0"/>
            </w:tcBorders>
            <w:vAlign w:val="center"/>
          </w:tcPr>
          <w:p w14:paraId="50E8B30B">
            <w:pPr>
              <w:jc w:val="center"/>
              <w:rPr>
                <w:rFonts w:eastAsia="楷体_GB2312"/>
                <w:b/>
                <w:sz w:val="18"/>
                <w:szCs w:val="18"/>
              </w:rPr>
            </w:pPr>
          </w:p>
        </w:tc>
        <w:tc>
          <w:tcPr>
            <w:tcW w:w="1652" w:type="dxa"/>
            <w:tcBorders>
              <w:top w:val="single" w:color="auto" w:sz="4" w:space="0"/>
              <w:left w:val="single" w:color="auto" w:sz="4" w:space="0"/>
              <w:bottom w:val="single" w:color="auto" w:sz="4" w:space="0"/>
              <w:right w:val="single" w:color="auto" w:sz="4" w:space="0"/>
            </w:tcBorders>
            <w:vAlign w:val="center"/>
          </w:tcPr>
          <w:p w14:paraId="0A297FCC">
            <w:pPr>
              <w:jc w:val="center"/>
              <w:rPr>
                <w:rFonts w:eastAsia="楷体_GB2312"/>
                <w:b/>
                <w:sz w:val="18"/>
                <w:szCs w:val="18"/>
              </w:rPr>
            </w:pPr>
          </w:p>
        </w:tc>
        <w:tc>
          <w:tcPr>
            <w:tcW w:w="1652" w:type="dxa"/>
            <w:tcBorders>
              <w:top w:val="single" w:color="auto" w:sz="4" w:space="0"/>
              <w:left w:val="single" w:color="auto" w:sz="4" w:space="0"/>
              <w:bottom w:val="single" w:color="auto" w:sz="4" w:space="0"/>
              <w:right w:val="single" w:color="auto" w:sz="4" w:space="0"/>
            </w:tcBorders>
            <w:vAlign w:val="center"/>
          </w:tcPr>
          <w:p w14:paraId="75185D91">
            <w:pPr>
              <w:jc w:val="center"/>
              <w:rPr>
                <w:rFonts w:eastAsia="楷体_GB2312"/>
                <w:b/>
                <w:sz w:val="18"/>
                <w:szCs w:val="18"/>
              </w:rPr>
            </w:pPr>
          </w:p>
        </w:tc>
        <w:tc>
          <w:tcPr>
            <w:tcW w:w="1016" w:type="dxa"/>
            <w:tcBorders>
              <w:top w:val="single" w:color="auto" w:sz="4" w:space="0"/>
              <w:left w:val="single" w:color="auto" w:sz="4" w:space="0"/>
              <w:bottom w:val="single" w:color="auto" w:sz="4" w:space="0"/>
            </w:tcBorders>
            <w:vAlign w:val="center"/>
          </w:tcPr>
          <w:p w14:paraId="42CA872D">
            <w:pPr>
              <w:jc w:val="center"/>
              <w:rPr>
                <w:rFonts w:eastAsia="楷体_GB2312"/>
                <w:b/>
                <w:sz w:val="18"/>
                <w:szCs w:val="18"/>
              </w:rPr>
            </w:pPr>
          </w:p>
        </w:tc>
      </w:tr>
    </w:tbl>
    <w:p w14:paraId="082F4899">
      <w:pPr>
        <w:spacing w:line="360" w:lineRule="auto"/>
        <w:jc w:val="center"/>
        <w:rPr>
          <w:rFonts w:eastAsia="楷体_GB2312"/>
        </w:rPr>
      </w:pPr>
    </w:p>
    <w:tbl>
      <w:tblPr>
        <w:tblStyle w:val="31"/>
        <w:tblW w:w="8954"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10"/>
        <w:gridCol w:w="1408"/>
        <w:gridCol w:w="1418"/>
        <w:gridCol w:w="1559"/>
        <w:gridCol w:w="1276"/>
        <w:gridCol w:w="1274"/>
        <w:gridCol w:w="909"/>
      </w:tblGrid>
      <w:tr w14:paraId="046073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8954" w:type="dxa"/>
            <w:gridSpan w:val="7"/>
            <w:tcBorders>
              <w:bottom w:val="single" w:color="auto" w:sz="4" w:space="0"/>
            </w:tcBorders>
            <w:vAlign w:val="center"/>
          </w:tcPr>
          <w:p w14:paraId="1900C9F6">
            <w:pPr>
              <w:jc w:val="center"/>
              <w:rPr>
                <w:rFonts w:eastAsia="楷体_GB2312"/>
                <w:b/>
                <w:sz w:val="28"/>
                <w:lang w:eastAsia="zh-CN"/>
              </w:rPr>
            </w:pPr>
            <w:r>
              <w:rPr>
                <w:rFonts w:eastAsia="楷体_GB2312"/>
                <w:b/>
                <w:sz w:val="28"/>
                <w:lang w:eastAsia="zh-CN"/>
              </w:rPr>
              <w:t>【信托名称】</w:t>
            </w:r>
          </w:p>
          <w:p w14:paraId="4E509492">
            <w:pPr>
              <w:jc w:val="center"/>
              <w:rPr>
                <w:rFonts w:eastAsia="楷体_GB2312"/>
                <w:b/>
                <w:sz w:val="28"/>
                <w:lang w:eastAsia="zh-CN"/>
              </w:rPr>
            </w:pPr>
            <w:r>
              <w:rPr>
                <w:rFonts w:eastAsia="楷体_GB2312"/>
                <w:b/>
                <w:sz w:val="28"/>
                <w:lang w:eastAsia="zh-CN"/>
              </w:rPr>
              <w:t>受托机构月度/年度报告</w:t>
            </w:r>
          </w:p>
        </w:tc>
      </w:tr>
      <w:tr w14:paraId="6E06F3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8045" w:type="dxa"/>
            <w:gridSpan w:val="6"/>
            <w:tcBorders>
              <w:top w:val="single" w:color="auto" w:sz="4" w:space="0"/>
              <w:bottom w:val="nil"/>
            </w:tcBorders>
          </w:tcPr>
          <w:p w14:paraId="0335A355">
            <w:pPr>
              <w:rPr>
                <w:rFonts w:eastAsia="楷体_GB2312"/>
                <w:b/>
                <w:lang w:eastAsia="zh-CN"/>
              </w:rPr>
            </w:pPr>
            <w:r>
              <w:rPr>
                <w:rFonts w:eastAsia="楷体_GB2312"/>
                <w:b/>
                <w:lang w:eastAsia="zh-CN"/>
              </w:rPr>
              <w:t>二、证券概况（续）</w:t>
            </w:r>
          </w:p>
          <w:p w14:paraId="3BC7955F">
            <w:pPr>
              <w:rPr>
                <w:rFonts w:eastAsia="楷体_GB2312"/>
                <w:b/>
                <w:lang w:eastAsia="zh-CN"/>
              </w:rPr>
            </w:pPr>
            <w:r>
              <w:rPr>
                <w:rFonts w:eastAsia="楷体_GB2312"/>
                <w:b/>
                <w:lang w:eastAsia="zh-CN"/>
              </w:rPr>
              <w:t>（三）各档次证券的本金、利息兑付情况（续）</w:t>
            </w:r>
          </w:p>
        </w:tc>
        <w:tc>
          <w:tcPr>
            <w:tcW w:w="909" w:type="dxa"/>
            <w:tcBorders>
              <w:top w:val="single" w:color="auto" w:sz="4" w:space="0"/>
              <w:bottom w:val="nil"/>
            </w:tcBorders>
          </w:tcPr>
          <w:p w14:paraId="72BA3EC5">
            <w:pPr>
              <w:rPr>
                <w:rFonts w:eastAsia="楷体_GB2312"/>
                <w:b/>
                <w:lang w:eastAsia="zh-CN"/>
              </w:rPr>
            </w:pPr>
          </w:p>
        </w:tc>
      </w:tr>
      <w:tr w14:paraId="5004E1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110" w:type="dxa"/>
            <w:tcBorders>
              <w:top w:val="single" w:color="auto" w:sz="4" w:space="0"/>
              <w:bottom w:val="single" w:color="auto" w:sz="4" w:space="0"/>
              <w:right w:val="single" w:color="auto" w:sz="4" w:space="0"/>
            </w:tcBorders>
            <w:vAlign w:val="center"/>
          </w:tcPr>
          <w:p w14:paraId="1BBAE003">
            <w:pPr>
              <w:jc w:val="center"/>
              <w:rPr>
                <w:rFonts w:eastAsia="楷体_GB2312"/>
                <w:b/>
                <w:sz w:val="18"/>
              </w:rPr>
            </w:pPr>
            <w:r>
              <w:rPr>
                <w:rFonts w:eastAsia="楷体_GB2312"/>
                <w:b/>
                <w:sz w:val="18"/>
              </w:rPr>
              <w:t>证券名称</w:t>
            </w:r>
          </w:p>
        </w:tc>
        <w:tc>
          <w:tcPr>
            <w:tcW w:w="1408" w:type="dxa"/>
            <w:tcBorders>
              <w:top w:val="single" w:color="auto" w:sz="4" w:space="0"/>
              <w:left w:val="single" w:color="auto" w:sz="4" w:space="0"/>
              <w:bottom w:val="single" w:color="auto" w:sz="4" w:space="0"/>
              <w:right w:val="single" w:color="auto" w:sz="4" w:space="0"/>
            </w:tcBorders>
            <w:vAlign w:val="center"/>
          </w:tcPr>
          <w:p w14:paraId="6B30A0F0">
            <w:pPr>
              <w:keepNext/>
              <w:keepLines/>
              <w:ind w:right="-286" w:rightChars="-119"/>
              <w:jc w:val="center"/>
              <w:rPr>
                <w:rFonts w:eastAsia="楷体_GB2312"/>
                <w:b/>
                <w:sz w:val="20"/>
                <w:szCs w:val="20"/>
                <w:lang w:eastAsia="zh-CN"/>
              </w:rPr>
            </w:pPr>
            <w:r>
              <w:rPr>
                <w:rFonts w:eastAsia="楷体_GB2312"/>
                <w:b/>
                <w:sz w:val="20"/>
                <w:szCs w:val="20"/>
                <w:lang w:eastAsia="zh-CN"/>
              </w:rPr>
              <w:t>证券执行利率</w:t>
            </w:r>
          </w:p>
        </w:tc>
        <w:tc>
          <w:tcPr>
            <w:tcW w:w="1418" w:type="dxa"/>
            <w:tcBorders>
              <w:top w:val="single" w:color="auto" w:sz="4" w:space="0"/>
              <w:left w:val="single" w:color="auto" w:sz="4" w:space="0"/>
              <w:bottom w:val="single" w:color="auto" w:sz="4" w:space="0"/>
              <w:right w:val="single" w:color="auto" w:sz="4" w:space="0"/>
            </w:tcBorders>
            <w:vAlign w:val="center"/>
          </w:tcPr>
          <w:p w14:paraId="439B0CD3">
            <w:pPr>
              <w:keepNext/>
              <w:keepLines/>
              <w:jc w:val="center"/>
              <w:rPr>
                <w:rFonts w:eastAsia="楷体_GB2312"/>
                <w:b/>
                <w:sz w:val="20"/>
                <w:szCs w:val="20"/>
                <w:lang w:eastAsia="zh-CN"/>
              </w:rPr>
            </w:pPr>
            <w:r>
              <w:rPr>
                <w:rFonts w:eastAsia="楷体_GB2312"/>
                <w:b/>
                <w:sz w:val="20"/>
                <w:szCs w:val="20"/>
                <w:lang w:eastAsia="zh-CN"/>
              </w:rPr>
              <w:t>利息支付金额</w:t>
            </w:r>
          </w:p>
        </w:tc>
        <w:tc>
          <w:tcPr>
            <w:tcW w:w="1559" w:type="dxa"/>
            <w:tcBorders>
              <w:top w:val="single" w:color="auto" w:sz="4" w:space="0"/>
              <w:left w:val="single" w:color="auto" w:sz="4" w:space="0"/>
              <w:bottom w:val="single" w:color="auto" w:sz="4" w:space="0"/>
              <w:right w:val="single" w:color="auto" w:sz="4" w:space="0"/>
            </w:tcBorders>
            <w:vAlign w:val="center"/>
          </w:tcPr>
          <w:p w14:paraId="2E47DB63">
            <w:pPr>
              <w:keepNext/>
              <w:keepLines/>
              <w:jc w:val="center"/>
              <w:rPr>
                <w:rFonts w:eastAsia="楷体_GB2312"/>
                <w:b/>
                <w:sz w:val="20"/>
                <w:szCs w:val="20"/>
                <w:lang w:eastAsia="zh-CN"/>
              </w:rPr>
            </w:pPr>
            <w:r>
              <w:rPr>
                <w:rFonts w:eastAsia="楷体_GB2312"/>
                <w:b/>
                <w:sz w:val="20"/>
                <w:szCs w:val="20"/>
                <w:lang w:eastAsia="zh-CN"/>
              </w:rPr>
              <w:t>每100元支付利息</w:t>
            </w:r>
          </w:p>
        </w:tc>
        <w:tc>
          <w:tcPr>
            <w:tcW w:w="1276" w:type="dxa"/>
            <w:tcBorders>
              <w:top w:val="single" w:color="auto" w:sz="4" w:space="0"/>
              <w:left w:val="single" w:color="auto" w:sz="4" w:space="0"/>
              <w:bottom w:val="single" w:color="auto" w:sz="4" w:space="0"/>
              <w:right w:val="single" w:color="auto" w:sz="4" w:space="0"/>
            </w:tcBorders>
            <w:vAlign w:val="center"/>
          </w:tcPr>
          <w:p w14:paraId="15B82B8D">
            <w:pPr>
              <w:keepNext/>
              <w:keepLines/>
              <w:jc w:val="center"/>
              <w:rPr>
                <w:rFonts w:eastAsia="楷体_GB2312"/>
                <w:b/>
                <w:sz w:val="20"/>
                <w:szCs w:val="20"/>
                <w:lang w:eastAsia="zh-CN"/>
              </w:rPr>
            </w:pPr>
            <w:r>
              <w:rPr>
                <w:rFonts w:eastAsia="楷体_GB2312"/>
                <w:b/>
                <w:sz w:val="20"/>
                <w:szCs w:val="20"/>
                <w:lang w:eastAsia="zh-CN"/>
              </w:rPr>
              <w:t>本金支付金额</w:t>
            </w:r>
          </w:p>
        </w:tc>
        <w:tc>
          <w:tcPr>
            <w:tcW w:w="1274" w:type="dxa"/>
            <w:tcBorders>
              <w:top w:val="single" w:color="auto" w:sz="4" w:space="0"/>
              <w:left w:val="single" w:color="auto" w:sz="4" w:space="0"/>
              <w:bottom w:val="single" w:color="auto" w:sz="4" w:space="0"/>
            </w:tcBorders>
            <w:vAlign w:val="center"/>
          </w:tcPr>
          <w:p w14:paraId="556B77BE">
            <w:pPr>
              <w:keepNext/>
              <w:keepLines/>
              <w:jc w:val="center"/>
              <w:rPr>
                <w:rFonts w:eastAsia="楷体_GB2312"/>
                <w:b/>
                <w:sz w:val="20"/>
                <w:szCs w:val="20"/>
                <w:lang w:eastAsia="zh-CN"/>
              </w:rPr>
            </w:pPr>
            <w:r>
              <w:rPr>
                <w:rFonts w:eastAsia="楷体_GB2312"/>
                <w:b/>
                <w:sz w:val="20"/>
                <w:szCs w:val="20"/>
                <w:lang w:eastAsia="zh-CN"/>
              </w:rPr>
              <w:t>每100元支付本金</w:t>
            </w:r>
          </w:p>
        </w:tc>
        <w:tc>
          <w:tcPr>
            <w:tcW w:w="909" w:type="dxa"/>
            <w:tcBorders>
              <w:top w:val="single" w:color="auto" w:sz="4" w:space="0"/>
              <w:left w:val="single" w:color="auto" w:sz="4" w:space="0"/>
              <w:bottom w:val="single" w:color="auto" w:sz="4" w:space="0"/>
            </w:tcBorders>
            <w:vAlign w:val="center"/>
          </w:tcPr>
          <w:p w14:paraId="16DDA4B8">
            <w:pPr>
              <w:keepNext/>
              <w:keepLines/>
              <w:jc w:val="center"/>
              <w:rPr>
                <w:rFonts w:eastAsia="楷体_GB2312"/>
                <w:b/>
                <w:sz w:val="20"/>
                <w:szCs w:val="20"/>
                <w:lang w:eastAsia="zh-CN"/>
              </w:rPr>
            </w:pPr>
            <w:r>
              <w:rPr>
                <w:rFonts w:eastAsia="楷体_GB2312"/>
                <w:b/>
                <w:sz w:val="20"/>
                <w:szCs w:val="20"/>
                <w:lang w:eastAsia="zh-CN"/>
              </w:rPr>
              <w:t>总支付金额</w:t>
            </w:r>
          </w:p>
        </w:tc>
      </w:tr>
      <w:tr w14:paraId="50A56E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1110" w:type="dxa"/>
            <w:tcBorders>
              <w:top w:val="single" w:color="auto" w:sz="4" w:space="0"/>
              <w:bottom w:val="single" w:color="auto" w:sz="4" w:space="0"/>
              <w:right w:val="single" w:color="auto" w:sz="4" w:space="0"/>
            </w:tcBorders>
            <w:vAlign w:val="center"/>
          </w:tcPr>
          <w:p w14:paraId="664C410B">
            <w:pPr>
              <w:jc w:val="center"/>
              <w:rPr>
                <w:rFonts w:eastAsia="楷体_GB2312"/>
                <w:sz w:val="18"/>
                <w:szCs w:val="18"/>
                <w:lang w:eastAsia="zh-CN"/>
              </w:rPr>
            </w:pPr>
            <w:r>
              <w:rPr>
                <w:rFonts w:eastAsia="楷体_GB2312"/>
                <w:sz w:val="18"/>
                <w:szCs w:val="18"/>
              </w:rPr>
              <w:t>优先级</w:t>
            </w:r>
          </w:p>
        </w:tc>
        <w:tc>
          <w:tcPr>
            <w:tcW w:w="1408" w:type="dxa"/>
            <w:tcBorders>
              <w:top w:val="single" w:color="auto" w:sz="4" w:space="0"/>
              <w:left w:val="single" w:color="auto" w:sz="4" w:space="0"/>
              <w:bottom w:val="single" w:color="auto" w:sz="4" w:space="0"/>
              <w:right w:val="single" w:color="auto" w:sz="4" w:space="0"/>
            </w:tcBorders>
            <w:vAlign w:val="center"/>
          </w:tcPr>
          <w:p w14:paraId="166836C3">
            <w:pPr>
              <w:jc w:val="center"/>
              <w:rPr>
                <w:rFonts w:eastAsia="楷体_GB2312"/>
                <w:b/>
                <w:sz w:val="18"/>
                <w:szCs w:val="18"/>
              </w:rPr>
            </w:pPr>
          </w:p>
        </w:tc>
        <w:tc>
          <w:tcPr>
            <w:tcW w:w="1418" w:type="dxa"/>
            <w:tcBorders>
              <w:top w:val="single" w:color="auto" w:sz="4" w:space="0"/>
              <w:left w:val="single" w:color="auto" w:sz="4" w:space="0"/>
              <w:bottom w:val="single" w:color="auto" w:sz="4" w:space="0"/>
              <w:right w:val="single" w:color="auto" w:sz="4" w:space="0"/>
            </w:tcBorders>
            <w:vAlign w:val="center"/>
          </w:tcPr>
          <w:p w14:paraId="3709A2AB">
            <w:pPr>
              <w:jc w:val="center"/>
              <w:rPr>
                <w:rFonts w:eastAsia="楷体_GB2312"/>
                <w:b/>
                <w:sz w:val="18"/>
                <w:szCs w:val="18"/>
              </w:rPr>
            </w:pPr>
          </w:p>
        </w:tc>
        <w:tc>
          <w:tcPr>
            <w:tcW w:w="1559" w:type="dxa"/>
            <w:tcBorders>
              <w:top w:val="single" w:color="auto" w:sz="4" w:space="0"/>
              <w:left w:val="single" w:color="auto" w:sz="4" w:space="0"/>
              <w:bottom w:val="single" w:color="auto" w:sz="4" w:space="0"/>
              <w:right w:val="single" w:color="auto" w:sz="4" w:space="0"/>
            </w:tcBorders>
            <w:vAlign w:val="center"/>
          </w:tcPr>
          <w:p w14:paraId="07B24D12">
            <w:pPr>
              <w:jc w:val="center"/>
              <w:rPr>
                <w:rFonts w:eastAsia="楷体_GB2312"/>
                <w:b/>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14:paraId="5E4361EF">
            <w:pPr>
              <w:jc w:val="center"/>
              <w:rPr>
                <w:rFonts w:eastAsia="楷体_GB2312"/>
                <w:b/>
                <w:sz w:val="18"/>
                <w:szCs w:val="18"/>
              </w:rPr>
            </w:pPr>
          </w:p>
        </w:tc>
        <w:tc>
          <w:tcPr>
            <w:tcW w:w="1274" w:type="dxa"/>
            <w:tcBorders>
              <w:top w:val="single" w:color="auto" w:sz="4" w:space="0"/>
              <w:left w:val="single" w:color="auto" w:sz="4" w:space="0"/>
              <w:bottom w:val="single" w:color="auto" w:sz="4" w:space="0"/>
            </w:tcBorders>
            <w:vAlign w:val="center"/>
          </w:tcPr>
          <w:p w14:paraId="5A110914">
            <w:pPr>
              <w:jc w:val="center"/>
              <w:rPr>
                <w:rFonts w:eastAsia="楷体_GB2312"/>
                <w:b/>
                <w:sz w:val="18"/>
                <w:szCs w:val="18"/>
              </w:rPr>
            </w:pPr>
          </w:p>
        </w:tc>
        <w:tc>
          <w:tcPr>
            <w:tcW w:w="909" w:type="dxa"/>
            <w:tcBorders>
              <w:top w:val="single" w:color="auto" w:sz="4" w:space="0"/>
              <w:left w:val="single" w:color="auto" w:sz="4" w:space="0"/>
              <w:bottom w:val="single" w:color="auto" w:sz="4" w:space="0"/>
            </w:tcBorders>
            <w:vAlign w:val="center"/>
          </w:tcPr>
          <w:p w14:paraId="5A963CC0">
            <w:pPr>
              <w:jc w:val="center"/>
              <w:rPr>
                <w:rFonts w:eastAsia="楷体_GB2312"/>
                <w:b/>
                <w:sz w:val="18"/>
                <w:szCs w:val="18"/>
              </w:rPr>
            </w:pPr>
          </w:p>
        </w:tc>
      </w:tr>
      <w:tr w14:paraId="6E8A6B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1110" w:type="dxa"/>
            <w:tcBorders>
              <w:top w:val="single" w:color="auto" w:sz="4" w:space="0"/>
              <w:bottom w:val="single" w:color="auto" w:sz="4" w:space="0"/>
              <w:right w:val="single" w:color="auto" w:sz="4" w:space="0"/>
            </w:tcBorders>
            <w:vAlign w:val="center"/>
          </w:tcPr>
          <w:p w14:paraId="75904C5A">
            <w:pPr>
              <w:jc w:val="center"/>
              <w:rPr>
                <w:rFonts w:eastAsia="楷体_GB2312"/>
                <w:b/>
                <w:sz w:val="18"/>
                <w:szCs w:val="18"/>
                <w:lang w:eastAsia="zh-CN"/>
              </w:rPr>
            </w:pPr>
            <w:r>
              <w:rPr>
                <w:rFonts w:eastAsia="楷体_GB2312"/>
                <w:sz w:val="18"/>
                <w:lang w:eastAsia="zh-CN"/>
              </w:rPr>
              <w:t>次级</w:t>
            </w:r>
          </w:p>
        </w:tc>
        <w:tc>
          <w:tcPr>
            <w:tcW w:w="1408" w:type="dxa"/>
            <w:tcBorders>
              <w:top w:val="single" w:color="auto" w:sz="4" w:space="0"/>
              <w:left w:val="single" w:color="auto" w:sz="4" w:space="0"/>
              <w:bottom w:val="single" w:color="auto" w:sz="4" w:space="0"/>
              <w:right w:val="single" w:color="auto" w:sz="4" w:space="0"/>
            </w:tcBorders>
            <w:vAlign w:val="center"/>
          </w:tcPr>
          <w:p w14:paraId="3BCE0D0F">
            <w:pPr>
              <w:jc w:val="center"/>
              <w:rPr>
                <w:rFonts w:eastAsia="楷体_GB2312"/>
                <w:b/>
                <w:sz w:val="18"/>
                <w:szCs w:val="18"/>
              </w:rPr>
            </w:pPr>
          </w:p>
        </w:tc>
        <w:tc>
          <w:tcPr>
            <w:tcW w:w="1418" w:type="dxa"/>
            <w:tcBorders>
              <w:top w:val="single" w:color="auto" w:sz="4" w:space="0"/>
              <w:left w:val="single" w:color="auto" w:sz="4" w:space="0"/>
              <w:bottom w:val="single" w:color="auto" w:sz="4" w:space="0"/>
              <w:right w:val="single" w:color="auto" w:sz="4" w:space="0"/>
            </w:tcBorders>
            <w:vAlign w:val="center"/>
          </w:tcPr>
          <w:p w14:paraId="6AD7D5BC">
            <w:pPr>
              <w:jc w:val="center"/>
              <w:rPr>
                <w:rFonts w:eastAsia="楷体_GB2312"/>
                <w:b/>
                <w:sz w:val="18"/>
                <w:szCs w:val="18"/>
              </w:rPr>
            </w:pPr>
          </w:p>
        </w:tc>
        <w:tc>
          <w:tcPr>
            <w:tcW w:w="1559" w:type="dxa"/>
            <w:tcBorders>
              <w:top w:val="single" w:color="auto" w:sz="4" w:space="0"/>
              <w:left w:val="single" w:color="auto" w:sz="4" w:space="0"/>
              <w:bottom w:val="single" w:color="auto" w:sz="4" w:space="0"/>
              <w:right w:val="single" w:color="auto" w:sz="4" w:space="0"/>
            </w:tcBorders>
            <w:vAlign w:val="center"/>
          </w:tcPr>
          <w:p w14:paraId="752F6C9A">
            <w:pPr>
              <w:jc w:val="center"/>
              <w:rPr>
                <w:rFonts w:eastAsia="楷体_GB2312"/>
                <w:b/>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14:paraId="376651F2">
            <w:pPr>
              <w:jc w:val="center"/>
              <w:rPr>
                <w:rFonts w:eastAsia="楷体_GB2312"/>
                <w:b/>
                <w:sz w:val="18"/>
                <w:szCs w:val="18"/>
              </w:rPr>
            </w:pPr>
          </w:p>
        </w:tc>
        <w:tc>
          <w:tcPr>
            <w:tcW w:w="1274" w:type="dxa"/>
            <w:tcBorders>
              <w:top w:val="single" w:color="auto" w:sz="4" w:space="0"/>
              <w:left w:val="single" w:color="auto" w:sz="4" w:space="0"/>
              <w:bottom w:val="single" w:color="auto" w:sz="4" w:space="0"/>
            </w:tcBorders>
            <w:vAlign w:val="center"/>
          </w:tcPr>
          <w:p w14:paraId="6B629072">
            <w:pPr>
              <w:jc w:val="center"/>
              <w:rPr>
                <w:rFonts w:eastAsia="楷体_GB2312"/>
                <w:b/>
                <w:sz w:val="18"/>
                <w:szCs w:val="18"/>
              </w:rPr>
            </w:pPr>
          </w:p>
        </w:tc>
        <w:tc>
          <w:tcPr>
            <w:tcW w:w="909" w:type="dxa"/>
            <w:tcBorders>
              <w:top w:val="single" w:color="auto" w:sz="4" w:space="0"/>
              <w:left w:val="single" w:color="auto" w:sz="4" w:space="0"/>
              <w:bottom w:val="single" w:color="auto" w:sz="4" w:space="0"/>
            </w:tcBorders>
            <w:vAlign w:val="center"/>
          </w:tcPr>
          <w:p w14:paraId="3F4C55F5">
            <w:pPr>
              <w:jc w:val="center"/>
              <w:rPr>
                <w:rFonts w:eastAsia="楷体_GB2312"/>
                <w:b/>
                <w:sz w:val="18"/>
                <w:szCs w:val="18"/>
              </w:rPr>
            </w:pPr>
          </w:p>
        </w:tc>
      </w:tr>
    </w:tbl>
    <w:p w14:paraId="4F414885">
      <w:pPr>
        <w:tabs>
          <w:tab w:val="left" w:pos="2802"/>
        </w:tabs>
        <w:rPr>
          <w:rFonts w:eastAsia="楷体_GB2312"/>
          <w:sz w:val="18"/>
          <w:szCs w:val="18"/>
        </w:rPr>
      </w:pPr>
    </w:p>
    <w:tbl>
      <w:tblPr>
        <w:tblStyle w:val="31"/>
        <w:tblW w:w="899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96"/>
        <w:gridCol w:w="1602"/>
        <w:gridCol w:w="1311"/>
        <w:gridCol w:w="2184"/>
        <w:gridCol w:w="1603"/>
      </w:tblGrid>
      <w:tr w14:paraId="0F6BF3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41" w:hRule="atLeast"/>
        </w:trPr>
        <w:tc>
          <w:tcPr>
            <w:tcW w:w="8996" w:type="dxa"/>
            <w:gridSpan w:val="5"/>
            <w:tcBorders>
              <w:top w:val="single" w:color="auto" w:sz="4" w:space="0"/>
              <w:bottom w:val="single" w:color="auto" w:sz="4" w:space="0"/>
            </w:tcBorders>
            <w:vAlign w:val="center"/>
          </w:tcPr>
          <w:p w14:paraId="1688013E">
            <w:pPr>
              <w:jc w:val="center"/>
              <w:rPr>
                <w:rFonts w:eastAsia="楷体_GB2312"/>
                <w:b/>
                <w:sz w:val="28"/>
                <w:lang w:eastAsia="zh-CN"/>
              </w:rPr>
            </w:pPr>
            <w:r>
              <w:rPr>
                <w:rFonts w:eastAsia="楷体_GB2312"/>
                <w:b/>
                <w:sz w:val="28"/>
                <w:lang w:eastAsia="zh-CN"/>
              </w:rPr>
              <w:t>【信托名称】</w:t>
            </w:r>
          </w:p>
          <w:p w14:paraId="7AA462B7">
            <w:pPr>
              <w:jc w:val="center"/>
              <w:rPr>
                <w:rFonts w:eastAsia="楷体_GB2312"/>
                <w:b/>
                <w:sz w:val="28"/>
                <w:lang w:eastAsia="zh-CN"/>
              </w:rPr>
            </w:pPr>
            <w:r>
              <w:rPr>
                <w:rFonts w:eastAsia="楷体_GB2312"/>
                <w:b/>
                <w:sz w:val="28"/>
                <w:lang w:eastAsia="zh-CN"/>
              </w:rPr>
              <w:t>受托机构月度/年度报告</w:t>
            </w:r>
          </w:p>
        </w:tc>
      </w:tr>
      <w:tr w14:paraId="773227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9" w:hRule="atLeast"/>
        </w:trPr>
        <w:tc>
          <w:tcPr>
            <w:tcW w:w="8996" w:type="dxa"/>
            <w:gridSpan w:val="5"/>
            <w:tcBorders>
              <w:top w:val="single" w:color="auto" w:sz="4" w:space="0"/>
              <w:bottom w:val="nil"/>
            </w:tcBorders>
          </w:tcPr>
          <w:p w14:paraId="3B639AB0">
            <w:pPr>
              <w:rPr>
                <w:rFonts w:eastAsia="楷体_GB2312"/>
                <w:b/>
              </w:rPr>
            </w:pPr>
            <w:r>
              <w:rPr>
                <w:rFonts w:eastAsia="楷体_GB2312"/>
                <w:b/>
              </w:rPr>
              <w:t>三、资产池情况</w:t>
            </w:r>
          </w:p>
        </w:tc>
      </w:tr>
      <w:tr w14:paraId="18C96F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8996" w:type="dxa"/>
            <w:gridSpan w:val="5"/>
            <w:tcBorders>
              <w:top w:val="nil"/>
              <w:bottom w:val="single" w:color="auto" w:sz="4" w:space="0"/>
            </w:tcBorders>
          </w:tcPr>
          <w:p w14:paraId="5A1CAA98">
            <w:pPr>
              <w:rPr>
                <w:rFonts w:eastAsia="楷体_GB2312"/>
                <w:b/>
                <w:lang w:eastAsia="zh-CN"/>
              </w:rPr>
            </w:pPr>
            <w:r>
              <w:rPr>
                <w:rFonts w:eastAsia="楷体_GB2312"/>
                <w:lang w:eastAsia="zh-CN"/>
              </w:rPr>
              <w:t>（一）本报告期期末资产池整体表现情况：</w:t>
            </w:r>
          </w:p>
        </w:tc>
      </w:tr>
      <w:tr w14:paraId="190B89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2296" w:type="dxa"/>
            <w:tcBorders>
              <w:top w:val="single" w:color="auto" w:sz="4" w:space="0"/>
              <w:bottom w:val="single" w:color="auto" w:sz="4" w:space="0"/>
              <w:right w:val="single" w:color="auto" w:sz="4" w:space="0"/>
            </w:tcBorders>
          </w:tcPr>
          <w:p w14:paraId="02CCF266">
            <w:pPr>
              <w:jc w:val="center"/>
              <w:rPr>
                <w:rFonts w:eastAsia="楷体_GB2312"/>
                <w:b/>
              </w:rPr>
            </w:pPr>
            <w:r>
              <w:rPr>
                <w:rFonts w:eastAsia="楷体_GB2312"/>
                <w:b/>
              </w:rPr>
              <w:t>科目</w:t>
            </w:r>
          </w:p>
        </w:tc>
        <w:tc>
          <w:tcPr>
            <w:tcW w:w="1602" w:type="dxa"/>
            <w:tcBorders>
              <w:top w:val="single" w:color="auto" w:sz="4" w:space="0"/>
              <w:left w:val="single" w:color="auto" w:sz="4" w:space="0"/>
              <w:bottom w:val="single" w:color="auto" w:sz="4" w:space="0"/>
              <w:right w:val="single" w:color="auto" w:sz="4" w:space="0"/>
            </w:tcBorders>
          </w:tcPr>
          <w:p w14:paraId="0B7BE449">
            <w:pPr>
              <w:jc w:val="center"/>
              <w:rPr>
                <w:rFonts w:eastAsia="楷体_GB2312"/>
                <w:b/>
              </w:rPr>
            </w:pPr>
            <w:r>
              <w:rPr>
                <w:rFonts w:eastAsia="楷体_GB2312"/>
                <w:b/>
              </w:rPr>
              <w:t>贷款笔数</w:t>
            </w:r>
          </w:p>
        </w:tc>
        <w:tc>
          <w:tcPr>
            <w:tcW w:w="1311" w:type="dxa"/>
            <w:tcBorders>
              <w:top w:val="single" w:color="auto" w:sz="4" w:space="0"/>
              <w:left w:val="single" w:color="auto" w:sz="4" w:space="0"/>
              <w:bottom w:val="single" w:color="auto" w:sz="4" w:space="0"/>
              <w:right w:val="single" w:color="auto" w:sz="4" w:space="0"/>
            </w:tcBorders>
          </w:tcPr>
          <w:p w14:paraId="2AF184F6">
            <w:pPr>
              <w:jc w:val="center"/>
              <w:rPr>
                <w:rFonts w:eastAsia="楷体_GB2312"/>
                <w:b/>
              </w:rPr>
            </w:pPr>
            <w:r>
              <w:rPr>
                <w:rFonts w:eastAsia="楷体_GB2312"/>
                <w:b/>
              </w:rPr>
              <w:t>贷款笔数占比</w:t>
            </w:r>
          </w:p>
        </w:tc>
        <w:tc>
          <w:tcPr>
            <w:tcW w:w="2184" w:type="dxa"/>
            <w:tcBorders>
              <w:top w:val="single" w:color="auto" w:sz="4" w:space="0"/>
              <w:left w:val="single" w:color="auto" w:sz="4" w:space="0"/>
              <w:bottom w:val="single" w:color="auto" w:sz="4" w:space="0"/>
              <w:right w:val="single" w:color="auto" w:sz="4" w:space="0"/>
            </w:tcBorders>
          </w:tcPr>
          <w:p w14:paraId="0E86A3EF">
            <w:pPr>
              <w:jc w:val="center"/>
              <w:rPr>
                <w:rFonts w:eastAsia="楷体_GB2312"/>
                <w:b/>
              </w:rPr>
            </w:pPr>
            <w:r>
              <w:rPr>
                <w:rFonts w:eastAsia="楷体_GB2312"/>
                <w:b/>
              </w:rPr>
              <w:t>本金余额</w:t>
            </w:r>
          </w:p>
        </w:tc>
        <w:tc>
          <w:tcPr>
            <w:tcW w:w="1603" w:type="dxa"/>
            <w:tcBorders>
              <w:top w:val="single" w:color="auto" w:sz="4" w:space="0"/>
              <w:left w:val="single" w:color="auto" w:sz="4" w:space="0"/>
              <w:bottom w:val="single" w:color="auto" w:sz="4" w:space="0"/>
            </w:tcBorders>
          </w:tcPr>
          <w:p w14:paraId="5E4BB27F">
            <w:pPr>
              <w:jc w:val="center"/>
              <w:rPr>
                <w:rFonts w:eastAsia="楷体_GB2312"/>
                <w:b/>
              </w:rPr>
            </w:pPr>
            <w:r>
              <w:rPr>
                <w:rFonts w:eastAsia="楷体_GB2312"/>
                <w:b/>
              </w:rPr>
              <w:t>本金余额占比</w:t>
            </w:r>
          </w:p>
        </w:tc>
      </w:tr>
      <w:tr w14:paraId="60F490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9" w:hRule="atLeast"/>
        </w:trPr>
        <w:tc>
          <w:tcPr>
            <w:tcW w:w="2296" w:type="dxa"/>
            <w:tcBorders>
              <w:top w:val="single" w:color="auto" w:sz="4" w:space="0"/>
              <w:bottom w:val="single" w:color="auto" w:sz="4" w:space="0"/>
              <w:right w:val="single" w:color="auto" w:sz="4" w:space="0"/>
            </w:tcBorders>
            <w:vAlign w:val="center"/>
          </w:tcPr>
          <w:p w14:paraId="6AB3DB37">
            <w:pPr>
              <w:jc w:val="center"/>
              <w:rPr>
                <w:rFonts w:eastAsia="楷体_GB2312"/>
                <w:sz w:val="18"/>
              </w:rPr>
            </w:pPr>
            <w:r>
              <w:rPr>
                <w:rFonts w:eastAsia="楷体_GB2312"/>
                <w:sz w:val="18"/>
              </w:rPr>
              <w:t>正常</w:t>
            </w:r>
            <w:r>
              <w:rPr>
                <w:rFonts w:eastAsia="楷体_GB2312"/>
                <w:sz w:val="18"/>
                <w:lang w:eastAsia="zh-CN"/>
              </w:rPr>
              <w:t>个人汽车贷款</w:t>
            </w:r>
          </w:p>
        </w:tc>
        <w:tc>
          <w:tcPr>
            <w:tcW w:w="1602" w:type="dxa"/>
            <w:tcBorders>
              <w:top w:val="single" w:color="auto" w:sz="4" w:space="0"/>
              <w:left w:val="single" w:color="auto" w:sz="4" w:space="0"/>
              <w:bottom w:val="single" w:color="auto" w:sz="4" w:space="0"/>
              <w:right w:val="single" w:color="auto" w:sz="4" w:space="0"/>
            </w:tcBorders>
            <w:vAlign w:val="center"/>
          </w:tcPr>
          <w:p w14:paraId="10EDAC38">
            <w:pPr>
              <w:jc w:val="center"/>
              <w:rPr>
                <w:rFonts w:eastAsia="楷体_GB2312"/>
              </w:rPr>
            </w:pPr>
          </w:p>
        </w:tc>
        <w:tc>
          <w:tcPr>
            <w:tcW w:w="1311" w:type="dxa"/>
            <w:tcBorders>
              <w:top w:val="single" w:color="auto" w:sz="4" w:space="0"/>
              <w:left w:val="single" w:color="auto" w:sz="4" w:space="0"/>
              <w:bottom w:val="single" w:color="auto" w:sz="4" w:space="0"/>
              <w:right w:val="single" w:color="auto" w:sz="4" w:space="0"/>
            </w:tcBorders>
            <w:vAlign w:val="center"/>
          </w:tcPr>
          <w:p w14:paraId="08F48EA7">
            <w:pPr>
              <w:jc w:val="center"/>
              <w:rPr>
                <w:rFonts w:eastAsia="楷体_GB2312"/>
              </w:rPr>
            </w:pPr>
          </w:p>
        </w:tc>
        <w:tc>
          <w:tcPr>
            <w:tcW w:w="2184" w:type="dxa"/>
            <w:tcBorders>
              <w:top w:val="single" w:color="auto" w:sz="4" w:space="0"/>
              <w:left w:val="single" w:color="auto" w:sz="4" w:space="0"/>
              <w:bottom w:val="single" w:color="auto" w:sz="4" w:space="0"/>
              <w:right w:val="single" w:color="auto" w:sz="4" w:space="0"/>
            </w:tcBorders>
            <w:vAlign w:val="center"/>
          </w:tcPr>
          <w:p w14:paraId="291159E3">
            <w:pPr>
              <w:jc w:val="center"/>
              <w:rPr>
                <w:rFonts w:eastAsia="楷体_GB2312"/>
              </w:rPr>
            </w:pPr>
          </w:p>
        </w:tc>
        <w:tc>
          <w:tcPr>
            <w:tcW w:w="1603" w:type="dxa"/>
            <w:tcBorders>
              <w:top w:val="single" w:color="auto" w:sz="4" w:space="0"/>
              <w:left w:val="single" w:color="auto" w:sz="4" w:space="0"/>
              <w:bottom w:val="single" w:color="auto" w:sz="4" w:space="0"/>
            </w:tcBorders>
            <w:vAlign w:val="center"/>
          </w:tcPr>
          <w:p w14:paraId="19B21C4E">
            <w:pPr>
              <w:jc w:val="center"/>
              <w:rPr>
                <w:rFonts w:eastAsia="楷体_GB2312"/>
              </w:rPr>
            </w:pPr>
          </w:p>
        </w:tc>
      </w:tr>
      <w:tr w14:paraId="149715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2296" w:type="dxa"/>
            <w:tcBorders>
              <w:top w:val="single" w:color="auto" w:sz="4" w:space="0"/>
              <w:bottom w:val="single" w:color="auto" w:sz="4" w:space="0"/>
              <w:right w:val="single" w:color="auto" w:sz="4" w:space="0"/>
            </w:tcBorders>
            <w:vAlign w:val="center"/>
          </w:tcPr>
          <w:p w14:paraId="21606EAF">
            <w:pPr>
              <w:jc w:val="center"/>
              <w:rPr>
                <w:rFonts w:eastAsia="楷体_GB2312"/>
                <w:sz w:val="18"/>
              </w:rPr>
            </w:pPr>
            <w:r>
              <w:rPr>
                <w:rFonts w:eastAsia="楷体_GB2312"/>
                <w:sz w:val="18"/>
              </w:rPr>
              <w:t>拖欠【】-【】天</w:t>
            </w:r>
            <w:r>
              <w:rPr>
                <w:rFonts w:eastAsia="楷体_GB2312"/>
                <w:sz w:val="18"/>
                <w:lang w:eastAsia="zh-CN"/>
              </w:rPr>
              <w:t>个人汽车贷款</w:t>
            </w:r>
          </w:p>
        </w:tc>
        <w:tc>
          <w:tcPr>
            <w:tcW w:w="1602" w:type="dxa"/>
            <w:tcBorders>
              <w:top w:val="single" w:color="auto" w:sz="4" w:space="0"/>
              <w:left w:val="single" w:color="auto" w:sz="4" w:space="0"/>
              <w:bottom w:val="single" w:color="auto" w:sz="4" w:space="0"/>
              <w:right w:val="single" w:color="auto" w:sz="4" w:space="0"/>
            </w:tcBorders>
            <w:vAlign w:val="center"/>
          </w:tcPr>
          <w:p w14:paraId="0B82FDE1">
            <w:pPr>
              <w:jc w:val="center"/>
              <w:rPr>
                <w:rFonts w:eastAsia="楷体_GB2312"/>
              </w:rPr>
            </w:pPr>
          </w:p>
        </w:tc>
        <w:tc>
          <w:tcPr>
            <w:tcW w:w="1311" w:type="dxa"/>
            <w:tcBorders>
              <w:top w:val="single" w:color="auto" w:sz="4" w:space="0"/>
              <w:left w:val="single" w:color="auto" w:sz="4" w:space="0"/>
              <w:bottom w:val="single" w:color="auto" w:sz="4" w:space="0"/>
              <w:right w:val="single" w:color="auto" w:sz="4" w:space="0"/>
            </w:tcBorders>
            <w:vAlign w:val="center"/>
          </w:tcPr>
          <w:p w14:paraId="3B524D19">
            <w:pPr>
              <w:jc w:val="center"/>
              <w:rPr>
                <w:rFonts w:eastAsia="楷体_GB2312"/>
              </w:rPr>
            </w:pPr>
          </w:p>
        </w:tc>
        <w:tc>
          <w:tcPr>
            <w:tcW w:w="2184" w:type="dxa"/>
            <w:tcBorders>
              <w:top w:val="single" w:color="auto" w:sz="4" w:space="0"/>
              <w:left w:val="single" w:color="auto" w:sz="4" w:space="0"/>
              <w:bottom w:val="single" w:color="auto" w:sz="4" w:space="0"/>
              <w:right w:val="single" w:color="auto" w:sz="4" w:space="0"/>
            </w:tcBorders>
            <w:vAlign w:val="center"/>
          </w:tcPr>
          <w:p w14:paraId="5F647FF0">
            <w:pPr>
              <w:jc w:val="center"/>
              <w:rPr>
                <w:rFonts w:eastAsia="楷体_GB2312"/>
              </w:rPr>
            </w:pPr>
          </w:p>
        </w:tc>
        <w:tc>
          <w:tcPr>
            <w:tcW w:w="1603" w:type="dxa"/>
            <w:tcBorders>
              <w:top w:val="single" w:color="auto" w:sz="4" w:space="0"/>
              <w:left w:val="single" w:color="auto" w:sz="4" w:space="0"/>
              <w:bottom w:val="single" w:color="auto" w:sz="4" w:space="0"/>
            </w:tcBorders>
            <w:vAlign w:val="center"/>
          </w:tcPr>
          <w:p w14:paraId="2D8CFB72">
            <w:pPr>
              <w:jc w:val="center"/>
              <w:rPr>
                <w:rFonts w:eastAsia="楷体_GB2312"/>
              </w:rPr>
            </w:pPr>
          </w:p>
        </w:tc>
      </w:tr>
      <w:tr w14:paraId="7DCF36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9" w:hRule="atLeast"/>
        </w:trPr>
        <w:tc>
          <w:tcPr>
            <w:tcW w:w="2296" w:type="dxa"/>
            <w:tcBorders>
              <w:top w:val="single" w:color="auto" w:sz="4" w:space="0"/>
              <w:bottom w:val="single" w:color="auto" w:sz="4" w:space="0"/>
              <w:right w:val="single" w:color="auto" w:sz="4" w:space="0"/>
            </w:tcBorders>
            <w:vAlign w:val="center"/>
          </w:tcPr>
          <w:p w14:paraId="031D448D">
            <w:pPr>
              <w:jc w:val="center"/>
              <w:rPr>
                <w:rFonts w:eastAsia="楷体_GB2312"/>
                <w:sz w:val="18"/>
              </w:rPr>
            </w:pPr>
            <w:r>
              <w:rPr>
                <w:rFonts w:eastAsia="楷体_GB2312"/>
                <w:sz w:val="18"/>
              </w:rPr>
              <w:t>拖欠【】-【】天</w:t>
            </w:r>
            <w:r>
              <w:rPr>
                <w:rFonts w:eastAsia="楷体_GB2312"/>
                <w:sz w:val="18"/>
                <w:lang w:eastAsia="zh-CN"/>
              </w:rPr>
              <w:t>个人汽车贷款</w:t>
            </w:r>
          </w:p>
        </w:tc>
        <w:tc>
          <w:tcPr>
            <w:tcW w:w="1602" w:type="dxa"/>
            <w:tcBorders>
              <w:top w:val="single" w:color="auto" w:sz="4" w:space="0"/>
              <w:left w:val="single" w:color="auto" w:sz="4" w:space="0"/>
              <w:bottom w:val="single" w:color="auto" w:sz="4" w:space="0"/>
              <w:right w:val="single" w:color="auto" w:sz="4" w:space="0"/>
            </w:tcBorders>
            <w:vAlign w:val="center"/>
          </w:tcPr>
          <w:p w14:paraId="14DB7BD0">
            <w:pPr>
              <w:jc w:val="center"/>
              <w:rPr>
                <w:rFonts w:eastAsia="楷体_GB2312"/>
              </w:rPr>
            </w:pPr>
          </w:p>
        </w:tc>
        <w:tc>
          <w:tcPr>
            <w:tcW w:w="1311" w:type="dxa"/>
            <w:tcBorders>
              <w:top w:val="single" w:color="auto" w:sz="4" w:space="0"/>
              <w:left w:val="single" w:color="auto" w:sz="4" w:space="0"/>
              <w:bottom w:val="single" w:color="auto" w:sz="4" w:space="0"/>
              <w:right w:val="single" w:color="auto" w:sz="4" w:space="0"/>
            </w:tcBorders>
            <w:vAlign w:val="center"/>
          </w:tcPr>
          <w:p w14:paraId="4329A2F2">
            <w:pPr>
              <w:jc w:val="center"/>
              <w:rPr>
                <w:rFonts w:eastAsia="楷体_GB2312"/>
              </w:rPr>
            </w:pPr>
          </w:p>
        </w:tc>
        <w:tc>
          <w:tcPr>
            <w:tcW w:w="2184" w:type="dxa"/>
            <w:tcBorders>
              <w:top w:val="single" w:color="auto" w:sz="4" w:space="0"/>
              <w:left w:val="single" w:color="auto" w:sz="4" w:space="0"/>
              <w:bottom w:val="single" w:color="auto" w:sz="4" w:space="0"/>
              <w:right w:val="single" w:color="auto" w:sz="4" w:space="0"/>
            </w:tcBorders>
            <w:vAlign w:val="center"/>
          </w:tcPr>
          <w:p w14:paraId="2F5CFA3A">
            <w:pPr>
              <w:jc w:val="center"/>
              <w:rPr>
                <w:rFonts w:eastAsia="楷体_GB2312"/>
              </w:rPr>
            </w:pPr>
          </w:p>
        </w:tc>
        <w:tc>
          <w:tcPr>
            <w:tcW w:w="1603" w:type="dxa"/>
            <w:tcBorders>
              <w:top w:val="single" w:color="auto" w:sz="4" w:space="0"/>
              <w:left w:val="single" w:color="auto" w:sz="4" w:space="0"/>
              <w:bottom w:val="single" w:color="auto" w:sz="4" w:space="0"/>
            </w:tcBorders>
            <w:vAlign w:val="center"/>
          </w:tcPr>
          <w:p w14:paraId="1CF85485">
            <w:pPr>
              <w:jc w:val="center"/>
              <w:rPr>
                <w:rFonts w:eastAsia="楷体_GB2312"/>
              </w:rPr>
            </w:pPr>
          </w:p>
        </w:tc>
      </w:tr>
      <w:tr w14:paraId="5440E3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14" w:hRule="atLeast"/>
        </w:trPr>
        <w:tc>
          <w:tcPr>
            <w:tcW w:w="2296" w:type="dxa"/>
            <w:tcBorders>
              <w:top w:val="single" w:color="auto" w:sz="4" w:space="0"/>
              <w:bottom w:val="single" w:color="auto" w:sz="4" w:space="0"/>
              <w:right w:val="single" w:color="auto" w:sz="4" w:space="0"/>
            </w:tcBorders>
            <w:vAlign w:val="center"/>
          </w:tcPr>
          <w:p w14:paraId="11763110">
            <w:pPr>
              <w:jc w:val="center"/>
              <w:rPr>
                <w:rFonts w:eastAsia="楷体_GB2312"/>
                <w:sz w:val="18"/>
              </w:rPr>
            </w:pPr>
            <w:r>
              <w:rPr>
                <w:rFonts w:eastAsia="楷体_GB2312"/>
                <w:sz w:val="18"/>
              </w:rPr>
              <w:t>拖欠【】-【】天</w:t>
            </w:r>
            <w:r>
              <w:rPr>
                <w:rFonts w:eastAsia="楷体_GB2312"/>
                <w:sz w:val="18"/>
                <w:lang w:eastAsia="zh-CN"/>
              </w:rPr>
              <w:t>个人汽车贷款</w:t>
            </w:r>
          </w:p>
        </w:tc>
        <w:tc>
          <w:tcPr>
            <w:tcW w:w="1602" w:type="dxa"/>
            <w:tcBorders>
              <w:top w:val="single" w:color="auto" w:sz="4" w:space="0"/>
              <w:left w:val="single" w:color="auto" w:sz="4" w:space="0"/>
              <w:bottom w:val="single" w:color="auto" w:sz="4" w:space="0"/>
              <w:right w:val="single" w:color="auto" w:sz="4" w:space="0"/>
            </w:tcBorders>
            <w:vAlign w:val="center"/>
          </w:tcPr>
          <w:p w14:paraId="7E44FD83">
            <w:pPr>
              <w:jc w:val="center"/>
              <w:rPr>
                <w:rFonts w:eastAsia="楷体_GB2312"/>
              </w:rPr>
            </w:pPr>
          </w:p>
        </w:tc>
        <w:tc>
          <w:tcPr>
            <w:tcW w:w="1311" w:type="dxa"/>
            <w:tcBorders>
              <w:top w:val="single" w:color="auto" w:sz="4" w:space="0"/>
              <w:left w:val="single" w:color="auto" w:sz="4" w:space="0"/>
              <w:bottom w:val="single" w:color="auto" w:sz="4" w:space="0"/>
              <w:right w:val="single" w:color="auto" w:sz="4" w:space="0"/>
            </w:tcBorders>
            <w:vAlign w:val="center"/>
          </w:tcPr>
          <w:p w14:paraId="37BE8E77">
            <w:pPr>
              <w:jc w:val="center"/>
              <w:rPr>
                <w:rFonts w:eastAsia="楷体_GB2312"/>
              </w:rPr>
            </w:pPr>
          </w:p>
        </w:tc>
        <w:tc>
          <w:tcPr>
            <w:tcW w:w="2184" w:type="dxa"/>
            <w:tcBorders>
              <w:top w:val="single" w:color="auto" w:sz="4" w:space="0"/>
              <w:left w:val="single" w:color="auto" w:sz="4" w:space="0"/>
              <w:bottom w:val="single" w:color="auto" w:sz="4" w:space="0"/>
              <w:right w:val="single" w:color="auto" w:sz="4" w:space="0"/>
            </w:tcBorders>
            <w:vAlign w:val="center"/>
          </w:tcPr>
          <w:p w14:paraId="246C3915">
            <w:pPr>
              <w:jc w:val="center"/>
              <w:rPr>
                <w:rFonts w:eastAsia="楷体_GB2312"/>
              </w:rPr>
            </w:pPr>
          </w:p>
        </w:tc>
        <w:tc>
          <w:tcPr>
            <w:tcW w:w="1603" w:type="dxa"/>
            <w:tcBorders>
              <w:top w:val="single" w:color="auto" w:sz="4" w:space="0"/>
              <w:left w:val="single" w:color="auto" w:sz="4" w:space="0"/>
              <w:bottom w:val="single" w:color="auto" w:sz="4" w:space="0"/>
            </w:tcBorders>
            <w:vAlign w:val="center"/>
          </w:tcPr>
          <w:p w14:paraId="66D6A9E7">
            <w:pPr>
              <w:jc w:val="center"/>
              <w:rPr>
                <w:rFonts w:eastAsia="楷体_GB2312"/>
              </w:rPr>
            </w:pPr>
          </w:p>
        </w:tc>
      </w:tr>
      <w:tr w14:paraId="279BC5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9" w:hRule="atLeast"/>
        </w:trPr>
        <w:tc>
          <w:tcPr>
            <w:tcW w:w="2296" w:type="dxa"/>
            <w:tcBorders>
              <w:top w:val="single" w:color="auto" w:sz="4" w:space="0"/>
              <w:bottom w:val="single" w:color="auto" w:sz="4" w:space="0"/>
              <w:right w:val="single" w:color="auto" w:sz="4" w:space="0"/>
            </w:tcBorders>
            <w:vAlign w:val="center"/>
          </w:tcPr>
          <w:p w14:paraId="58648482">
            <w:pPr>
              <w:jc w:val="center"/>
              <w:rPr>
                <w:rFonts w:eastAsia="楷体_GB2312"/>
                <w:sz w:val="18"/>
              </w:rPr>
            </w:pPr>
            <w:r>
              <w:rPr>
                <w:rFonts w:eastAsia="楷体_GB2312"/>
                <w:sz w:val="18"/>
              </w:rPr>
              <w:t>拖欠【】天以上</w:t>
            </w:r>
            <w:r>
              <w:rPr>
                <w:rFonts w:eastAsia="楷体_GB2312"/>
                <w:sz w:val="18"/>
                <w:lang w:eastAsia="zh-CN"/>
              </w:rPr>
              <w:t>个人汽车贷款</w:t>
            </w:r>
          </w:p>
        </w:tc>
        <w:tc>
          <w:tcPr>
            <w:tcW w:w="1602" w:type="dxa"/>
            <w:tcBorders>
              <w:top w:val="single" w:color="auto" w:sz="4" w:space="0"/>
              <w:left w:val="single" w:color="auto" w:sz="4" w:space="0"/>
              <w:bottom w:val="single" w:color="auto" w:sz="4" w:space="0"/>
              <w:right w:val="single" w:color="auto" w:sz="4" w:space="0"/>
            </w:tcBorders>
            <w:vAlign w:val="center"/>
          </w:tcPr>
          <w:p w14:paraId="233C555B">
            <w:pPr>
              <w:jc w:val="center"/>
              <w:rPr>
                <w:rFonts w:eastAsia="楷体_GB2312"/>
              </w:rPr>
            </w:pPr>
          </w:p>
        </w:tc>
        <w:tc>
          <w:tcPr>
            <w:tcW w:w="1311" w:type="dxa"/>
            <w:tcBorders>
              <w:top w:val="single" w:color="auto" w:sz="4" w:space="0"/>
              <w:left w:val="single" w:color="auto" w:sz="4" w:space="0"/>
              <w:bottom w:val="single" w:color="auto" w:sz="4" w:space="0"/>
              <w:right w:val="single" w:color="auto" w:sz="4" w:space="0"/>
            </w:tcBorders>
            <w:vAlign w:val="center"/>
          </w:tcPr>
          <w:p w14:paraId="5CA34DA3">
            <w:pPr>
              <w:jc w:val="center"/>
              <w:rPr>
                <w:rFonts w:eastAsia="楷体_GB2312"/>
              </w:rPr>
            </w:pPr>
          </w:p>
        </w:tc>
        <w:tc>
          <w:tcPr>
            <w:tcW w:w="2184" w:type="dxa"/>
            <w:tcBorders>
              <w:top w:val="single" w:color="auto" w:sz="4" w:space="0"/>
              <w:left w:val="single" w:color="auto" w:sz="4" w:space="0"/>
              <w:bottom w:val="single" w:color="auto" w:sz="4" w:space="0"/>
              <w:right w:val="single" w:color="auto" w:sz="4" w:space="0"/>
            </w:tcBorders>
            <w:vAlign w:val="center"/>
          </w:tcPr>
          <w:p w14:paraId="7FE64E49">
            <w:pPr>
              <w:jc w:val="center"/>
              <w:rPr>
                <w:rFonts w:eastAsia="楷体_GB2312"/>
              </w:rPr>
            </w:pPr>
          </w:p>
        </w:tc>
        <w:tc>
          <w:tcPr>
            <w:tcW w:w="1603" w:type="dxa"/>
            <w:tcBorders>
              <w:top w:val="single" w:color="auto" w:sz="4" w:space="0"/>
              <w:left w:val="single" w:color="auto" w:sz="4" w:space="0"/>
              <w:bottom w:val="single" w:color="auto" w:sz="4" w:space="0"/>
            </w:tcBorders>
            <w:vAlign w:val="center"/>
          </w:tcPr>
          <w:p w14:paraId="41565230">
            <w:pPr>
              <w:jc w:val="center"/>
              <w:rPr>
                <w:rFonts w:eastAsia="楷体_GB2312"/>
              </w:rPr>
            </w:pPr>
          </w:p>
        </w:tc>
      </w:tr>
      <w:tr w14:paraId="2FB56A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2296" w:type="dxa"/>
            <w:tcBorders>
              <w:top w:val="single" w:color="auto" w:sz="4" w:space="0"/>
              <w:bottom w:val="single" w:color="auto" w:sz="4" w:space="0"/>
              <w:right w:val="single" w:color="auto" w:sz="4" w:space="0"/>
            </w:tcBorders>
            <w:vAlign w:val="center"/>
          </w:tcPr>
          <w:p w14:paraId="1DE4F267">
            <w:pPr>
              <w:jc w:val="center"/>
              <w:rPr>
                <w:rFonts w:eastAsia="楷体_GB2312"/>
                <w:sz w:val="18"/>
              </w:rPr>
            </w:pPr>
            <w:r>
              <w:rPr>
                <w:rFonts w:eastAsia="楷体_GB2312"/>
                <w:sz w:val="18"/>
                <w:lang w:eastAsia="zh-CN"/>
              </w:rPr>
              <w:t>赎回个人汽车贷款</w:t>
            </w:r>
          </w:p>
        </w:tc>
        <w:tc>
          <w:tcPr>
            <w:tcW w:w="1602" w:type="dxa"/>
            <w:tcBorders>
              <w:top w:val="single" w:color="auto" w:sz="4" w:space="0"/>
              <w:left w:val="single" w:color="auto" w:sz="4" w:space="0"/>
              <w:bottom w:val="single" w:color="auto" w:sz="4" w:space="0"/>
              <w:right w:val="single" w:color="auto" w:sz="4" w:space="0"/>
            </w:tcBorders>
            <w:vAlign w:val="center"/>
          </w:tcPr>
          <w:p w14:paraId="7334143C">
            <w:pPr>
              <w:jc w:val="center"/>
              <w:rPr>
                <w:rFonts w:eastAsia="楷体_GB2312"/>
              </w:rPr>
            </w:pPr>
          </w:p>
        </w:tc>
        <w:tc>
          <w:tcPr>
            <w:tcW w:w="1311" w:type="dxa"/>
            <w:tcBorders>
              <w:top w:val="single" w:color="auto" w:sz="4" w:space="0"/>
              <w:left w:val="single" w:color="auto" w:sz="4" w:space="0"/>
              <w:bottom w:val="single" w:color="auto" w:sz="4" w:space="0"/>
              <w:right w:val="single" w:color="auto" w:sz="4" w:space="0"/>
            </w:tcBorders>
            <w:vAlign w:val="center"/>
          </w:tcPr>
          <w:p w14:paraId="2FF93231">
            <w:pPr>
              <w:jc w:val="center"/>
              <w:rPr>
                <w:rFonts w:eastAsia="楷体_GB2312"/>
              </w:rPr>
            </w:pPr>
          </w:p>
        </w:tc>
        <w:tc>
          <w:tcPr>
            <w:tcW w:w="2184" w:type="dxa"/>
            <w:tcBorders>
              <w:top w:val="single" w:color="auto" w:sz="4" w:space="0"/>
              <w:left w:val="single" w:color="auto" w:sz="4" w:space="0"/>
              <w:bottom w:val="single" w:color="auto" w:sz="4" w:space="0"/>
              <w:right w:val="single" w:color="auto" w:sz="4" w:space="0"/>
            </w:tcBorders>
            <w:vAlign w:val="center"/>
          </w:tcPr>
          <w:p w14:paraId="060746F7">
            <w:pPr>
              <w:jc w:val="center"/>
              <w:rPr>
                <w:rFonts w:eastAsia="楷体_GB2312"/>
              </w:rPr>
            </w:pPr>
          </w:p>
        </w:tc>
        <w:tc>
          <w:tcPr>
            <w:tcW w:w="1603" w:type="dxa"/>
            <w:tcBorders>
              <w:top w:val="single" w:color="auto" w:sz="4" w:space="0"/>
              <w:left w:val="single" w:color="auto" w:sz="4" w:space="0"/>
              <w:bottom w:val="single" w:color="auto" w:sz="4" w:space="0"/>
            </w:tcBorders>
            <w:vAlign w:val="center"/>
          </w:tcPr>
          <w:p w14:paraId="603A17F1">
            <w:pPr>
              <w:jc w:val="center"/>
              <w:rPr>
                <w:rFonts w:eastAsia="楷体_GB2312"/>
              </w:rPr>
            </w:pPr>
          </w:p>
        </w:tc>
      </w:tr>
      <w:tr w14:paraId="654C7E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2296" w:type="dxa"/>
            <w:tcBorders>
              <w:top w:val="single" w:color="auto" w:sz="4" w:space="0"/>
              <w:bottom w:val="single" w:color="auto" w:sz="4" w:space="0"/>
              <w:right w:val="single" w:color="auto" w:sz="4" w:space="0"/>
            </w:tcBorders>
            <w:vAlign w:val="center"/>
          </w:tcPr>
          <w:p w14:paraId="5DCFADD7">
            <w:pPr>
              <w:jc w:val="center"/>
              <w:rPr>
                <w:rFonts w:eastAsia="楷体_GB2312"/>
                <w:sz w:val="18"/>
                <w:lang w:eastAsia="zh-CN"/>
              </w:rPr>
            </w:pPr>
            <w:r>
              <w:rPr>
                <w:rFonts w:eastAsia="楷体_GB2312"/>
                <w:sz w:val="18"/>
                <w:lang w:eastAsia="zh-CN"/>
              </w:rPr>
              <w:t>合计</w:t>
            </w:r>
          </w:p>
        </w:tc>
        <w:tc>
          <w:tcPr>
            <w:tcW w:w="1602" w:type="dxa"/>
            <w:tcBorders>
              <w:top w:val="single" w:color="auto" w:sz="4" w:space="0"/>
              <w:left w:val="single" w:color="auto" w:sz="4" w:space="0"/>
              <w:bottom w:val="single" w:color="auto" w:sz="4" w:space="0"/>
              <w:right w:val="single" w:color="auto" w:sz="4" w:space="0"/>
            </w:tcBorders>
            <w:vAlign w:val="center"/>
          </w:tcPr>
          <w:p w14:paraId="034CE9C0">
            <w:pPr>
              <w:jc w:val="center"/>
              <w:rPr>
                <w:rFonts w:eastAsia="楷体_GB2312"/>
              </w:rPr>
            </w:pPr>
          </w:p>
        </w:tc>
        <w:tc>
          <w:tcPr>
            <w:tcW w:w="1311" w:type="dxa"/>
            <w:tcBorders>
              <w:top w:val="single" w:color="auto" w:sz="4" w:space="0"/>
              <w:left w:val="single" w:color="auto" w:sz="4" w:space="0"/>
              <w:bottom w:val="single" w:color="auto" w:sz="4" w:space="0"/>
              <w:right w:val="single" w:color="auto" w:sz="4" w:space="0"/>
            </w:tcBorders>
            <w:vAlign w:val="center"/>
          </w:tcPr>
          <w:p w14:paraId="38B019A8">
            <w:pPr>
              <w:jc w:val="center"/>
              <w:rPr>
                <w:rFonts w:eastAsia="楷体_GB2312"/>
              </w:rPr>
            </w:pPr>
          </w:p>
        </w:tc>
        <w:tc>
          <w:tcPr>
            <w:tcW w:w="2184" w:type="dxa"/>
            <w:tcBorders>
              <w:top w:val="single" w:color="auto" w:sz="4" w:space="0"/>
              <w:left w:val="single" w:color="auto" w:sz="4" w:space="0"/>
              <w:bottom w:val="single" w:color="auto" w:sz="4" w:space="0"/>
              <w:right w:val="single" w:color="auto" w:sz="4" w:space="0"/>
            </w:tcBorders>
            <w:vAlign w:val="center"/>
          </w:tcPr>
          <w:p w14:paraId="56D510A2">
            <w:pPr>
              <w:jc w:val="center"/>
              <w:rPr>
                <w:rFonts w:eastAsia="楷体_GB2312"/>
              </w:rPr>
            </w:pPr>
          </w:p>
        </w:tc>
        <w:tc>
          <w:tcPr>
            <w:tcW w:w="1603" w:type="dxa"/>
            <w:tcBorders>
              <w:top w:val="single" w:color="auto" w:sz="4" w:space="0"/>
              <w:left w:val="single" w:color="auto" w:sz="4" w:space="0"/>
              <w:bottom w:val="single" w:color="auto" w:sz="4" w:space="0"/>
            </w:tcBorders>
            <w:vAlign w:val="center"/>
          </w:tcPr>
          <w:p w14:paraId="46EBF616">
            <w:pPr>
              <w:jc w:val="center"/>
              <w:rPr>
                <w:rFonts w:eastAsia="楷体_GB2312"/>
              </w:rPr>
            </w:pPr>
          </w:p>
        </w:tc>
      </w:tr>
      <w:tr w14:paraId="282CC5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 w:hRule="atLeast"/>
        </w:trPr>
        <w:tc>
          <w:tcPr>
            <w:tcW w:w="8996" w:type="dxa"/>
            <w:gridSpan w:val="5"/>
            <w:tcBorders>
              <w:top w:val="single" w:color="auto" w:sz="4" w:space="0"/>
              <w:bottom w:val="single" w:color="auto" w:sz="4" w:space="0"/>
            </w:tcBorders>
          </w:tcPr>
          <w:p w14:paraId="42A3FCF9">
            <w:pPr>
              <w:rPr>
                <w:rFonts w:eastAsia="楷体_GB2312"/>
                <w:lang w:eastAsia="zh-CN"/>
              </w:rPr>
            </w:pPr>
            <w:r>
              <w:rPr>
                <w:rFonts w:eastAsia="楷体_GB2312"/>
                <w:lang w:eastAsia="zh-CN"/>
              </w:rPr>
              <w:t>（二）报告期间新增的违约贷款情况</w:t>
            </w:r>
          </w:p>
        </w:tc>
      </w:tr>
      <w:tr w14:paraId="487A2D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 w:hRule="atLeast"/>
        </w:trPr>
        <w:tc>
          <w:tcPr>
            <w:tcW w:w="2296" w:type="dxa"/>
            <w:vMerge w:val="restart"/>
            <w:tcBorders>
              <w:top w:val="single" w:color="auto" w:sz="4" w:space="0"/>
              <w:right w:val="single" w:color="auto" w:sz="4" w:space="0"/>
            </w:tcBorders>
          </w:tcPr>
          <w:p w14:paraId="58A798C5">
            <w:pPr>
              <w:rPr>
                <w:rFonts w:eastAsia="楷体_GB2312"/>
                <w:sz w:val="18"/>
                <w:lang w:eastAsia="zh-CN"/>
              </w:rPr>
            </w:pPr>
          </w:p>
        </w:tc>
        <w:tc>
          <w:tcPr>
            <w:tcW w:w="2913" w:type="dxa"/>
            <w:gridSpan w:val="2"/>
            <w:tcBorders>
              <w:top w:val="single" w:color="auto" w:sz="4" w:space="0"/>
              <w:left w:val="single" w:color="auto" w:sz="4" w:space="0"/>
              <w:bottom w:val="single" w:color="auto" w:sz="4" w:space="0"/>
              <w:right w:val="single" w:color="auto" w:sz="4" w:space="0"/>
            </w:tcBorders>
          </w:tcPr>
          <w:p w14:paraId="309C9622">
            <w:pPr>
              <w:jc w:val="center"/>
              <w:rPr>
                <w:rFonts w:eastAsia="楷体_GB2312"/>
                <w:b/>
              </w:rPr>
            </w:pPr>
            <w:r>
              <w:rPr>
                <w:rFonts w:eastAsia="楷体_GB2312"/>
                <w:b/>
              </w:rPr>
              <w:t>本报告期间</w:t>
            </w:r>
          </w:p>
        </w:tc>
        <w:tc>
          <w:tcPr>
            <w:tcW w:w="3787" w:type="dxa"/>
            <w:gridSpan w:val="2"/>
            <w:tcBorders>
              <w:top w:val="single" w:color="auto" w:sz="4" w:space="0"/>
              <w:left w:val="single" w:color="auto" w:sz="4" w:space="0"/>
              <w:bottom w:val="single" w:color="auto" w:sz="4" w:space="0"/>
            </w:tcBorders>
          </w:tcPr>
          <w:p w14:paraId="023864A8">
            <w:pPr>
              <w:jc w:val="center"/>
              <w:rPr>
                <w:rFonts w:eastAsia="楷体_GB2312"/>
                <w:b/>
              </w:rPr>
            </w:pPr>
            <w:r>
              <w:rPr>
                <w:rFonts w:eastAsia="楷体_GB2312"/>
                <w:b/>
              </w:rPr>
              <w:t>上一报告期间</w:t>
            </w:r>
          </w:p>
        </w:tc>
      </w:tr>
      <w:tr w14:paraId="3024C0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 w:hRule="atLeast"/>
        </w:trPr>
        <w:tc>
          <w:tcPr>
            <w:tcW w:w="2296" w:type="dxa"/>
            <w:vMerge w:val="continue"/>
            <w:tcBorders>
              <w:bottom w:val="single" w:color="auto" w:sz="4" w:space="0"/>
              <w:right w:val="single" w:color="auto" w:sz="4" w:space="0"/>
            </w:tcBorders>
          </w:tcPr>
          <w:p w14:paraId="122C1D31">
            <w:pPr>
              <w:rPr>
                <w:rFonts w:eastAsia="楷体_GB2312"/>
                <w:sz w:val="18"/>
              </w:rPr>
            </w:pPr>
          </w:p>
        </w:tc>
        <w:tc>
          <w:tcPr>
            <w:tcW w:w="1602" w:type="dxa"/>
            <w:tcBorders>
              <w:top w:val="single" w:color="auto" w:sz="4" w:space="0"/>
              <w:left w:val="single" w:color="auto" w:sz="4" w:space="0"/>
              <w:bottom w:val="single" w:color="auto" w:sz="4" w:space="0"/>
              <w:right w:val="single" w:color="auto" w:sz="4" w:space="0"/>
            </w:tcBorders>
          </w:tcPr>
          <w:p w14:paraId="41688C56">
            <w:pPr>
              <w:jc w:val="center"/>
              <w:rPr>
                <w:rFonts w:eastAsia="楷体_GB2312"/>
                <w:b/>
              </w:rPr>
            </w:pPr>
            <w:r>
              <w:rPr>
                <w:rFonts w:eastAsia="楷体_GB2312"/>
                <w:b/>
              </w:rPr>
              <w:t>贷款笔数</w:t>
            </w:r>
          </w:p>
        </w:tc>
        <w:tc>
          <w:tcPr>
            <w:tcW w:w="1311" w:type="dxa"/>
            <w:tcBorders>
              <w:top w:val="single" w:color="auto" w:sz="4" w:space="0"/>
              <w:left w:val="single" w:color="auto" w:sz="4" w:space="0"/>
              <w:bottom w:val="single" w:color="auto" w:sz="4" w:space="0"/>
              <w:right w:val="single" w:color="auto" w:sz="4" w:space="0"/>
            </w:tcBorders>
          </w:tcPr>
          <w:p w14:paraId="62DC872C">
            <w:pPr>
              <w:jc w:val="center"/>
              <w:rPr>
                <w:rFonts w:eastAsia="楷体_GB2312"/>
                <w:b/>
              </w:rPr>
            </w:pPr>
            <w:r>
              <w:rPr>
                <w:rFonts w:eastAsia="楷体_GB2312"/>
                <w:b/>
              </w:rPr>
              <w:t>本金余额</w:t>
            </w:r>
          </w:p>
        </w:tc>
        <w:tc>
          <w:tcPr>
            <w:tcW w:w="2184" w:type="dxa"/>
            <w:tcBorders>
              <w:top w:val="single" w:color="auto" w:sz="4" w:space="0"/>
              <w:left w:val="single" w:color="auto" w:sz="4" w:space="0"/>
              <w:bottom w:val="single" w:color="auto" w:sz="4" w:space="0"/>
              <w:right w:val="single" w:color="auto" w:sz="4" w:space="0"/>
            </w:tcBorders>
          </w:tcPr>
          <w:p w14:paraId="413A8B36">
            <w:pPr>
              <w:jc w:val="center"/>
              <w:rPr>
                <w:rFonts w:eastAsia="楷体_GB2312"/>
                <w:b/>
              </w:rPr>
            </w:pPr>
            <w:r>
              <w:rPr>
                <w:rFonts w:eastAsia="楷体_GB2312"/>
                <w:b/>
              </w:rPr>
              <w:t>贷款笔数</w:t>
            </w:r>
          </w:p>
        </w:tc>
        <w:tc>
          <w:tcPr>
            <w:tcW w:w="1603" w:type="dxa"/>
            <w:tcBorders>
              <w:top w:val="single" w:color="auto" w:sz="4" w:space="0"/>
              <w:left w:val="single" w:color="auto" w:sz="4" w:space="0"/>
              <w:bottom w:val="single" w:color="auto" w:sz="4" w:space="0"/>
            </w:tcBorders>
          </w:tcPr>
          <w:p w14:paraId="7DFB637D">
            <w:pPr>
              <w:jc w:val="center"/>
              <w:rPr>
                <w:rFonts w:eastAsia="楷体_GB2312"/>
                <w:b/>
              </w:rPr>
            </w:pPr>
            <w:r>
              <w:rPr>
                <w:rFonts w:eastAsia="楷体_GB2312"/>
                <w:b/>
              </w:rPr>
              <w:t>本金余额</w:t>
            </w:r>
          </w:p>
        </w:tc>
      </w:tr>
      <w:tr w14:paraId="4D92E9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 w:hRule="atLeast"/>
        </w:trPr>
        <w:tc>
          <w:tcPr>
            <w:tcW w:w="2296" w:type="dxa"/>
            <w:tcBorders>
              <w:top w:val="single" w:color="auto" w:sz="4" w:space="0"/>
              <w:bottom w:val="single" w:color="auto" w:sz="4" w:space="0"/>
              <w:right w:val="single" w:color="auto" w:sz="4" w:space="0"/>
            </w:tcBorders>
          </w:tcPr>
          <w:p w14:paraId="0CFBAABB">
            <w:pPr>
              <w:rPr>
                <w:rFonts w:eastAsia="楷体_GB2312"/>
                <w:sz w:val="18"/>
                <w:szCs w:val="18"/>
                <w:lang w:eastAsia="zh-CN"/>
              </w:rPr>
            </w:pPr>
            <w:r>
              <w:rPr>
                <w:rFonts w:eastAsia="楷体_GB2312"/>
                <w:sz w:val="18"/>
                <w:szCs w:val="18"/>
                <w:lang w:eastAsia="zh-CN"/>
              </w:rPr>
              <w:t>在贷款合同中约定的本息支付日后，超过【】日（不含【】日）仍未偿还的个人汽车贷款</w:t>
            </w:r>
          </w:p>
        </w:tc>
        <w:tc>
          <w:tcPr>
            <w:tcW w:w="1602" w:type="dxa"/>
            <w:tcBorders>
              <w:top w:val="single" w:color="auto" w:sz="4" w:space="0"/>
              <w:left w:val="single" w:color="auto" w:sz="4" w:space="0"/>
              <w:bottom w:val="single" w:color="auto" w:sz="4" w:space="0"/>
              <w:right w:val="single" w:color="auto" w:sz="4" w:space="0"/>
            </w:tcBorders>
          </w:tcPr>
          <w:p w14:paraId="2DD182AE">
            <w:pPr>
              <w:jc w:val="center"/>
              <w:rPr>
                <w:rFonts w:eastAsia="楷体_GB2312"/>
                <w:lang w:eastAsia="zh-CN"/>
              </w:rPr>
            </w:pPr>
          </w:p>
        </w:tc>
        <w:tc>
          <w:tcPr>
            <w:tcW w:w="1311" w:type="dxa"/>
            <w:tcBorders>
              <w:top w:val="single" w:color="auto" w:sz="4" w:space="0"/>
              <w:left w:val="single" w:color="auto" w:sz="4" w:space="0"/>
              <w:bottom w:val="single" w:color="auto" w:sz="4" w:space="0"/>
              <w:right w:val="single" w:color="auto" w:sz="4" w:space="0"/>
            </w:tcBorders>
          </w:tcPr>
          <w:p w14:paraId="598F1045">
            <w:pPr>
              <w:jc w:val="center"/>
              <w:rPr>
                <w:rFonts w:eastAsia="楷体_GB2312"/>
                <w:lang w:eastAsia="zh-CN"/>
              </w:rPr>
            </w:pPr>
          </w:p>
        </w:tc>
        <w:tc>
          <w:tcPr>
            <w:tcW w:w="2184" w:type="dxa"/>
            <w:tcBorders>
              <w:top w:val="single" w:color="auto" w:sz="4" w:space="0"/>
              <w:left w:val="single" w:color="auto" w:sz="4" w:space="0"/>
              <w:bottom w:val="single" w:color="auto" w:sz="4" w:space="0"/>
              <w:right w:val="single" w:color="auto" w:sz="4" w:space="0"/>
            </w:tcBorders>
          </w:tcPr>
          <w:p w14:paraId="607016B5">
            <w:pPr>
              <w:jc w:val="center"/>
              <w:rPr>
                <w:rFonts w:eastAsia="楷体_GB2312"/>
                <w:lang w:eastAsia="zh-CN"/>
              </w:rPr>
            </w:pPr>
          </w:p>
        </w:tc>
        <w:tc>
          <w:tcPr>
            <w:tcW w:w="1603" w:type="dxa"/>
            <w:tcBorders>
              <w:top w:val="single" w:color="auto" w:sz="4" w:space="0"/>
              <w:left w:val="single" w:color="auto" w:sz="4" w:space="0"/>
              <w:bottom w:val="single" w:color="auto" w:sz="4" w:space="0"/>
            </w:tcBorders>
          </w:tcPr>
          <w:p w14:paraId="47241052">
            <w:pPr>
              <w:jc w:val="center"/>
              <w:rPr>
                <w:rFonts w:eastAsia="楷体_GB2312"/>
                <w:lang w:eastAsia="zh-CN"/>
              </w:rPr>
            </w:pPr>
          </w:p>
        </w:tc>
      </w:tr>
      <w:tr w14:paraId="2F804D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 w:hRule="atLeast"/>
        </w:trPr>
        <w:tc>
          <w:tcPr>
            <w:tcW w:w="2296" w:type="dxa"/>
            <w:tcBorders>
              <w:top w:val="single" w:color="auto" w:sz="4" w:space="0"/>
              <w:bottom w:val="single" w:color="auto" w:sz="4" w:space="0"/>
              <w:right w:val="single" w:color="auto" w:sz="4" w:space="0"/>
            </w:tcBorders>
          </w:tcPr>
          <w:p w14:paraId="1809AB24">
            <w:pPr>
              <w:rPr>
                <w:rFonts w:eastAsia="楷体_GB2312"/>
                <w:sz w:val="18"/>
                <w:lang w:eastAsia="zh-CN"/>
              </w:rPr>
            </w:pPr>
            <w:r>
              <w:rPr>
                <w:rFonts w:eastAsia="楷体_GB2312"/>
                <w:sz w:val="18"/>
                <w:szCs w:val="18"/>
                <w:lang w:eastAsia="zh-CN"/>
              </w:rPr>
              <w:t>贷款服务机构根据其《贷款服务手册》约定的标准服务程序认定为损失类的个人汽车贷款</w:t>
            </w:r>
          </w:p>
        </w:tc>
        <w:tc>
          <w:tcPr>
            <w:tcW w:w="1602" w:type="dxa"/>
            <w:tcBorders>
              <w:top w:val="single" w:color="auto" w:sz="4" w:space="0"/>
              <w:left w:val="single" w:color="auto" w:sz="4" w:space="0"/>
              <w:bottom w:val="single" w:color="auto" w:sz="4" w:space="0"/>
              <w:right w:val="single" w:color="auto" w:sz="4" w:space="0"/>
            </w:tcBorders>
          </w:tcPr>
          <w:p w14:paraId="45F7347B">
            <w:pPr>
              <w:jc w:val="center"/>
              <w:rPr>
                <w:rFonts w:eastAsia="楷体_GB2312"/>
                <w:lang w:eastAsia="zh-CN"/>
              </w:rPr>
            </w:pPr>
          </w:p>
        </w:tc>
        <w:tc>
          <w:tcPr>
            <w:tcW w:w="1311" w:type="dxa"/>
            <w:tcBorders>
              <w:top w:val="single" w:color="auto" w:sz="4" w:space="0"/>
              <w:left w:val="single" w:color="auto" w:sz="4" w:space="0"/>
              <w:bottom w:val="single" w:color="auto" w:sz="4" w:space="0"/>
              <w:right w:val="single" w:color="auto" w:sz="4" w:space="0"/>
            </w:tcBorders>
          </w:tcPr>
          <w:p w14:paraId="37A53990">
            <w:pPr>
              <w:jc w:val="center"/>
              <w:rPr>
                <w:rFonts w:eastAsia="楷体_GB2312"/>
                <w:lang w:eastAsia="zh-CN"/>
              </w:rPr>
            </w:pPr>
          </w:p>
        </w:tc>
        <w:tc>
          <w:tcPr>
            <w:tcW w:w="2184" w:type="dxa"/>
            <w:tcBorders>
              <w:top w:val="single" w:color="auto" w:sz="4" w:space="0"/>
              <w:left w:val="single" w:color="auto" w:sz="4" w:space="0"/>
              <w:bottom w:val="single" w:color="auto" w:sz="4" w:space="0"/>
              <w:right w:val="single" w:color="auto" w:sz="4" w:space="0"/>
            </w:tcBorders>
          </w:tcPr>
          <w:p w14:paraId="589E0BD9">
            <w:pPr>
              <w:jc w:val="center"/>
              <w:rPr>
                <w:rFonts w:eastAsia="楷体_GB2312"/>
                <w:lang w:eastAsia="zh-CN"/>
              </w:rPr>
            </w:pPr>
          </w:p>
        </w:tc>
        <w:tc>
          <w:tcPr>
            <w:tcW w:w="1603" w:type="dxa"/>
            <w:tcBorders>
              <w:top w:val="single" w:color="auto" w:sz="4" w:space="0"/>
              <w:left w:val="single" w:color="auto" w:sz="4" w:space="0"/>
              <w:bottom w:val="single" w:color="auto" w:sz="4" w:space="0"/>
            </w:tcBorders>
          </w:tcPr>
          <w:p w14:paraId="4239690F">
            <w:pPr>
              <w:jc w:val="center"/>
              <w:rPr>
                <w:rFonts w:eastAsia="楷体_GB2312"/>
                <w:lang w:eastAsia="zh-CN"/>
              </w:rPr>
            </w:pPr>
          </w:p>
        </w:tc>
      </w:tr>
      <w:tr w14:paraId="6FDB9C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 w:hRule="atLeast"/>
        </w:trPr>
        <w:tc>
          <w:tcPr>
            <w:tcW w:w="2296" w:type="dxa"/>
            <w:tcBorders>
              <w:top w:val="single" w:color="auto" w:sz="4" w:space="0"/>
              <w:bottom w:val="single" w:color="auto" w:sz="4" w:space="0"/>
              <w:right w:val="single" w:color="auto" w:sz="4" w:space="0"/>
            </w:tcBorders>
          </w:tcPr>
          <w:p w14:paraId="6829F44D">
            <w:pPr>
              <w:rPr>
                <w:rFonts w:eastAsia="楷体_GB2312"/>
                <w:sz w:val="18"/>
                <w:szCs w:val="18"/>
                <w:lang w:eastAsia="zh-CN"/>
              </w:rPr>
            </w:pPr>
            <w:r>
              <w:rPr>
                <w:rFonts w:eastAsia="楷体_GB2312"/>
                <w:sz w:val="18"/>
                <w:szCs w:val="18"/>
                <w:lang w:eastAsia="zh-CN"/>
              </w:rPr>
              <w:t>为避免逾期或持续逾期而予以重组或展期的个人汽车贷款</w:t>
            </w:r>
          </w:p>
        </w:tc>
        <w:tc>
          <w:tcPr>
            <w:tcW w:w="1602" w:type="dxa"/>
            <w:tcBorders>
              <w:top w:val="single" w:color="auto" w:sz="4" w:space="0"/>
              <w:left w:val="single" w:color="auto" w:sz="4" w:space="0"/>
              <w:bottom w:val="single" w:color="auto" w:sz="4" w:space="0"/>
              <w:right w:val="single" w:color="auto" w:sz="4" w:space="0"/>
            </w:tcBorders>
          </w:tcPr>
          <w:p w14:paraId="2C8E0EC8">
            <w:pPr>
              <w:jc w:val="center"/>
              <w:rPr>
                <w:rFonts w:eastAsia="楷体_GB2312"/>
                <w:lang w:eastAsia="zh-CN"/>
              </w:rPr>
            </w:pPr>
          </w:p>
        </w:tc>
        <w:tc>
          <w:tcPr>
            <w:tcW w:w="1311" w:type="dxa"/>
            <w:tcBorders>
              <w:top w:val="single" w:color="auto" w:sz="4" w:space="0"/>
              <w:left w:val="single" w:color="auto" w:sz="4" w:space="0"/>
              <w:bottom w:val="single" w:color="auto" w:sz="4" w:space="0"/>
              <w:right w:val="single" w:color="auto" w:sz="4" w:space="0"/>
            </w:tcBorders>
          </w:tcPr>
          <w:p w14:paraId="60D9DC35">
            <w:pPr>
              <w:jc w:val="center"/>
              <w:rPr>
                <w:rFonts w:eastAsia="楷体_GB2312"/>
                <w:lang w:eastAsia="zh-CN"/>
              </w:rPr>
            </w:pPr>
          </w:p>
        </w:tc>
        <w:tc>
          <w:tcPr>
            <w:tcW w:w="2184" w:type="dxa"/>
            <w:tcBorders>
              <w:top w:val="single" w:color="auto" w:sz="4" w:space="0"/>
              <w:left w:val="single" w:color="auto" w:sz="4" w:space="0"/>
              <w:bottom w:val="single" w:color="auto" w:sz="4" w:space="0"/>
              <w:right w:val="single" w:color="auto" w:sz="4" w:space="0"/>
            </w:tcBorders>
          </w:tcPr>
          <w:p w14:paraId="20E1B705">
            <w:pPr>
              <w:jc w:val="center"/>
              <w:rPr>
                <w:rFonts w:eastAsia="楷体_GB2312"/>
                <w:lang w:eastAsia="zh-CN"/>
              </w:rPr>
            </w:pPr>
          </w:p>
        </w:tc>
        <w:tc>
          <w:tcPr>
            <w:tcW w:w="1603" w:type="dxa"/>
            <w:tcBorders>
              <w:top w:val="single" w:color="auto" w:sz="4" w:space="0"/>
              <w:left w:val="single" w:color="auto" w:sz="4" w:space="0"/>
              <w:bottom w:val="single" w:color="auto" w:sz="4" w:space="0"/>
            </w:tcBorders>
          </w:tcPr>
          <w:p w14:paraId="0E370586">
            <w:pPr>
              <w:jc w:val="center"/>
              <w:rPr>
                <w:rFonts w:eastAsia="楷体_GB2312"/>
                <w:lang w:eastAsia="zh-CN"/>
              </w:rPr>
            </w:pPr>
          </w:p>
        </w:tc>
      </w:tr>
      <w:tr w14:paraId="68A3F0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 w:hRule="atLeast"/>
        </w:trPr>
        <w:tc>
          <w:tcPr>
            <w:tcW w:w="2296" w:type="dxa"/>
            <w:tcBorders>
              <w:top w:val="single" w:color="auto" w:sz="4" w:space="0"/>
              <w:bottom w:val="single" w:color="auto" w:sz="4" w:space="0"/>
              <w:right w:val="single" w:color="auto" w:sz="4" w:space="0"/>
            </w:tcBorders>
          </w:tcPr>
          <w:p w14:paraId="571C3EDD">
            <w:pPr>
              <w:rPr>
                <w:rFonts w:eastAsia="楷体_GB2312"/>
                <w:sz w:val="18"/>
                <w:szCs w:val="18"/>
                <w:lang w:eastAsia="zh-CN"/>
              </w:rPr>
            </w:pPr>
            <w:r>
              <w:rPr>
                <w:rFonts w:eastAsia="楷体_GB2312"/>
                <w:sz w:val="18"/>
                <w:szCs w:val="18"/>
                <w:lang w:eastAsia="zh-CN"/>
              </w:rPr>
              <w:t>借款人被人民法院裁定受理其破产申请</w:t>
            </w:r>
          </w:p>
        </w:tc>
        <w:tc>
          <w:tcPr>
            <w:tcW w:w="1602" w:type="dxa"/>
            <w:tcBorders>
              <w:top w:val="single" w:color="auto" w:sz="4" w:space="0"/>
              <w:left w:val="single" w:color="auto" w:sz="4" w:space="0"/>
              <w:bottom w:val="single" w:color="auto" w:sz="4" w:space="0"/>
              <w:right w:val="single" w:color="auto" w:sz="4" w:space="0"/>
            </w:tcBorders>
          </w:tcPr>
          <w:p w14:paraId="71A499FF">
            <w:pPr>
              <w:jc w:val="center"/>
              <w:rPr>
                <w:rFonts w:eastAsia="楷体_GB2312"/>
                <w:lang w:eastAsia="zh-CN"/>
              </w:rPr>
            </w:pPr>
          </w:p>
        </w:tc>
        <w:tc>
          <w:tcPr>
            <w:tcW w:w="1311" w:type="dxa"/>
            <w:tcBorders>
              <w:top w:val="single" w:color="auto" w:sz="4" w:space="0"/>
              <w:left w:val="single" w:color="auto" w:sz="4" w:space="0"/>
              <w:bottom w:val="single" w:color="auto" w:sz="4" w:space="0"/>
              <w:right w:val="single" w:color="auto" w:sz="4" w:space="0"/>
            </w:tcBorders>
          </w:tcPr>
          <w:p w14:paraId="52B4B330">
            <w:pPr>
              <w:jc w:val="center"/>
              <w:rPr>
                <w:rFonts w:eastAsia="楷体_GB2312"/>
                <w:lang w:eastAsia="zh-CN"/>
              </w:rPr>
            </w:pPr>
          </w:p>
        </w:tc>
        <w:tc>
          <w:tcPr>
            <w:tcW w:w="2184" w:type="dxa"/>
            <w:tcBorders>
              <w:top w:val="single" w:color="auto" w:sz="4" w:space="0"/>
              <w:left w:val="single" w:color="auto" w:sz="4" w:space="0"/>
              <w:bottom w:val="single" w:color="auto" w:sz="4" w:space="0"/>
              <w:right w:val="single" w:color="auto" w:sz="4" w:space="0"/>
            </w:tcBorders>
          </w:tcPr>
          <w:p w14:paraId="794B1379">
            <w:pPr>
              <w:jc w:val="center"/>
              <w:rPr>
                <w:rFonts w:eastAsia="楷体_GB2312"/>
                <w:lang w:eastAsia="zh-CN"/>
              </w:rPr>
            </w:pPr>
          </w:p>
        </w:tc>
        <w:tc>
          <w:tcPr>
            <w:tcW w:w="1603" w:type="dxa"/>
            <w:tcBorders>
              <w:top w:val="single" w:color="auto" w:sz="4" w:space="0"/>
              <w:left w:val="single" w:color="auto" w:sz="4" w:space="0"/>
              <w:bottom w:val="single" w:color="auto" w:sz="4" w:space="0"/>
            </w:tcBorders>
          </w:tcPr>
          <w:p w14:paraId="5036FD65">
            <w:pPr>
              <w:jc w:val="center"/>
              <w:rPr>
                <w:rFonts w:eastAsia="楷体_GB2312"/>
                <w:lang w:eastAsia="zh-CN"/>
              </w:rPr>
            </w:pPr>
          </w:p>
        </w:tc>
      </w:tr>
      <w:tr w14:paraId="35F315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 w:hRule="atLeast"/>
        </w:trPr>
        <w:tc>
          <w:tcPr>
            <w:tcW w:w="8996" w:type="dxa"/>
            <w:gridSpan w:val="5"/>
            <w:tcBorders>
              <w:top w:val="single" w:color="auto" w:sz="4" w:space="0"/>
              <w:bottom w:val="single" w:color="auto" w:sz="4" w:space="0"/>
            </w:tcBorders>
          </w:tcPr>
          <w:p w14:paraId="743BD1F8">
            <w:pPr>
              <w:rPr>
                <w:rFonts w:eastAsia="楷体_GB2312"/>
                <w:sz w:val="18"/>
                <w:szCs w:val="18"/>
                <w:lang w:eastAsia="zh-CN"/>
              </w:rPr>
            </w:pPr>
            <w:r>
              <w:rPr>
                <w:rFonts w:eastAsia="楷体_GB2312"/>
                <w:sz w:val="18"/>
                <w:szCs w:val="18"/>
                <w:lang w:eastAsia="zh-CN"/>
              </w:rPr>
              <w:t>注：此处本金余额系指违约贷款在成为违约贷款时的未偿本金余额</w:t>
            </w:r>
          </w:p>
        </w:tc>
      </w:tr>
      <w:tr w14:paraId="547512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 w:hRule="atLeast"/>
        </w:trPr>
        <w:tc>
          <w:tcPr>
            <w:tcW w:w="8996" w:type="dxa"/>
            <w:gridSpan w:val="5"/>
            <w:tcBorders>
              <w:top w:val="single" w:color="auto" w:sz="4" w:space="0"/>
              <w:bottom w:val="nil"/>
            </w:tcBorders>
          </w:tcPr>
          <w:p w14:paraId="4986D3B8">
            <w:pPr>
              <w:rPr>
                <w:rFonts w:eastAsia="楷体_GB2312"/>
                <w:lang w:eastAsia="zh-CN"/>
              </w:rPr>
            </w:pPr>
          </w:p>
        </w:tc>
      </w:tr>
      <w:tr w14:paraId="00A058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 w:hRule="atLeast"/>
        </w:trPr>
        <w:tc>
          <w:tcPr>
            <w:tcW w:w="8996" w:type="dxa"/>
            <w:gridSpan w:val="5"/>
            <w:tcBorders>
              <w:top w:val="nil"/>
              <w:bottom w:val="single" w:color="auto" w:sz="4" w:space="0"/>
            </w:tcBorders>
          </w:tcPr>
          <w:p w14:paraId="2A4A54B4">
            <w:pPr>
              <w:rPr>
                <w:rFonts w:eastAsia="楷体_GB2312"/>
                <w:lang w:eastAsia="zh-CN"/>
              </w:rPr>
            </w:pPr>
            <w:r>
              <w:rPr>
                <w:rFonts w:eastAsia="楷体_GB2312"/>
                <w:lang w:eastAsia="zh-CN"/>
              </w:rPr>
              <w:t>（三）本报告期末违约贷款处置情况</w:t>
            </w:r>
          </w:p>
        </w:tc>
      </w:tr>
      <w:tr w14:paraId="7FA4CB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 w:hRule="atLeast"/>
        </w:trPr>
        <w:tc>
          <w:tcPr>
            <w:tcW w:w="2296" w:type="dxa"/>
            <w:tcBorders>
              <w:top w:val="single" w:color="auto" w:sz="4" w:space="0"/>
              <w:bottom w:val="single" w:color="auto" w:sz="4" w:space="0"/>
              <w:right w:val="single" w:color="auto" w:sz="4" w:space="0"/>
            </w:tcBorders>
            <w:vAlign w:val="center"/>
          </w:tcPr>
          <w:p w14:paraId="226A622B">
            <w:pPr>
              <w:jc w:val="center"/>
              <w:rPr>
                <w:rFonts w:eastAsia="楷体_GB2312"/>
                <w:b/>
                <w:sz w:val="18"/>
              </w:rPr>
            </w:pPr>
            <w:r>
              <w:rPr>
                <w:rFonts w:eastAsia="楷体_GB2312"/>
                <w:b/>
              </w:rPr>
              <w:t>处置状态</w:t>
            </w:r>
          </w:p>
        </w:tc>
        <w:tc>
          <w:tcPr>
            <w:tcW w:w="1602" w:type="dxa"/>
            <w:tcBorders>
              <w:top w:val="single" w:color="auto" w:sz="4" w:space="0"/>
              <w:left w:val="single" w:color="auto" w:sz="4" w:space="0"/>
              <w:bottom w:val="single" w:color="auto" w:sz="4" w:space="0"/>
              <w:right w:val="single" w:color="auto" w:sz="4" w:space="0"/>
            </w:tcBorders>
            <w:vAlign w:val="center"/>
          </w:tcPr>
          <w:p w14:paraId="6644CD8F">
            <w:pPr>
              <w:jc w:val="center"/>
              <w:rPr>
                <w:rFonts w:eastAsia="楷体_GB2312"/>
                <w:b/>
              </w:rPr>
            </w:pPr>
            <w:r>
              <w:rPr>
                <w:rFonts w:eastAsia="楷体_GB2312"/>
                <w:b/>
              </w:rPr>
              <w:t>违约贷款笔数</w:t>
            </w:r>
          </w:p>
        </w:tc>
        <w:tc>
          <w:tcPr>
            <w:tcW w:w="1311" w:type="dxa"/>
            <w:tcBorders>
              <w:top w:val="single" w:color="auto" w:sz="4" w:space="0"/>
              <w:left w:val="single" w:color="auto" w:sz="4" w:space="0"/>
              <w:bottom w:val="single" w:color="auto" w:sz="4" w:space="0"/>
              <w:right w:val="single" w:color="auto" w:sz="4" w:space="0"/>
            </w:tcBorders>
            <w:vAlign w:val="center"/>
          </w:tcPr>
          <w:p w14:paraId="788EC64B">
            <w:pPr>
              <w:jc w:val="center"/>
              <w:rPr>
                <w:rFonts w:eastAsia="楷体_GB2312"/>
                <w:b/>
                <w:lang w:eastAsia="zh-CN"/>
              </w:rPr>
            </w:pPr>
            <w:r>
              <w:rPr>
                <w:rFonts w:eastAsia="楷体_GB2312"/>
                <w:b/>
                <w:lang w:eastAsia="zh-CN"/>
              </w:rPr>
              <w:t>占初始起算日贷款笔数占比</w:t>
            </w:r>
          </w:p>
        </w:tc>
        <w:tc>
          <w:tcPr>
            <w:tcW w:w="2184" w:type="dxa"/>
            <w:tcBorders>
              <w:top w:val="single" w:color="auto" w:sz="4" w:space="0"/>
              <w:left w:val="single" w:color="auto" w:sz="4" w:space="0"/>
              <w:bottom w:val="single" w:color="auto" w:sz="4" w:space="0"/>
              <w:right w:val="single" w:color="auto" w:sz="4" w:space="0"/>
            </w:tcBorders>
            <w:vAlign w:val="center"/>
          </w:tcPr>
          <w:p w14:paraId="185A1D97">
            <w:pPr>
              <w:jc w:val="center"/>
              <w:rPr>
                <w:rFonts w:eastAsia="楷体_GB2312"/>
                <w:b/>
              </w:rPr>
            </w:pPr>
            <w:r>
              <w:rPr>
                <w:rFonts w:eastAsia="楷体_GB2312"/>
                <w:b/>
              </w:rPr>
              <w:t>违约贷款金额</w:t>
            </w:r>
          </w:p>
        </w:tc>
        <w:tc>
          <w:tcPr>
            <w:tcW w:w="1603" w:type="dxa"/>
            <w:tcBorders>
              <w:top w:val="single" w:color="auto" w:sz="4" w:space="0"/>
              <w:left w:val="single" w:color="auto" w:sz="4" w:space="0"/>
              <w:bottom w:val="single" w:color="auto" w:sz="4" w:space="0"/>
            </w:tcBorders>
            <w:vAlign w:val="center"/>
          </w:tcPr>
          <w:p w14:paraId="542DE486">
            <w:pPr>
              <w:jc w:val="center"/>
              <w:rPr>
                <w:rFonts w:eastAsia="楷体_GB2312"/>
                <w:b/>
                <w:lang w:eastAsia="zh-CN"/>
              </w:rPr>
            </w:pPr>
            <w:r>
              <w:rPr>
                <w:rFonts w:eastAsia="楷体_GB2312"/>
                <w:b/>
                <w:lang w:eastAsia="zh-CN"/>
              </w:rPr>
              <w:t>占初始起算日本金余额占比</w:t>
            </w:r>
          </w:p>
        </w:tc>
      </w:tr>
      <w:tr w14:paraId="4E94FA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 w:hRule="atLeast"/>
        </w:trPr>
        <w:tc>
          <w:tcPr>
            <w:tcW w:w="2296" w:type="dxa"/>
            <w:tcBorders>
              <w:top w:val="single" w:color="auto" w:sz="4" w:space="0"/>
              <w:bottom w:val="single" w:color="auto" w:sz="4" w:space="0"/>
              <w:right w:val="single" w:color="auto" w:sz="4" w:space="0"/>
            </w:tcBorders>
            <w:vAlign w:val="center"/>
          </w:tcPr>
          <w:p w14:paraId="7011CB1D">
            <w:pPr>
              <w:jc w:val="center"/>
              <w:rPr>
                <w:rFonts w:eastAsia="楷体_GB2312"/>
                <w:sz w:val="18"/>
              </w:rPr>
            </w:pPr>
            <w:r>
              <w:rPr>
                <w:rFonts w:eastAsia="楷体_GB2312"/>
                <w:sz w:val="18"/>
              </w:rPr>
              <w:t>非诉讼类处置</w:t>
            </w:r>
          </w:p>
        </w:tc>
        <w:tc>
          <w:tcPr>
            <w:tcW w:w="1602" w:type="dxa"/>
            <w:tcBorders>
              <w:top w:val="single" w:color="auto" w:sz="4" w:space="0"/>
              <w:left w:val="single" w:color="auto" w:sz="4" w:space="0"/>
              <w:bottom w:val="single" w:color="auto" w:sz="4" w:space="0"/>
              <w:right w:val="single" w:color="auto" w:sz="4" w:space="0"/>
            </w:tcBorders>
            <w:vAlign w:val="center"/>
          </w:tcPr>
          <w:p w14:paraId="75AA09CC">
            <w:pPr>
              <w:jc w:val="center"/>
              <w:rPr>
                <w:rFonts w:eastAsia="楷体_GB2312"/>
              </w:rPr>
            </w:pPr>
          </w:p>
        </w:tc>
        <w:tc>
          <w:tcPr>
            <w:tcW w:w="1311" w:type="dxa"/>
            <w:tcBorders>
              <w:top w:val="single" w:color="auto" w:sz="4" w:space="0"/>
              <w:left w:val="single" w:color="auto" w:sz="4" w:space="0"/>
              <w:bottom w:val="single" w:color="auto" w:sz="4" w:space="0"/>
              <w:right w:val="single" w:color="auto" w:sz="4" w:space="0"/>
            </w:tcBorders>
            <w:vAlign w:val="center"/>
          </w:tcPr>
          <w:p w14:paraId="1746D777">
            <w:pPr>
              <w:jc w:val="center"/>
              <w:rPr>
                <w:rFonts w:eastAsia="楷体_GB2312"/>
              </w:rPr>
            </w:pPr>
          </w:p>
        </w:tc>
        <w:tc>
          <w:tcPr>
            <w:tcW w:w="2184" w:type="dxa"/>
            <w:tcBorders>
              <w:top w:val="single" w:color="auto" w:sz="4" w:space="0"/>
              <w:left w:val="single" w:color="auto" w:sz="4" w:space="0"/>
              <w:bottom w:val="single" w:color="auto" w:sz="4" w:space="0"/>
              <w:right w:val="single" w:color="auto" w:sz="4" w:space="0"/>
            </w:tcBorders>
            <w:vAlign w:val="center"/>
          </w:tcPr>
          <w:p w14:paraId="13C4A98E">
            <w:pPr>
              <w:jc w:val="center"/>
              <w:rPr>
                <w:rFonts w:eastAsia="楷体_GB2312"/>
              </w:rPr>
            </w:pPr>
          </w:p>
        </w:tc>
        <w:tc>
          <w:tcPr>
            <w:tcW w:w="1603" w:type="dxa"/>
            <w:tcBorders>
              <w:top w:val="single" w:color="auto" w:sz="4" w:space="0"/>
              <w:left w:val="single" w:color="auto" w:sz="4" w:space="0"/>
              <w:bottom w:val="single" w:color="auto" w:sz="4" w:space="0"/>
            </w:tcBorders>
            <w:vAlign w:val="center"/>
          </w:tcPr>
          <w:p w14:paraId="7AA95E56">
            <w:pPr>
              <w:jc w:val="center"/>
              <w:rPr>
                <w:rFonts w:eastAsia="楷体_GB2312"/>
              </w:rPr>
            </w:pPr>
          </w:p>
        </w:tc>
      </w:tr>
      <w:tr w14:paraId="5077B8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 w:hRule="atLeast"/>
        </w:trPr>
        <w:tc>
          <w:tcPr>
            <w:tcW w:w="2296" w:type="dxa"/>
            <w:tcBorders>
              <w:top w:val="single" w:color="auto" w:sz="4" w:space="0"/>
              <w:bottom w:val="single" w:color="auto" w:sz="4" w:space="0"/>
              <w:right w:val="single" w:color="auto" w:sz="4" w:space="0"/>
            </w:tcBorders>
            <w:vAlign w:val="center"/>
          </w:tcPr>
          <w:p w14:paraId="44594607">
            <w:pPr>
              <w:jc w:val="center"/>
              <w:rPr>
                <w:rFonts w:eastAsia="楷体_GB2312"/>
                <w:sz w:val="18"/>
              </w:rPr>
            </w:pPr>
            <w:r>
              <w:rPr>
                <w:rFonts w:eastAsia="楷体_GB2312"/>
                <w:sz w:val="18"/>
              </w:rPr>
              <w:t>诉讼类处置：</w:t>
            </w:r>
          </w:p>
        </w:tc>
        <w:tc>
          <w:tcPr>
            <w:tcW w:w="1602" w:type="dxa"/>
            <w:tcBorders>
              <w:top w:val="single" w:color="auto" w:sz="4" w:space="0"/>
              <w:left w:val="single" w:color="auto" w:sz="4" w:space="0"/>
              <w:bottom w:val="single" w:color="auto" w:sz="4" w:space="0"/>
              <w:right w:val="single" w:color="auto" w:sz="4" w:space="0"/>
            </w:tcBorders>
            <w:vAlign w:val="center"/>
          </w:tcPr>
          <w:p w14:paraId="2FE0471F">
            <w:pPr>
              <w:jc w:val="center"/>
              <w:rPr>
                <w:rFonts w:eastAsia="楷体_GB2312"/>
              </w:rPr>
            </w:pPr>
          </w:p>
        </w:tc>
        <w:tc>
          <w:tcPr>
            <w:tcW w:w="1311" w:type="dxa"/>
            <w:tcBorders>
              <w:top w:val="single" w:color="auto" w:sz="4" w:space="0"/>
              <w:left w:val="single" w:color="auto" w:sz="4" w:space="0"/>
              <w:bottom w:val="single" w:color="auto" w:sz="4" w:space="0"/>
              <w:right w:val="single" w:color="auto" w:sz="4" w:space="0"/>
            </w:tcBorders>
            <w:vAlign w:val="center"/>
          </w:tcPr>
          <w:p w14:paraId="4A153C2A">
            <w:pPr>
              <w:jc w:val="center"/>
              <w:rPr>
                <w:rFonts w:eastAsia="楷体_GB2312"/>
              </w:rPr>
            </w:pPr>
          </w:p>
        </w:tc>
        <w:tc>
          <w:tcPr>
            <w:tcW w:w="2184" w:type="dxa"/>
            <w:tcBorders>
              <w:top w:val="single" w:color="auto" w:sz="4" w:space="0"/>
              <w:left w:val="single" w:color="auto" w:sz="4" w:space="0"/>
              <w:bottom w:val="single" w:color="auto" w:sz="4" w:space="0"/>
              <w:right w:val="single" w:color="auto" w:sz="4" w:space="0"/>
            </w:tcBorders>
            <w:vAlign w:val="center"/>
          </w:tcPr>
          <w:p w14:paraId="2BB1F12C">
            <w:pPr>
              <w:jc w:val="center"/>
              <w:rPr>
                <w:rFonts w:eastAsia="楷体_GB2312"/>
              </w:rPr>
            </w:pPr>
          </w:p>
        </w:tc>
        <w:tc>
          <w:tcPr>
            <w:tcW w:w="1603" w:type="dxa"/>
            <w:tcBorders>
              <w:top w:val="single" w:color="auto" w:sz="4" w:space="0"/>
              <w:left w:val="single" w:color="auto" w:sz="4" w:space="0"/>
              <w:bottom w:val="single" w:color="auto" w:sz="4" w:space="0"/>
            </w:tcBorders>
            <w:vAlign w:val="center"/>
          </w:tcPr>
          <w:p w14:paraId="647DFD9F">
            <w:pPr>
              <w:jc w:val="center"/>
              <w:rPr>
                <w:rFonts w:eastAsia="楷体_GB2312"/>
              </w:rPr>
            </w:pPr>
          </w:p>
        </w:tc>
      </w:tr>
      <w:tr w14:paraId="6BB7AC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 w:hRule="atLeast"/>
        </w:trPr>
        <w:tc>
          <w:tcPr>
            <w:tcW w:w="2296" w:type="dxa"/>
            <w:tcBorders>
              <w:top w:val="single" w:color="auto" w:sz="4" w:space="0"/>
              <w:bottom w:val="single" w:color="auto" w:sz="4" w:space="0"/>
              <w:right w:val="single" w:color="auto" w:sz="4" w:space="0"/>
            </w:tcBorders>
            <w:vAlign w:val="center"/>
          </w:tcPr>
          <w:p w14:paraId="1BE9C94B">
            <w:pPr>
              <w:jc w:val="center"/>
              <w:rPr>
                <w:rFonts w:eastAsia="楷体_GB2312"/>
                <w:sz w:val="18"/>
                <w:lang w:eastAsia="zh-CN"/>
              </w:rPr>
            </w:pPr>
            <w:r>
              <w:rPr>
                <w:rFonts w:eastAsia="楷体_GB2312"/>
                <w:sz w:val="18"/>
                <w:lang w:eastAsia="zh-CN"/>
              </w:rPr>
              <w:t>(1)进入诉讼准备程序</w:t>
            </w:r>
          </w:p>
        </w:tc>
        <w:tc>
          <w:tcPr>
            <w:tcW w:w="1602" w:type="dxa"/>
            <w:tcBorders>
              <w:top w:val="single" w:color="auto" w:sz="4" w:space="0"/>
              <w:left w:val="single" w:color="auto" w:sz="4" w:space="0"/>
              <w:bottom w:val="single" w:color="auto" w:sz="4" w:space="0"/>
              <w:right w:val="single" w:color="auto" w:sz="4" w:space="0"/>
            </w:tcBorders>
            <w:vAlign w:val="center"/>
          </w:tcPr>
          <w:p w14:paraId="72DC0A79">
            <w:pPr>
              <w:jc w:val="center"/>
              <w:rPr>
                <w:rFonts w:eastAsia="楷体_GB2312"/>
                <w:lang w:eastAsia="zh-CN"/>
              </w:rPr>
            </w:pPr>
          </w:p>
        </w:tc>
        <w:tc>
          <w:tcPr>
            <w:tcW w:w="1311" w:type="dxa"/>
            <w:tcBorders>
              <w:top w:val="single" w:color="auto" w:sz="4" w:space="0"/>
              <w:left w:val="single" w:color="auto" w:sz="4" w:space="0"/>
              <w:bottom w:val="single" w:color="auto" w:sz="4" w:space="0"/>
              <w:right w:val="single" w:color="auto" w:sz="4" w:space="0"/>
            </w:tcBorders>
            <w:vAlign w:val="center"/>
          </w:tcPr>
          <w:p w14:paraId="7E8AC80D">
            <w:pPr>
              <w:jc w:val="center"/>
              <w:rPr>
                <w:rFonts w:eastAsia="楷体_GB2312"/>
                <w:lang w:eastAsia="zh-CN"/>
              </w:rPr>
            </w:pPr>
          </w:p>
        </w:tc>
        <w:tc>
          <w:tcPr>
            <w:tcW w:w="2184" w:type="dxa"/>
            <w:tcBorders>
              <w:top w:val="single" w:color="auto" w:sz="4" w:space="0"/>
              <w:left w:val="single" w:color="auto" w:sz="4" w:space="0"/>
              <w:bottom w:val="single" w:color="auto" w:sz="4" w:space="0"/>
              <w:right w:val="single" w:color="auto" w:sz="4" w:space="0"/>
            </w:tcBorders>
            <w:vAlign w:val="center"/>
          </w:tcPr>
          <w:p w14:paraId="2D29A3EB">
            <w:pPr>
              <w:jc w:val="center"/>
              <w:rPr>
                <w:rFonts w:eastAsia="楷体_GB2312"/>
                <w:lang w:eastAsia="zh-CN"/>
              </w:rPr>
            </w:pPr>
          </w:p>
        </w:tc>
        <w:tc>
          <w:tcPr>
            <w:tcW w:w="1603" w:type="dxa"/>
            <w:tcBorders>
              <w:top w:val="single" w:color="auto" w:sz="4" w:space="0"/>
              <w:left w:val="single" w:color="auto" w:sz="4" w:space="0"/>
              <w:bottom w:val="single" w:color="auto" w:sz="4" w:space="0"/>
            </w:tcBorders>
            <w:vAlign w:val="center"/>
          </w:tcPr>
          <w:p w14:paraId="31823854">
            <w:pPr>
              <w:jc w:val="center"/>
              <w:rPr>
                <w:rFonts w:eastAsia="楷体_GB2312"/>
                <w:lang w:eastAsia="zh-CN"/>
              </w:rPr>
            </w:pPr>
          </w:p>
        </w:tc>
      </w:tr>
      <w:tr w14:paraId="715DD2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 w:hRule="atLeast"/>
        </w:trPr>
        <w:tc>
          <w:tcPr>
            <w:tcW w:w="2296" w:type="dxa"/>
            <w:tcBorders>
              <w:top w:val="single" w:color="auto" w:sz="4" w:space="0"/>
              <w:bottom w:val="single" w:color="auto" w:sz="4" w:space="0"/>
              <w:right w:val="single" w:color="auto" w:sz="4" w:space="0"/>
            </w:tcBorders>
            <w:vAlign w:val="center"/>
          </w:tcPr>
          <w:p w14:paraId="00696C75">
            <w:pPr>
              <w:jc w:val="center"/>
              <w:rPr>
                <w:rFonts w:eastAsia="楷体_GB2312"/>
                <w:sz w:val="18"/>
                <w:lang w:eastAsia="zh-CN"/>
              </w:rPr>
            </w:pPr>
            <w:r>
              <w:rPr>
                <w:rFonts w:eastAsia="楷体_GB2312"/>
                <w:sz w:val="18"/>
                <w:lang w:eastAsia="zh-CN"/>
              </w:rPr>
              <w:t>(2)进入法庭受理程序</w:t>
            </w:r>
          </w:p>
        </w:tc>
        <w:tc>
          <w:tcPr>
            <w:tcW w:w="1602" w:type="dxa"/>
            <w:tcBorders>
              <w:top w:val="single" w:color="auto" w:sz="4" w:space="0"/>
              <w:left w:val="single" w:color="auto" w:sz="4" w:space="0"/>
              <w:bottom w:val="single" w:color="auto" w:sz="4" w:space="0"/>
              <w:right w:val="single" w:color="auto" w:sz="4" w:space="0"/>
            </w:tcBorders>
            <w:vAlign w:val="center"/>
          </w:tcPr>
          <w:p w14:paraId="677269BE">
            <w:pPr>
              <w:jc w:val="center"/>
              <w:rPr>
                <w:rFonts w:eastAsia="楷体_GB2312"/>
                <w:lang w:eastAsia="zh-CN"/>
              </w:rPr>
            </w:pPr>
          </w:p>
        </w:tc>
        <w:tc>
          <w:tcPr>
            <w:tcW w:w="1311" w:type="dxa"/>
            <w:tcBorders>
              <w:top w:val="single" w:color="auto" w:sz="4" w:space="0"/>
              <w:left w:val="single" w:color="auto" w:sz="4" w:space="0"/>
              <w:bottom w:val="single" w:color="auto" w:sz="4" w:space="0"/>
              <w:right w:val="single" w:color="auto" w:sz="4" w:space="0"/>
            </w:tcBorders>
            <w:vAlign w:val="center"/>
          </w:tcPr>
          <w:p w14:paraId="2B4F826E">
            <w:pPr>
              <w:jc w:val="center"/>
              <w:rPr>
                <w:rFonts w:eastAsia="楷体_GB2312"/>
                <w:lang w:eastAsia="zh-CN"/>
              </w:rPr>
            </w:pPr>
          </w:p>
        </w:tc>
        <w:tc>
          <w:tcPr>
            <w:tcW w:w="2184" w:type="dxa"/>
            <w:tcBorders>
              <w:top w:val="single" w:color="auto" w:sz="4" w:space="0"/>
              <w:left w:val="single" w:color="auto" w:sz="4" w:space="0"/>
              <w:bottom w:val="single" w:color="auto" w:sz="4" w:space="0"/>
              <w:right w:val="single" w:color="auto" w:sz="4" w:space="0"/>
            </w:tcBorders>
            <w:vAlign w:val="center"/>
          </w:tcPr>
          <w:p w14:paraId="244B871C">
            <w:pPr>
              <w:jc w:val="center"/>
              <w:rPr>
                <w:rFonts w:eastAsia="楷体_GB2312"/>
                <w:lang w:eastAsia="zh-CN"/>
              </w:rPr>
            </w:pPr>
          </w:p>
        </w:tc>
        <w:tc>
          <w:tcPr>
            <w:tcW w:w="1603" w:type="dxa"/>
            <w:tcBorders>
              <w:top w:val="single" w:color="auto" w:sz="4" w:space="0"/>
              <w:left w:val="single" w:color="auto" w:sz="4" w:space="0"/>
              <w:bottom w:val="single" w:color="auto" w:sz="4" w:space="0"/>
            </w:tcBorders>
            <w:vAlign w:val="center"/>
          </w:tcPr>
          <w:p w14:paraId="008B0C27">
            <w:pPr>
              <w:jc w:val="center"/>
              <w:rPr>
                <w:rFonts w:eastAsia="楷体_GB2312"/>
                <w:lang w:eastAsia="zh-CN"/>
              </w:rPr>
            </w:pPr>
          </w:p>
        </w:tc>
      </w:tr>
      <w:tr w14:paraId="46D67A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 w:hRule="atLeast"/>
        </w:trPr>
        <w:tc>
          <w:tcPr>
            <w:tcW w:w="2296" w:type="dxa"/>
            <w:tcBorders>
              <w:top w:val="single" w:color="auto" w:sz="4" w:space="0"/>
              <w:bottom w:val="single" w:color="auto" w:sz="4" w:space="0"/>
              <w:right w:val="single" w:color="auto" w:sz="4" w:space="0"/>
            </w:tcBorders>
            <w:vAlign w:val="center"/>
          </w:tcPr>
          <w:p w14:paraId="3761DB16">
            <w:pPr>
              <w:jc w:val="center"/>
              <w:rPr>
                <w:rFonts w:eastAsia="楷体_GB2312"/>
                <w:sz w:val="18"/>
                <w:lang w:eastAsia="zh-CN"/>
              </w:rPr>
            </w:pPr>
            <w:r>
              <w:rPr>
                <w:rFonts w:eastAsia="楷体_GB2312"/>
                <w:sz w:val="18"/>
                <w:lang w:eastAsia="zh-CN"/>
              </w:rPr>
              <w:t>(3)进入执行拍卖程序</w:t>
            </w:r>
          </w:p>
        </w:tc>
        <w:tc>
          <w:tcPr>
            <w:tcW w:w="1602" w:type="dxa"/>
            <w:tcBorders>
              <w:top w:val="single" w:color="auto" w:sz="4" w:space="0"/>
              <w:left w:val="single" w:color="auto" w:sz="4" w:space="0"/>
              <w:bottom w:val="single" w:color="auto" w:sz="4" w:space="0"/>
              <w:right w:val="single" w:color="auto" w:sz="4" w:space="0"/>
            </w:tcBorders>
            <w:vAlign w:val="center"/>
          </w:tcPr>
          <w:p w14:paraId="401EA4CC">
            <w:pPr>
              <w:jc w:val="center"/>
              <w:rPr>
                <w:rFonts w:eastAsia="楷体_GB2312"/>
                <w:lang w:eastAsia="zh-CN"/>
              </w:rPr>
            </w:pPr>
          </w:p>
        </w:tc>
        <w:tc>
          <w:tcPr>
            <w:tcW w:w="1311" w:type="dxa"/>
            <w:tcBorders>
              <w:top w:val="single" w:color="auto" w:sz="4" w:space="0"/>
              <w:left w:val="single" w:color="auto" w:sz="4" w:space="0"/>
              <w:bottom w:val="single" w:color="auto" w:sz="4" w:space="0"/>
              <w:right w:val="single" w:color="auto" w:sz="4" w:space="0"/>
            </w:tcBorders>
            <w:vAlign w:val="center"/>
          </w:tcPr>
          <w:p w14:paraId="72A4FCB9">
            <w:pPr>
              <w:jc w:val="center"/>
              <w:rPr>
                <w:rFonts w:eastAsia="楷体_GB2312"/>
                <w:lang w:eastAsia="zh-CN"/>
              </w:rPr>
            </w:pPr>
          </w:p>
        </w:tc>
        <w:tc>
          <w:tcPr>
            <w:tcW w:w="2184" w:type="dxa"/>
            <w:tcBorders>
              <w:top w:val="single" w:color="auto" w:sz="4" w:space="0"/>
              <w:left w:val="single" w:color="auto" w:sz="4" w:space="0"/>
              <w:bottom w:val="single" w:color="auto" w:sz="4" w:space="0"/>
              <w:right w:val="single" w:color="auto" w:sz="4" w:space="0"/>
            </w:tcBorders>
            <w:vAlign w:val="center"/>
          </w:tcPr>
          <w:p w14:paraId="3E804483">
            <w:pPr>
              <w:jc w:val="center"/>
              <w:rPr>
                <w:rFonts w:eastAsia="楷体_GB2312"/>
                <w:lang w:eastAsia="zh-CN"/>
              </w:rPr>
            </w:pPr>
          </w:p>
        </w:tc>
        <w:tc>
          <w:tcPr>
            <w:tcW w:w="1603" w:type="dxa"/>
            <w:tcBorders>
              <w:top w:val="single" w:color="auto" w:sz="4" w:space="0"/>
              <w:left w:val="single" w:color="auto" w:sz="4" w:space="0"/>
              <w:bottom w:val="single" w:color="auto" w:sz="4" w:space="0"/>
            </w:tcBorders>
            <w:vAlign w:val="center"/>
          </w:tcPr>
          <w:p w14:paraId="59D12071">
            <w:pPr>
              <w:jc w:val="center"/>
              <w:rPr>
                <w:rFonts w:eastAsia="楷体_GB2312"/>
                <w:lang w:eastAsia="zh-CN"/>
              </w:rPr>
            </w:pPr>
          </w:p>
        </w:tc>
      </w:tr>
      <w:tr w14:paraId="767CEA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 w:hRule="atLeast"/>
        </w:trPr>
        <w:tc>
          <w:tcPr>
            <w:tcW w:w="2296" w:type="dxa"/>
            <w:tcBorders>
              <w:top w:val="single" w:color="auto" w:sz="4" w:space="0"/>
              <w:bottom w:val="single" w:color="auto" w:sz="4" w:space="0"/>
              <w:right w:val="single" w:color="auto" w:sz="4" w:space="0"/>
            </w:tcBorders>
            <w:vAlign w:val="center"/>
          </w:tcPr>
          <w:p w14:paraId="2D26461C">
            <w:pPr>
              <w:jc w:val="center"/>
              <w:rPr>
                <w:rFonts w:eastAsia="楷体_GB2312"/>
                <w:sz w:val="18"/>
              </w:rPr>
            </w:pPr>
            <w:r>
              <w:rPr>
                <w:rFonts w:eastAsia="楷体_GB2312"/>
                <w:sz w:val="18"/>
              </w:rPr>
              <w:t>经处置无拖欠</w:t>
            </w:r>
          </w:p>
        </w:tc>
        <w:tc>
          <w:tcPr>
            <w:tcW w:w="1602" w:type="dxa"/>
            <w:tcBorders>
              <w:top w:val="single" w:color="auto" w:sz="4" w:space="0"/>
              <w:left w:val="single" w:color="auto" w:sz="4" w:space="0"/>
              <w:bottom w:val="single" w:color="auto" w:sz="4" w:space="0"/>
              <w:right w:val="single" w:color="auto" w:sz="4" w:space="0"/>
            </w:tcBorders>
            <w:vAlign w:val="center"/>
          </w:tcPr>
          <w:p w14:paraId="305C7032">
            <w:pPr>
              <w:jc w:val="center"/>
              <w:rPr>
                <w:rFonts w:eastAsia="楷体_GB2312"/>
              </w:rPr>
            </w:pPr>
          </w:p>
        </w:tc>
        <w:tc>
          <w:tcPr>
            <w:tcW w:w="1311" w:type="dxa"/>
            <w:tcBorders>
              <w:top w:val="single" w:color="auto" w:sz="4" w:space="0"/>
              <w:left w:val="single" w:color="auto" w:sz="4" w:space="0"/>
              <w:bottom w:val="single" w:color="auto" w:sz="4" w:space="0"/>
              <w:right w:val="single" w:color="auto" w:sz="4" w:space="0"/>
            </w:tcBorders>
            <w:vAlign w:val="center"/>
          </w:tcPr>
          <w:p w14:paraId="654907B4">
            <w:pPr>
              <w:jc w:val="center"/>
              <w:rPr>
                <w:rFonts w:eastAsia="楷体_GB2312"/>
              </w:rPr>
            </w:pPr>
          </w:p>
        </w:tc>
        <w:tc>
          <w:tcPr>
            <w:tcW w:w="2184" w:type="dxa"/>
            <w:tcBorders>
              <w:top w:val="single" w:color="auto" w:sz="4" w:space="0"/>
              <w:left w:val="single" w:color="auto" w:sz="4" w:space="0"/>
              <w:bottom w:val="single" w:color="auto" w:sz="4" w:space="0"/>
              <w:right w:val="single" w:color="auto" w:sz="4" w:space="0"/>
            </w:tcBorders>
            <w:vAlign w:val="center"/>
          </w:tcPr>
          <w:p w14:paraId="3DB9608E">
            <w:pPr>
              <w:jc w:val="center"/>
              <w:rPr>
                <w:rFonts w:eastAsia="楷体_GB2312"/>
              </w:rPr>
            </w:pPr>
          </w:p>
        </w:tc>
        <w:tc>
          <w:tcPr>
            <w:tcW w:w="1603" w:type="dxa"/>
            <w:tcBorders>
              <w:top w:val="single" w:color="auto" w:sz="4" w:space="0"/>
              <w:left w:val="single" w:color="auto" w:sz="4" w:space="0"/>
              <w:bottom w:val="single" w:color="auto" w:sz="4" w:space="0"/>
            </w:tcBorders>
            <w:vAlign w:val="center"/>
          </w:tcPr>
          <w:p w14:paraId="0BB9EB1A">
            <w:pPr>
              <w:jc w:val="center"/>
              <w:rPr>
                <w:rFonts w:eastAsia="楷体_GB2312"/>
              </w:rPr>
            </w:pPr>
          </w:p>
        </w:tc>
      </w:tr>
      <w:tr w14:paraId="08875A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43" w:hRule="atLeast"/>
        </w:trPr>
        <w:tc>
          <w:tcPr>
            <w:tcW w:w="2296" w:type="dxa"/>
            <w:tcBorders>
              <w:top w:val="single" w:color="auto" w:sz="4" w:space="0"/>
              <w:bottom w:val="single" w:color="auto" w:sz="4" w:space="0"/>
              <w:right w:val="single" w:color="auto" w:sz="4" w:space="0"/>
            </w:tcBorders>
            <w:vAlign w:val="center"/>
          </w:tcPr>
          <w:p w14:paraId="3148E10A">
            <w:pPr>
              <w:jc w:val="center"/>
              <w:rPr>
                <w:rFonts w:eastAsia="楷体_GB2312"/>
                <w:sz w:val="18"/>
              </w:rPr>
            </w:pPr>
            <w:r>
              <w:rPr>
                <w:rFonts w:eastAsia="楷体_GB2312"/>
                <w:sz w:val="18"/>
              </w:rPr>
              <w:t>经处置已结清</w:t>
            </w:r>
          </w:p>
        </w:tc>
        <w:tc>
          <w:tcPr>
            <w:tcW w:w="1602" w:type="dxa"/>
            <w:tcBorders>
              <w:top w:val="single" w:color="auto" w:sz="4" w:space="0"/>
              <w:left w:val="single" w:color="auto" w:sz="4" w:space="0"/>
              <w:bottom w:val="single" w:color="auto" w:sz="4" w:space="0"/>
              <w:right w:val="single" w:color="auto" w:sz="4" w:space="0"/>
            </w:tcBorders>
            <w:vAlign w:val="center"/>
          </w:tcPr>
          <w:p w14:paraId="53EE0E61">
            <w:pPr>
              <w:jc w:val="center"/>
              <w:rPr>
                <w:rFonts w:eastAsia="楷体_GB2312"/>
              </w:rPr>
            </w:pPr>
          </w:p>
        </w:tc>
        <w:tc>
          <w:tcPr>
            <w:tcW w:w="1311" w:type="dxa"/>
            <w:tcBorders>
              <w:top w:val="single" w:color="auto" w:sz="4" w:space="0"/>
              <w:left w:val="single" w:color="auto" w:sz="4" w:space="0"/>
              <w:bottom w:val="single" w:color="auto" w:sz="4" w:space="0"/>
              <w:right w:val="single" w:color="auto" w:sz="4" w:space="0"/>
            </w:tcBorders>
            <w:vAlign w:val="center"/>
          </w:tcPr>
          <w:p w14:paraId="6EAA7F98">
            <w:pPr>
              <w:jc w:val="center"/>
              <w:rPr>
                <w:rFonts w:eastAsia="楷体_GB2312"/>
              </w:rPr>
            </w:pPr>
          </w:p>
        </w:tc>
        <w:tc>
          <w:tcPr>
            <w:tcW w:w="2184" w:type="dxa"/>
            <w:tcBorders>
              <w:top w:val="single" w:color="auto" w:sz="4" w:space="0"/>
              <w:left w:val="single" w:color="auto" w:sz="4" w:space="0"/>
              <w:bottom w:val="single" w:color="auto" w:sz="4" w:space="0"/>
              <w:right w:val="single" w:color="auto" w:sz="4" w:space="0"/>
            </w:tcBorders>
            <w:vAlign w:val="center"/>
          </w:tcPr>
          <w:p w14:paraId="1DEDDAB0">
            <w:pPr>
              <w:jc w:val="center"/>
              <w:rPr>
                <w:rFonts w:eastAsia="楷体_GB2312"/>
              </w:rPr>
            </w:pPr>
          </w:p>
        </w:tc>
        <w:tc>
          <w:tcPr>
            <w:tcW w:w="1603" w:type="dxa"/>
            <w:tcBorders>
              <w:top w:val="single" w:color="auto" w:sz="4" w:space="0"/>
              <w:left w:val="single" w:color="auto" w:sz="4" w:space="0"/>
              <w:bottom w:val="single" w:color="auto" w:sz="4" w:space="0"/>
            </w:tcBorders>
            <w:vAlign w:val="center"/>
          </w:tcPr>
          <w:p w14:paraId="48EB5E24">
            <w:pPr>
              <w:jc w:val="center"/>
              <w:rPr>
                <w:rFonts w:eastAsia="楷体_GB2312"/>
              </w:rPr>
            </w:pPr>
          </w:p>
        </w:tc>
      </w:tr>
      <w:tr w14:paraId="4F23E7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 w:hRule="atLeast"/>
        </w:trPr>
        <w:tc>
          <w:tcPr>
            <w:tcW w:w="2296" w:type="dxa"/>
            <w:tcBorders>
              <w:top w:val="single" w:color="auto" w:sz="4" w:space="0"/>
              <w:bottom w:val="single" w:color="auto" w:sz="4" w:space="0"/>
              <w:right w:val="single" w:color="auto" w:sz="4" w:space="0"/>
            </w:tcBorders>
            <w:vAlign w:val="center"/>
          </w:tcPr>
          <w:p w14:paraId="4BA7CF05">
            <w:pPr>
              <w:jc w:val="center"/>
              <w:rPr>
                <w:rFonts w:eastAsia="楷体_GB2312"/>
                <w:sz w:val="18"/>
              </w:rPr>
            </w:pPr>
            <w:r>
              <w:rPr>
                <w:rFonts w:eastAsia="楷体_GB2312"/>
                <w:sz w:val="18"/>
              </w:rPr>
              <w:t>经处置已核销</w:t>
            </w:r>
          </w:p>
        </w:tc>
        <w:tc>
          <w:tcPr>
            <w:tcW w:w="1602" w:type="dxa"/>
            <w:tcBorders>
              <w:top w:val="single" w:color="auto" w:sz="4" w:space="0"/>
              <w:left w:val="single" w:color="auto" w:sz="4" w:space="0"/>
              <w:bottom w:val="single" w:color="auto" w:sz="4" w:space="0"/>
              <w:right w:val="single" w:color="auto" w:sz="4" w:space="0"/>
            </w:tcBorders>
            <w:vAlign w:val="center"/>
          </w:tcPr>
          <w:p w14:paraId="7FBDC994">
            <w:pPr>
              <w:jc w:val="center"/>
              <w:rPr>
                <w:rFonts w:eastAsia="楷体_GB2312"/>
              </w:rPr>
            </w:pPr>
          </w:p>
        </w:tc>
        <w:tc>
          <w:tcPr>
            <w:tcW w:w="1311" w:type="dxa"/>
            <w:tcBorders>
              <w:top w:val="single" w:color="auto" w:sz="4" w:space="0"/>
              <w:left w:val="single" w:color="auto" w:sz="4" w:space="0"/>
              <w:bottom w:val="single" w:color="auto" w:sz="4" w:space="0"/>
              <w:right w:val="single" w:color="auto" w:sz="4" w:space="0"/>
            </w:tcBorders>
            <w:vAlign w:val="center"/>
          </w:tcPr>
          <w:p w14:paraId="2EEB4002">
            <w:pPr>
              <w:jc w:val="center"/>
              <w:rPr>
                <w:rFonts w:eastAsia="楷体_GB2312"/>
              </w:rPr>
            </w:pPr>
          </w:p>
        </w:tc>
        <w:tc>
          <w:tcPr>
            <w:tcW w:w="2184" w:type="dxa"/>
            <w:tcBorders>
              <w:top w:val="single" w:color="auto" w:sz="4" w:space="0"/>
              <w:left w:val="single" w:color="auto" w:sz="4" w:space="0"/>
              <w:bottom w:val="single" w:color="auto" w:sz="4" w:space="0"/>
              <w:right w:val="single" w:color="auto" w:sz="4" w:space="0"/>
            </w:tcBorders>
            <w:vAlign w:val="center"/>
          </w:tcPr>
          <w:p w14:paraId="12034F57">
            <w:pPr>
              <w:jc w:val="center"/>
              <w:rPr>
                <w:rFonts w:eastAsia="楷体_GB2312"/>
              </w:rPr>
            </w:pPr>
          </w:p>
        </w:tc>
        <w:tc>
          <w:tcPr>
            <w:tcW w:w="1603" w:type="dxa"/>
            <w:tcBorders>
              <w:top w:val="single" w:color="auto" w:sz="4" w:space="0"/>
              <w:left w:val="single" w:color="auto" w:sz="4" w:space="0"/>
              <w:bottom w:val="single" w:color="auto" w:sz="4" w:space="0"/>
            </w:tcBorders>
            <w:vAlign w:val="center"/>
          </w:tcPr>
          <w:p w14:paraId="24078271">
            <w:pPr>
              <w:jc w:val="center"/>
              <w:rPr>
                <w:rFonts w:eastAsia="楷体_GB2312"/>
              </w:rPr>
            </w:pPr>
          </w:p>
        </w:tc>
      </w:tr>
      <w:tr w14:paraId="57A358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 w:hRule="atLeast"/>
        </w:trPr>
        <w:tc>
          <w:tcPr>
            <w:tcW w:w="2296" w:type="dxa"/>
            <w:tcBorders>
              <w:top w:val="single" w:color="auto" w:sz="4" w:space="0"/>
              <w:bottom w:val="single" w:color="auto" w:sz="4" w:space="0"/>
              <w:right w:val="single" w:color="auto" w:sz="4" w:space="0"/>
            </w:tcBorders>
            <w:vAlign w:val="center"/>
          </w:tcPr>
          <w:p w14:paraId="2F796593">
            <w:pPr>
              <w:jc w:val="center"/>
              <w:rPr>
                <w:rFonts w:eastAsia="楷体_GB2312"/>
                <w:sz w:val="18"/>
              </w:rPr>
            </w:pPr>
            <w:r>
              <w:rPr>
                <w:rFonts w:eastAsia="楷体_GB2312"/>
                <w:sz w:val="18"/>
              </w:rPr>
              <w:t>汇总</w:t>
            </w:r>
          </w:p>
        </w:tc>
        <w:tc>
          <w:tcPr>
            <w:tcW w:w="1602" w:type="dxa"/>
            <w:tcBorders>
              <w:top w:val="single" w:color="auto" w:sz="4" w:space="0"/>
              <w:left w:val="single" w:color="auto" w:sz="4" w:space="0"/>
              <w:bottom w:val="single" w:color="auto" w:sz="4" w:space="0"/>
              <w:right w:val="single" w:color="auto" w:sz="4" w:space="0"/>
            </w:tcBorders>
            <w:vAlign w:val="center"/>
          </w:tcPr>
          <w:p w14:paraId="5F3A95B0">
            <w:pPr>
              <w:jc w:val="center"/>
              <w:rPr>
                <w:rFonts w:eastAsia="楷体_GB2312"/>
              </w:rPr>
            </w:pPr>
          </w:p>
        </w:tc>
        <w:tc>
          <w:tcPr>
            <w:tcW w:w="1311" w:type="dxa"/>
            <w:tcBorders>
              <w:top w:val="single" w:color="auto" w:sz="4" w:space="0"/>
              <w:left w:val="single" w:color="auto" w:sz="4" w:space="0"/>
              <w:bottom w:val="single" w:color="auto" w:sz="4" w:space="0"/>
              <w:right w:val="single" w:color="auto" w:sz="4" w:space="0"/>
            </w:tcBorders>
            <w:vAlign w:val="center"/>
          </w:tcPr>
          <w:p w14:paraId="658D603F">
            <w:pPr>
              <w:jc w:val="center"/>
              <w:rPr>
                <w:rFonts w:eastAsia="楷体_GB2312"/>
              </w:rPr>
            </w:pPr>
          </w:p>
        </w:tc>
        <w:tc>
          <w:tcPr>
            <w:tcW w:w="2184" w:type="dxa"/>
            <w:tcBorders>
              <w:top w:val="single" w:color="auto" w:sz="4" w:space="0"/>
              <w:left w:val="single" w:color="auto" w:sz="4" w:space="0"/>
              <w:bottom w:val="single" w:color="auto" w:sz="4" w:space="0"/>
              <w:right w:val="single" w:color="auto" w:sz="4" w:space="0"/>
            </w:tcBorders>
            <w:vAlign w:val="center"/>
          </w:tcPr>
          <w:p w14:paraId="7BB22C85">
            <w:pPr>
              <w:jc w:val="center"/>
              <w:rPr>
                <w:rFonts w:eastAsia="楷体_GB2312"/>
              </w:rPr>
            </w:pPr>
          </w:p>
        </w:tc>
        <w:tc>
          <w:tcPr>
            <w:tcW w:w="1603" w:type="dxa"/>
            <w:tcBorders>
              <w:top w:val="single" w:color="auto" w:sz="4" w:space="0"/>
              <w:left w:val="single" w:color="auto" w:sz="4" w:space="0"/>
              <w:bottom w:val="single" w:color="auto" w:sz="4" w:space="0"/>
            </w:tcBorders>
            <w:vAlign w:val="center"/>
          </w:tcPr>
          <w:p w14:paraId="7D62F023">
            <w:pPr>
              <w:jc w:val="center"/>
              <w:rPr>
                <w:rFonts w:eastAsia="楷体_GB2312"/>
              </w:rPr>
            </w:pPr>
          </w:p>
        </w:tc>
      </w:tr>
    </w:tbl>
    <w:p w14:paraId="3084A5EB">
      <w:pPr>
        <w:tabs>
          <w:tab w:val="left" w:pos="2802"/>
        </w:tabs>
        <w:rPr>
          <w:rFonts w:eastAsia="楷体_GB2312"/>
          <w:sz w:val="18"/>
          <w:szCs w:val="18"/>
        </w:rPr>
      </w:pPr>
    </w:p>
    <w:p w14:paraId="6BDDEB0E">
      <w:pPr>
        <w:tabs>
          <w:tab w:val="left" w:pos="2802"/>
        </w:tabs>
        <w:rPr>
          <w:rFonts w:eastAsia="楷体_GB2312"/>
          <w:sz w:val="18"/>
          <w:szCs w:val="18"/>
        </w:rPr>
      </w:pPr>
      <w:r>
        <w:rPr>
          <w:rFonts w:eastAsia="楷体_GB2312"/>
          <w:sz w:val="18"/>
          <w:szCs w:val="18"/>
        </w:rPr>
        <w:br w:type="page"/>
      </w:r>
    </w:p>
    <w:tbl>
      <w:tblPr>
        <w:tblStyle w:val="31"/>
        <w:tblW w:w="8613"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8"/>
        <w:gridCol w:w="2539"/>
        <w:gridCol w:w="4136"/>
      </w:tblGrid>
      <w:tr w14:paraId="42A587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3" w:type="dxa"/>
            <w:gridSpan w:val="3"/>
            <w:tcBorders>
              <w:top w:val="single" w:color="auto" w:sz="4" w:space="0"/>
              <w:bottom w:val="single" w:color="auto" w:sz="4" w:space="0"/>
            </w:tcBorders>
          </w:tcPr>
          <w:p w14:paraId="3B8F6B40">
            <w:pPr>
              <w:jc w:val="center"/>
              <w:rPr>
                <w:rFonts w:eastAsia="楷体_GB2312"/>
                <w:b/>
                <w:sz w:val="28"/>
                <w:lang w:eastAsia="zh-CN"/>
              </w:rPr>
            </w:pPr>
            <w:r>
              <w:rPr>
                <w:rFonts w:eastAsia="楷体_GB2312"/>
                <w:b/>
                <w:sz w:val="28"/>
                <w:lang w:eastAsia="zh-CN"/>
              </w:rPr>
              <w:t>【信托名称】</w:t>
            </w:r>
          </w:p>
          <w:p w14:paraId="08125723">
            <w:pPr>
              <w:jc w:val="center"/>
              <w:rPr>
                <w:rFonts w:eastAsia="楷体_GB2312"/>
                <w:b/>
                <w:sz w:val="28"/>
                <w:lang w:eastAsia="zh-CN"/>
              </w:rPr>
            </w:pPr>
            <w:r>
              <w:rPr>
                <w:rFonts w:eastAsia="楷体_GB2312"/>
                <w:b/>
                <w:sz w:val="28"/>
                <w:lang w:eastAsia="zh-CN"/>
              </w:rPr>
              <w:t>受托机构月度/年度报告</w:t>
            </w:r>
          </w:p>
        </w:tc>
      </w:tr>
      <w:tr w14:paraId="1A1537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3" w:type="dxa"/>
            <w:gridSpan w:val="3"/>
            <w:tcBorders>
              <w:top w:val="single" w:color="auto" w:sz="4" w:space="0"/>
              <w:bottom w:val="nil"/>
            </w:tcBorders>
          </w:tcPr>
          <w:p w14:paraId="635A4BA7">
            <w:pPr>
              <w:rPr>
                <w:rFonts w:eastAsia="楷体_GB2312"/>
                <w:b/>
                <w:lang w:eastAsia="zh-CN"/>
              </w:rPr>
            </w:pPr>
            <w:r>
              <w:rPr>
                <w:rFonts w:eastAsia="楷体_GB2312"/>
                <w:b/>
                <w:lang w:eastAsia="zh-CN"/>
              </w:rPr>
              <w:t>三、资产池情况（续）</w:t>
            </w:r>
          </w:p>
        </w:tc>
      </w:tr>
      <w:tr w14:paraId="254F8F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3" w:type="dxa"/>
            <w:gridSpan w:val="3"/>
            <w:tcBorders>
              <w:top w:val="nil"/>
              <w:bottom w:val="single" w:color="auto" w:sz="4" w:space="0"/>
            </w:tcBorders>
          </w:tcPr>
          <w:p w14:paraId="3AF00729">
            <w:pPr>
              <w:rPr>
                <w:rFonts w:eastAsia="楷体_GB2312"/>
                <w:lang w:eastAsia="zh-CN"/>
              </w:rPr>
            </w:pPr>
            <w:r>
              <w:rPr>
                <w:rFonts w:eastAsia="楷体_GB2312"/>
                <w:lang w:eastAsia="zh-CN"/>
              </w:rPr>
              <w:t>（四）资产池监控指标：</w:t>
            </w:r>
          </w:p>
        </w:tc>
      </w:tr>
      <w:tr w14:paraId="746957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3" w:type="dxa"/>
            <w:gridSpan w:val="3"/>
            <w:tcBorders>
              <w:top w:val="nil"/>
              <w:bottom w:val="single" w:color="auto" w:sz="4" w:space="0"/>
            </w:tcBorders>
            <w:vAlign w:val="center"/>
          </w:tcPr>
          <w:p w14:paraId="78411902">
            <w:pPr>
              <w:rPr>
                <w:rFonts w:eastAsia="楷体_GB2312"/>
                <w:lang w:eastAsia="zh-CN"/>
              </w:rPr>
            </w:pPr>
            <w:r>
              <w:rPr>
                <w:rFonts w:eastAsia="楷体_GB2312"/>
                <w:lang w:eastAsia="zh-CN"/>
              </w:rPr>
              <w:t>1、累计违约率</w:t>
            </w:r>
          </w:p>
        </w:tc>
      </w:tr>
      <w:tr w14:paraId="494911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38" w:type="dxa"/>
            <w:tcBorders>
              <w:top w:val="single" w:color="auto" w:sz="4" w:space="0"/>
              <w:bottom w:val="single" w:color="auto" w:sz="4" w:space="0"/>
              <w:right w:val="single" w:color="auto" w:sz="4" w:space="0"/>
            </w:tcBorders>
            <w:vAlign w:val="center"/>
          </w:tcPr>
          <w:p w14:paraId="083DEC0A">
            <w:pPr>
              <w:jc w:val="center"/>
              <w:rPr>
                <w:rFonts w:eastAsia="楷体_GB2312"/>
                <w:b/>
                <w:lang w:eastAsia="zh-CN"/>
              </w:rPr>
            </w:pPr>
            <w:r>
              <w:rPr>
                <w:rFonts w:eastAsia="楷体_GB2312"/>
                <w:b/>
                <w:lang w:eastAsia="zh-CN"/>
              </w:rPr>
              <w:t>期数</w:t>
            </w:r>
          </w:p>
        </w:tc>
        <w:tc>
          <w:tcPr>
            <w:tcW w:w="2539" w:type="dxa"/>
            <w:tcBorders>
              <w:top w:val="single" w:color="auto" w:sz="4" w:space="0"/>
              <w:left w:val="single" w:color="auto" w:sz="4" w:space="0"/>
              <w:bottom w:val="single" w:color="auto" w:sz="4" w:space="0"/>
              <w:right w:val="single" w:color="auto" w:sz="4" w:space="0"/>
            </w:tcBorders>
            <w:vAlign w:val="center"/>
          </w:tcPr>
          <w:p w14:paraId="4A94EC69">
            <w:pPr>
              <w:jc w:val="center"/>
              <w:rPr>
                <w:rFonts w:eastAsia="楷体_GB2312"/>
                <w:b/>
                <w:lang w:eastAsia="zh-CN"/>
              </w:rPr>
            </w:pPr>
            <w:r>
              <w:rPr>
                <w:rFonts w:eastAsia="楷体_GB2312"/>
                <w:b/>
                <w:lang w:eastAsia="zh-CN"/>
              </w:rPr>
              <w:t>报告日期</w:t>
            </w:r>
          </w:p>
        </w:tc>
        <w:tc>
          <w:tcPr>
            <w:tcW w:w="4136" w:type="dxa"/>
            <w:tcBorders>
              <w:top w:val="single" w:color="auto" w:sz="4" w:space="0"/>
              <w:left w:val="single" w:color="auto" w:sz="4" w:space="0"/>
              <w:bottom w:val="single" w:color="auto" w:sz="4" w:space="0"/>
            </w:tcBorders>
            <w:vAlign w:val="center"/>
          </w:tcPr>
          <w:p w14:paraId="4E3E5B80">
            <w:pPr>
              <w:jc w:val="center"/>
              <w:rPr>
                <w:rFonts w:eastAsia="楷体_GB2312"/>
                <w:b/>
                <w:lang w:eastAsia="zh-CN"/>
              </w:rPr>
            </w:pPr>
            <w:r>
              <w:rPr>
                <w:rFonts w:eastAsia="楷体_GB2312"/>
                <w:b/>
                <w:lang w:eastAsia="zh-CN"/>
              </w:rPr>
              <w:t>累计违约率</w:t>
            </w:r>
          </w:p>
        </w:tc>
      </w:tr>
      <w:tr w14:paraId="31461C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38" w:type="dxa"/>
            <w:tcBorders>
              <w:top w:val="single" w:color="auto" w:sz="4" w:space="0"/>
              <w:bottom w:val="single" w:color="auto" w:sz="4" w:space="0"/>
              <w:right w:val="single" w:color="auto" w:sz="4" w:space="0"/>
            </w:tcBorders>
            <w:vAlign w:val="center"/>
          </w:tcPr>
          <w:p w14:paraId="133C7FDA">
            <w:pPr>
              <w:jc w:val="center"/>
              <w:rPr>
                <w:rFonts w:eastAsia="楷体_GB2312"/>
                <w:sz w:val="18"/>
              </w:rPr>
            </w:pPr>
            <w:r>
              <w:rPr>
                <w:rFonts w:eastAsia="楷体_GB2312"/>
                <w:sz w:val="18"/>
              </w:rPr>
              <w:t>第1期</w:t>
            </w:r>
          </w:p>
        </w:tc>
        <w:tc>
          <w:tcPr>
            <w:tcW w:w="2539" w:type="dxa"/>
            <w:tcBorders>
              <w:top w:val="single" w:color="auto" w:sz="4" w:space="0"/>
              <w:left w:val="single" w:color="auto" w:sz="4" w:space="0"/>
              <w:bottom w:val="single" w:color="auto" w:sz="4" w:space="0"/>
              <w:right w:val="single" w:color="auto" w:sz="4" w:space="0"/>
            </w:tcBorders>
            <w:vAlign w:val="center"/>
          </w:tcPr>
          <w:p w14:paraId="13017F47">
            <w:pPr>
              <w:jc w:val="center"/>
              <w:rPr>
                <w:rFonts w:eastAsia="楷体_GB2312"/>
              </w:rPr>
            </w:pPr>
          </w:p>
        </w:tc>
        <w:tc>
          <w:tcPr>
            <w:tcW w:w="4136" w:type="dxa"/>
            <w:tcBorders>
              <w:top w:val="single" w:color="auto" w:sz="4" w:space="0"/>
              <w:left w:val="single" w:color="auto" w:sz="4" w:space="0"/>
              <w:bottom w:val="single" w:color="auto" w:sz="4" w:space="0"/>
            </w:tcBorders>
            <w:vAlign w:val="center"/>
          </w:tcPr>
          <w:p w14:paraId="3B7C794C">
            <w:pPr>
              <w:jc w:val="center"/>
              <w:rPr>
                <w:rFonts w:eastAsia="楷体_GB2312"/>
              </w:rPr>
            </w:pPr>
          </w:p>
        </w:tc>
      </w:tr>
      <w:tr w14:paraId="4C186D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38" w:type="dxa"/>
            <w:tcBorders>
              <w:top w:val="single" w:color="auto" w:sz="4" w:space="0"/>
              <w:bottom w:val="single" w:color="auto" w:sz="4" w:space="0"/>
              <w:right w:val="single" w:color="auto" w:sz="4" w:space="0"/>
            </w:tcBorders>
            <w:vAlign w:val="center"/>
          </w:tcPr>
          <w:p w14:paraId="69BD1D78">
            <w:pPr>
              <w:jc w:val="center"/>
              <w:rPr>
                <w:rFonts w:eastAsia="楷体_GB2312"/>
                <w:sz w:val="18"/>
              </w:rPr>
            </w:pPr>
            <w:r>
              <w:rPr>
                <w:rFonts w:eastAsia="楷体_GB2312"/>
                <w:sz w:val="18"/>
              </w:rPr>
              <w:t>第2期</w:t>
            </w:r>
          </w:p>
        </w:tc>
        <w:tc>
          <w:tcPr>
            <w:tcW w:w="2539" w:type="dxa"/>
            <w:tcBorders>
              <w:top w:val="single" w:color="auto" w:sz="4" w:space="0"/>
              <w:left w:val="single" w:color="auto" w:sz="4" w:space="0"/>
              <w:bottom w:val="single" w:color="auto" w:sz="4" w:space="0"/>
              <w:right w:val="single" w:color="auto" w:sz="4" w:space="0"/>
            </w:tcBorders>
            <w:vAlign w:val="center"/>
          </w:tcPr>
          <w:p w14:paraId="17207451">
            <w:pPr>
              <w:jc w:val="center"/>
              <w:rPr>
                <w:rFonts w:eastAsia="楷体_GB2312"/>
              </w:rPr>
            </w:pPr>
          </w:p>
        </w:tc>
        <w:tc>
          <w:tcPr>
            <w:tcW w:w="4136" w:type="dxa"/>
            <w:tcBorders>
              <w:top w:val="single" w:color="auto" w:sz="4" w:space="0"/>
              <w:left w:val="single" w:color="auto" w:sz="4" w:space="0"/>
              <w:bottom w:val="single" w:color="auto" w:sz="4" w:space="0"/>
            </w:tcBorders>
            <w:vAlign w:val="center"/>
          </w:tcPr>
          <w:p w14:paraId="531AF43B">
            <w:pPr>
              <w:jc w:val="center"/>
              <w:rPr>
                <w:rFonts w:eastAsia="楷体_GB2312"/>
              </w:rPr>
            </w:pPr>
          </w:p>
        </w:tc>
      </w:tr>
      <w:tr w14:paraId="220C9E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38" w:type="dxa"/>
            <w:tcBorders>
              <w:top w:val="single" w:color="auto" w:sz="4" w:space="0"/>
              <w:bottom w:val="single" w:color="auto" w:sz="4" w:space="0"/>
              <w:right w:val="single" w:color="auto" w:sz="4" w:space="0"/>
            </w:tcBorders>
            <w:vAlign w:val="center"/>
          </w:tcPr>
          <w:p w14:paraId="601E46F9">
            <w:pPr>
              <w:jc w:val="center"/>
              <w:rPr>
                <w:rFonts w:eastAsia="楷体_GB2312"/>
                <w:sz w:val="18"/>
              </w:rPr>
            </w:pPr>
            <w:r>
              <w:rPr>
                <w:rFonts w:eastAsia="楷体_GB2312"/>
                <w:sz w:val="18"/>
              </w:rPr>
              <w:t>第3期</w:t>
            </w:r>
          </w:p>
        </w:tc>
        <w:tc>
          <w:tcPr>
            <w:tcW w:w="2539" w:type="dxa"/>
            <w:tcBorders>
              <w:top w:val="single" w:color="auto" w:sz="4" w:space="0"/>
              <w:left w:val="single" w:color="auto" w:sz="4" w:space="0"/>
              <w:bottom w:val="single" w:color="auto" w:sz="4" w:space="0"/>
              <w:right w:val="single" w:color="auto" w:sz="4" w:space="0"/>
            </w:tcBorders>
            <w:vAlign w:val="center"/>
          </w:tcPr>
          <w:p w14:paraId="0495B812">
            <w:pPr>
              <w:jc w:val="center"/>
              <w:rPr>
                <w:rFonts w:eastAsia="楷体_GB2312"/>
              </w:rPr>
            </w:pPr>
          </w:p>
        </w:tc>
        <w:tc>
          <w:tcPr>
            <w:tcW w:w="4136" w:type="dxa"/>
            <w:tcBorders>
              <w:top w:val="single" w:color="auto" w:sz="4" w:space="0"/>
              <w:left w:val="single" w:color="auto" w:sz="4" w:space="0"/>
              <w:bottom w:val="single" w:color="auto" w:sz="4" w:space="0"/>
            </w:tcBorders>
            <w:vAlign w:val="center"/>
          </w:tcPr>
          <w:p w14:paraId="7EC33672">
            <w:pPr>
              <w:jc w:val="center"/>
              <w:rPr>
                <w:rFonts w:eastAsia="楷体_GB2312"/>
              </w:rPr>
            </w:pPr>
          </w:p>
        </w:tc>
      </w:tr>
      <w:tr w14:paraId="375339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1938" w:type="dxa"/>
            <w:tcBorders>
              <w:top w:val="single" w:color="auto" w:sz="4" w:space="0"/>
              <w:bottom w:val="single" w:color="auto" w:sz="4" w:space="0"/>
              <w:right w:val="single" w:color="auto" w:sz="4" w:space="0"/>
            </w:tcBorders>
            <w:vAlign w:val="center"/>
          </w:tcPr>
          <w:p w14:paraId="591D6B22">
            <w:pPr>
              <w:jc w:val="center"/>
              <w:rPr>
                <w:rFonts w:eastAsia="楷体_GB2312"/>
                <w:sz w:val="18"/>
              </w:rPr>
            </w:pPr>
            <w:r>
              <w:rPr>
                <w:rFonts w:eastAsia="楷体_GB2312"/>
                <w:sz w:val="18"/>
              </w:rPr>
              <w:t>第4期</w:t>
            </w:r>
          </w:p>
        </w:tc>
        <w:tc>
          <w:tcPr>
            <w:tcW w:w="2539" w:type="dxa"/>
            <w:tcBorders>
              <w:top w:val="single" w:color="auto" w:sz="4" w:space="0"/>
              <w:left w:val="single" w:color="auto" w:sz="4" w:space="0"/>
              <w:bottom w:val="single" w:color="auto" w:sz="4" w:space="0"/>
              <w:right w:val="single" w:color="auto" w:sz="4" w:space="0"/>
            </w:tcBorders>
            <w:vAlign w:val="center"/>
          </w:tcPr>
          <w:p w14:paraId="58A3CD11">
            <w:pPr>
              <w:jc w:val="center"/>
              <w:rPr>
                <w:rFonts w:eastAsia="楷体_GB2312"/>
              </w:rPr>
            </w:pPr>
          </w:p>
        </w:tc>
        <w:tc>
          <w:tcPr>
            <w:tcW w:w="4136" w:type="dxa"/>
            <w:tcBorders>
              <w:top w:val="single" w:color="auto" w:sz="4" w:space="0"/>
              <w:left w:val="single" w:color="auto" w:sz="4" w:space="0"/>
              <w:bottom w:val="single" w:color="auto" w:sz="4" w:space="0"/>
            </w:tcBorders>
            <w:vAlign w:val="center"/>
          </w:tcPr>
          <w:p w14:paraId="1EFEFD96">
            <w:pPr>
              <w:jc w:val="center"/>
              <w:rPr>
                <w:rFonts w:eastAsia="楷体_GB2312"/>
              </w:rPr>
            </w:pPr>
          </w:p>
        </w:tc>
      </w:tr>
      <w:tr w14:paraId="36C9FD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38" w:type="dxa"/>
            <w:tcBorders>
              <w:top w:val="single" w:color="auto" w:sz="4" w:space="0"/>
              <w:bottom w:val="single" w:color="auto" w:sz="4" w:space="0"/>
              <w:right w:val="single" w:color="auto" w:sz="4" w:space="0"/>
            </w:tcBorders>
            <w:vAlign w:val="center"/>
          </w:tcPr>
          <w:p w14:paraId="0ECC5E69">
            <w:pPr>
              <w:jc w:val="center"/>
              <w:rPr>
                <w:rFonts w:eastAsia="楷体_GB2312"/>
                <w:sz w:val="18"/>
              </w:rPr>
            </w:pPr>
            <w:r>
              <w:rPr>
                <w:rFonts w:eastAsia="楷体_GB2312"/>
                <w:sz w:val="18"/>
              </w:rPr>
              <w:t>第5期</w:t>
            </w:r>
          </w:p>
        </w:tc>
        <w:tc>
          <w:tcPr>
            <w:tcW w:w="2539" w:type="dxa"/>
            <w:tcBorders>
              <w:top w:val="single" w:color="auto" w:sz="4" w:space="0"/>
              <w:left w:val="single" w:color="auto" w:sz="4" w:space="0"/>
              <w:bottom w:val="single" w:color="auto" w:sz="4" w:space="0"/>
              <w:right w:val="single" w:color="auto" w:sz="4" w:space="0"/>
            </w:tcBorders>
            <w:vAlign w:val="center"/>
          </w:tcPr>
          <w:p w14:paraId="514E8968">
            <w:pPr>
              <w:jc w:val="center"/>
              <w:rPr>
                <w:rFonts w:eastAsia="楷体_GB2312"/>
              </w:rPr>
            </w:pPr>
          </w:p>
        </w:tc>
        <w:tc>
          <w:tcPr>
            <w:tcW w:w="4136" w:type="dxa"/>
            <w:tcBorders>
              <w:top w:val="single" w:color="auto" w:sz="4" w:space="0"/>
              <w:left w:val="single" w:color="auto" w:sz="4" w:space="0"/>
              <w:bottom w:val="single" w:color="auto" w:sz="4" w:space="0"/>
            </w:tcBorders>
            <w:vAlign w:val="center"/>
          </w:tcPr>
          <w:p w14:paraId="4CFA3B83">
            <w:pPr>
              <w:jc w:val="center"/>
              <w:rPr>
                <w:rFonts w:eastAsia="楷体_GB2312"/>
              </w:rPr>
            </w:pPr>
          </w:p>
        </w:tc>
      </w:tr>
      <w:tr w14:paraId="07757B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38" w:type="dxa"/>
            <w:tcBorders>
              <w:top w:val="single" w:color="auto" w:sz="4" w:space="0"/>
              <w:bottom w:val="single" w:color="auto" w:sz="4" w:space="0"/>
              <w:right w:val="single" w:color="auto" w:sz="4" w:space="0"/>
            </w:tcBorders>
            <w:vAlign w:val="center"/>
          </w:tcPr>
          <w:p w14:paraId="7E104EA7">
            <w:pPr>
              <w:jc w:val="center"/>
              <w:rPr>
                <w:rFonts w:eastAsia="楷体_GB2312"/>
                <w:sz w:val="18"/>
              </w:rPr>
            </w:pPr>
            <w:r>
              <w:rPr>
                <w:rFonts w:eastAsia="楷体_GB2312"/>
                <w:sz w:val="18"/>
              </w:rPr>
              <w:t>第6期</w:t>
            </w:r>
          </w:p>
        </w:tc>
        <w:tc>
          <w:tcPr>
            <w:tcW w:w="2539" w:type="dxa"/>
            <w:tcBorders>
              <w:top w:val="single" w:color="auto" w:sz="4" w:space="0"/>
              <w:left w:val="single" w:color="auto" w:sz="4" w:space="0"/>
              <w:bottom w:val="single" w:color="auto" w:sz="4" w:space="0"/>
              <w:right w:val="single" w:color="auto" w:sz="4" w:space="0"/>
            </w:tcBorders>
            <w:vAlign w:val="center"/>
          </w:tcPr>
          <w:p w14:paraId="52A64D5C">
            <w:pPr>
              <w:jc w:val="center"/>
              <w:rPr>
                <w:rFonts w:eastAsia="楷体_GB2312"/>
              </w:rPr>
            </w:pPr>
          </w:p>
        </w:tc>
        <w:tc>
          <w:tcPr>
            <w:tcW w:w="4136" w:type="dxa"/>
            <w:tcBorders>
              <w:top w:val="single" w:color="auto" w:sz="4" w:space="0"/>
              <w:left w:val="single" w:color="auto" w:sz="4" w:space="0"/>
              <w:bottom w:val="single" w:color="auto" w:sz="4" w:space="0"/>
            </w:tcBorders>
            <w:vAlign w:val="center"/>
          </w:tcPr>
          <w:p w14:paraId="50F2A374">
            <w:pPr>
              <w:jc w:val="center"/>
              <w:rPr>
                <w:rFonts w:eastAsia="楷体_GB2312"/>
              </w:rPr>
            </w:pPr>
          </w:p>
        </w:tc>
      </w:tr>
      <w:tr w14:paraId="579AEA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38" w:type="dxa"/>
            <w:tcBorders>
              <w:top w:val="single" w:color="auto" w:sz="4" w:space="0"/>
              <w:bottom w:val="single" w:color="auto" w:sz="4" w:space="0"/>
              <w:right w:val="single" w:color="auto" w:sz="4" w:space="0"/>
            </w:tcBorders>
            <w:vAlign w:val="center"/>
          </w:tcPr>
          <w:p w14:paraId="411369FC">
            <w:pPr>
              <w:jc w:val="center"/>
              <w:rPr>
                <w:rFonts w:eastAsia="楷体_GB2312"/>
                <w:sz w:val="18"/>
              </w:rPr>
            </w:pPr>
            <w:r>
              <w:rPr>
                <w:rFonts w:eastAsia="楷体_GB2312"/>
                <w:sz w:val="18"/>
              </w:rPr>
              <w:t>第7期</w:t>
            </w:r>
          </w:p>
        </w:tc>
        <w:tc>
          <w:tcPr>
            <w:tcW w:w="2539" w:type="dxa"/>
            <w:tcBorders>
              <w:top w:val="single" w:color="auto" w:sz="4" w:space="0"/>
              <w:left w:val="single" w:color="auto" w:sz="4" w:space="0"/>
              <w:bottom w:val="single" w:color="auto" w:sz="4" w:space="0"/>
              <w:right w:val="single" w:color="auto" w:sz="4" w:space="0"/>
            </w:tcBorders>
            <w:vAlign w:val="center"/>
          </w:tcPr>
          <w:p w14:paraId="20D5B460">
            <w:pPr>
              <w:jc w:val="center"/>
              <w:rPr>
                <w:rFonts w:eastAsia="楷体_GB2312"/>
              </w:rPr>
            </w:pPr>
          </w:p>
        </w:tc>
        <w:tc>
          <w:tcPr>
            <w:tcW w:w="4136" w:type="dxa"/>
            <w:tcBorders>
              <w:top w:val="single" w:color="auto" w:sz="4" w:space="0"/>
              <w:left w:val="single" w:color="auto" w:sz="4" w:space="0"/>
              <w:bottom w:val="single" w:color="auto" w:sz="4" w:space="0"/>
            </w:tcBorders>
            <w:vAlign w:val="center"/>
          </w:tcPr>
          <w:p w14:paraId="417599D2">
            <w:pPr>
              <w:jc w:val="center"/>
              <w:rPr>
                <w:rFonts w:eastAsia="楷体_GB2312"/>
              </w:rPr>
            </w:pPr>
          </w:p>
        </w:tc>
      </w:tr>
      <w:tr w14:paraId="07EA17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38" w:type="dxa"/>
            <w:tcBorders>
              <w:top w:val="single" w:color="auto" w:sz="4" w:space="0"/>
              <w:bottom w:val="single" w:color="auto" w:sz="4" w:space="0"/>
              <w:right w:val="single" w:color="auto" w:sz="4" w:space="0"/>
            </w:tcBorders>
            <w:vAlign w:val="center"/>
          </w:tcPr>
          <w:p w14:paraId="6D11C99D">
            <w:pPr>
              <w:jc w:val="center"/>
              <w:rPr>
                <w:rFonts w:eastAsia="楷体_GB2312"/>
                <w:sz w:val="18"/>
              </w:rPr>
            </w:pPr>
            <w:r>
              <w:rPr>
                <w:rFonts w:eastAsia="楷体_GB2312"/>
                <w:sz w:val="18"/>
                <w:lang w:eastAsia="zh-CN"/>
              </w:rPr>
              <w:t>……</w:t>
            </w:r>
          </w:p>
        </w:tc>
        <w:tc>
          <w:tcPr>
            <w:tcW w:w="2539" w:type="dxa"/>
            <w:tcBorders>
              <w:top w:val="single" w:color="auto" w:sz="4" w:space="0"/>
              <w:left w:val="single" w:color="auto" w:sz="4" w:space="0"/>
              <w:bottom w:val="single" w:color="auto" w:sz="4" w:space="0"/>
              <w:right w:val="single" w:color="auto" w:sz="4" w:space="0"/>
            </w:tcBorders>
            <w:vAlign w:val="center"/>
          </w:tcPr>
          <w:p w14:paraId="5E708485">
            <w:pPr>
              <w:jc w:val="center"/>
              <w:rPr>
                <w:rFonts w:eastAsia="楷体_GB2312"/>
              </w:rPr>
            </w:pPr>
          </w:p>
        </w:tc>
        <w:tc>
          <w:tcPr>
            <w:tcW w:w="4136" w:type="dxa"/>
            <w:tcBorders>
              <w:top w:val="single" w:color="auto" w:sz="4" w:space="0"/>
              <w:left w:val="single" w:color="auto" w:sz="4" w:space="0"/>
              <w:bottom w:val="single" w:color="auto" w:sz="4" w:space="0"/>
            </w:tcBorders>
            <w:vAlign w:val="center"/>
          </w:tcPr>
          <w:p w14:paraId="1D98BF28">
            <w:pPr>
              <w:jc w:val="center"/>
              <w:rPr>
                <w:rFonts w:eastAsia="楷体_GB2312"/>
              </w:rPr>
            </w:pPr>
          </w:p>
        </w:tc>
      </w:tr>
      <w:tr w14:paraId="360CB0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3" w:type="dxa"/>
            <w:gridSpan w:val="3"/>
            <w:tcBorders>
              <w:top w:val="single" w:color="auto" w:sz="4" w:space="0"/>
              <w:bottom w:val="single" w:color="auto" w:sz="4" w:space="0"/>
            </w:tcBorders>
          </w:tcPr>
          <w:p w14:paraId="3A825BE8">
            <w:pPr>
              <w:rPr>
                <w:rFonts w:eastAsia="楷体_GB2312"/>
                <w:lang w:eastAsia="zh-CN"/>
              </w:rPr>
            </w:pPr>
            <w:r>
              <w:rPr>
                <w:rFonts w:eastAsia="楷体_GB2312"/>
                <w:lang w:eastAsia="zh-CN"/>
              </w:rPr>
              <w:t>2、严重拖欠率</w:t>
            </w:r>
          </w:p>
        </w:tc>
      </w:tr>
      <w:tr w14:paraId="1FFAF9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38" w:type="dxa"/>
            <w:tcBorders>
              <w:top w:val="single" w:color="auto" w:sz="4" w:space="0"/>
              <w:bottom w:val="single" w:color="auto" w:sz="4" w:space="0"/>
              <w:right w:val="single" w:color="auto" w:sz="4" w:space="0"/>
            </w:tcBorders>
            <w:vAlign w:val="center"/>
          </w:tcPr>
          <w:p w14:paraId="1FDBAA1E">
            <w:pPr>
              <w:jc w:val="center"/>
              <w:rPr>
                <w:rFonts w:eastAsia="楷体_GB2312"/>
                <w:b/>
                <w:lang w:eastAsia="zh-CN"/>
              </w:rPr>
            </w:pPr>
            <w:r>
              <w:rPr>
                <w:rFonts w:eastAsia="楷体_GB2312"/>
                <w:b/>
                <w:lang w:eastAsia="zh-CN"/>
              </w:rPr>
              <w:t>期数</w:t>
            </w:r>
          </w:p>
        </w:tc>
        <w:tc>
          <w:tcPr>
            <w:tcW w:w="2539" w:type="dxa"/>
            <w:tcBorders>
              <w:top w:val="single" w:color="auto" w:sz="4" w:space="0"/>
              <w:left w:val="single" w:color="auto" w:sz="4" w:space="0"/>
              <w:bottom w:val="single" w:color="auto" w:sz="4" w:space="0"/>
              <w:right w:val="single" w:color="auto" w:sz="4" w:space="0"/>
            </w:tcBorders>
            <w:vAlign w:val="center"/>
          </w:tcPr>
          <w:p w14:paraId="4919FA4B">
            <w:pPr>
              <w:jc w:val="center"/>
              <w:rPr>
                <w:rFonts w:eastAsia="楷体_GB2312"/>
                <w:b/>
                <w:lang w:eastAsia="zh-CN"/>
              </w:rPr>
            </w:pPr>
            <w:r>
              <w:rPr>
                <w:rFonts w:eastAsia="楷体_GB2312"/>
                <w:b/>
                <w:lang w:eastAsia="zh-CN"/>
              </w:rPr>
              <w:t>报告日期</w:t>
            </w:r>
          </w:p>
        </w:tc>
        <w:tc>
          <w:tcPr>
            <w:tcW w:w="4136" w:type="dxa"/>
            <w:tcBorders>
              <w:top w:val="single" w:color="auto" w:sz="4" w:space="0"/>
              <w:left w:val="single" w:color="auto" w:sz="4" w:space="0"/>
              <w:bottom w:val="single" w:color="auto" w:sz="4" w:space="0"/>
            </w:tcBorders>
            <w:vAlign w:val="center"/>
          </w:tcPr>
          <w:p w14:paraId="04A3EE56">
            <w:pPr>
              <w:jc w:val="center"/>
              <w:rPr>
                <w:rFonts w:eastAsia="楷体_GB2312"/>
                <w:b/>
                <w:lang w:eastAsia="zh-CN"/>
              </w:rPr>
            </w:pPr>
            <w:r>
              <w:rPr>
                <w:rFonts w:eastAsia="楷体_GB2312"/>
                <w:b/>
                <w:lang w:eastAsia="zh-CN"/>
              </w:rPr>
              <w:t>严重拖欠率</w:t>
            </w:r>
          </w:p>
        </w:tc>
      </w:tr>
      <w:tr w14:paraId="5736F1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38" w:type="dxa"/>
            <w:tcBorders>
              <w:top w:val="single" w:color="auto" w:sz="4" w:space="0"/>
              <w:bottom w:val="single" w:color="auto" w:sz="4" w:space="0"/>
              <w:right w:val="single" w:color="auto" w:sz="4" w:space="0"/>
            </w:tcBorders>
            <w:vAlign w:val="center"/>
          </w:tcPr>
          <w:p w14:paraId="7A46C17E">
            <w:pPr>
              <w:jc w:val="center"/>
              <w:rPr>
                <w:rFonts w:eastAsia="楷体_GB2312"/>
                <w:sz w:val="18"/>
                <w:lang w:eastAsia="zh-CN"/>
              </w:rPr>
            </w:pPr>
            <w:r>
              <w:rPr>
                <w:rFonts w:eastAsia="楷体_GB2312"/>
                <w:sz w:val="18"/>
                <w:lang w:eastAsia="zh-CN"/>
              </w:rPr>
              <w:t>第1期</w:t>
            </w:r>
          </w:p>
        </w:tc>
        <w:tc>
          <w:tcPr>
            <w:tcW w:w="2539" w:type="dxa"/>
            <w:tcBorders>
              <w:top w:val="single" w:color="auto" w:sz="4" w:space="0"/>
              <w:left w:val="single" w:color="auto" w:sz="4" w:space="0"/>
              <w:bottom w:val="single" w:color="auto" w:sz="4" w:space="0"/>
              <w:right w:val="single" w:color="auto" w:sz="4" w:space="0"/>
            </w:tcBorders>
            <w:vAlign w:val="center"/>
          </w:tcPr>
          <w:p w14:paraId="0779E73A">
            <w:pPr>
              <w:jc w:val="center"/>
              <w:rPr>
                <w:rFonts w:eastAsia="楷体_GB2312"/>
              </w:rPr>
            </w:pPr>
          </w:p>
        </w:tc>
        <w:tc>
          <w:tcPr>
            <w:tcW w:w="4136" w:type="dxa"/>
            <w:tcBorders>
              <w:top w:val="single" w:color="auto" w:sz="4" w:space="0"/>
              <w:left w:val="single" w:color="auto" w:sz="4" w:space="0"/>
              <w:bottom w:val="single" w:color="auto" w:sz="4" w:space="0"/>
            </w:tcBorders>
            <w:vAlign w:val="center"/>
          </w:tcPr>
          <w:p w14:paraId="6AA857A3">
            <w:pPr>
              <w:jc w:val="center"/>
              <w:rPr>
                <w:rFonts w:eastAsia="楷体_GB2312"/>
              </w:rPr>
            </w:pPr>
          </w:p>
        </w:tc>
      </w:tr>
      <w:tr w14:paraId="5DE4A3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38" w:type="dxa"/>
            <w:tcBorders>
              <w:top w:val="single" w:color="auto" w:sz="4" w:space="0"/>
              <w:bottom w:val="single" w:color="auto" w:sz="4" w:space="0"/>
              <w:right w:val="single" w:color="auto" w:sz="4" w:space="0"/>
            </w:tcBorders>
            <w:vAlign w:val="center"/>
          </w:tcPr>
          <w:p w14:paraId="71DE09FC">
            <w:pPr>
              <w:jc w:val="center"/>
              <w:rPr>
                <w:rFonts w:eastAsia="楷体_GB2312"/>
                <w:sz w:val="18"/>
                <w:lang w:eastAsia="zh-CN"/>
              </w:rPr>
            </w:pPr>
            <w:r>
              <w:rPr>
                <w:rFonts w:eastAsia="楷体_GB2312"/>
                <w:sz w:val="18"/>
                <w:lang w:eastAsia="zh-CN"/>
              </w:rPr>
              <w:t>第2期</w:t>
            </w:r>
          </w:p>
        </w:tc>
        <w:tc>
          <w:tcPr>
            <w:tcW w:w="2539" w:type="dxa"/>
            <w:tcBorders>
              <w:top w:val="single" w:color="auto" w:sz="4" w:space="0"/>
              <w:left w:val="single" w:color="auto" w:sz="4" w:space="0"/>
              <w:bottom w:val="single" w:color="auto" w:sz="4" w:space="0"/>
              <w:right w:val="single" w:color="auto" w:sz="4" w:space="0"/>
            </w:tcBorders>
            <w:vAlign w:val="center"/>
          </w:tcPr>
          <w:p w14:paraId="6E31FF3B">
            <w:pPr>
              <w:jc w:val="center"/>
              <w:rPr>
                <w:rFonts w:eastAsia="楷体_GB2312"/>
              </w:rPr>
            </w:pPr>
          </w:p>
        </w:tc>
        <w:tc>
          <w:tcPr>
            <w:tcW w:w="4136" w:type="dxa"/>
            <w:tcBorders>
              <w:top w:val="single" w:color="auto" w:sz="4" w:space="0"/>
              <w:left w:val="single" w:color="auto" w:sz="4" w:space="0"/>
              <w:bottom w:val="single" w:color="auto" w:sz="4" w:space="0"/>
            </w:tcBorders>
            <w:vAlign w:val="center"/>
          </w:tcPr>
          <w:p w14:paraId="0F196FD9">
            <w:pPr>
              <w:jc w:val="center"/>
              <w:rPr>
                <w:rFonts w:eastAsia="楷体_GB2312"/>
              </w:rPr>
            </w:pPr>
          </w:p>
        </w:tc>
      </w:tr>
      <w:tr w14:paraId="18E766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1938" w:type="dxa"/>
            <w:tcBorders>
              <w:top w:val="single" w:color="auto" w:sz="4" w:space="0"/>
              <w:bottom w:val="single" w:color="auto" w:sz="4" w:space="0"/>
              <w:right w:val="single" w:color="auto" w:sz="4" w:space="0"/>
            </w:tcBorders>
            <w:vAlign w:val="center"/>
          </w:tcPr>
          <w:p w14:paraId="27647D79">
            <w:pPr>
              <w:jc w:val="center"/>
              <w:rPr>
                <w:rFonts w:eastAsia="楷体_GB2312"/>
                <w:sz w:val="18"/>
                <w:lang w:eastAsia="zh-CN"/>
              </w:rPr>
            </w:pPr>
            <w:r>
              <w:rPr>
                <w:rFonts w:eastAsia="楷体_GB2312"/>
                <w:sz w:val="18"/>
                <w:lang w:eastAsia="zh-CN"/>
              </w:rPr>
              <w:t>第3期</w:t>
            </w:r>
          </w:p>
        </w:tc>
        <w:tc>
          <w:tcPr>
            <w:tcW w:w="2539" w:type="dxa"/>
            <w:tcBorders>
              <w:top w:val="single" w:color="auto" w:sz="4" w:space="0"/>
              <w:left w:val="single" w:color="auto" w:sz="4" w:space="0"/>
              <w:bottom w:val="single" w:color="auto" w:sz="4" w:space="0"/>
              <w:right w:val="single" w:color="auto" w:sz="4" w:space="0"/>
            </w:tcBorders>
            <w:vAlign w:val="center"/>
          </w:tcPr>
          <w:p w14:paraId="552E457A">
            <w:pPr>
              <w:jc w:val="center"/>
              <w:rPr>
                <w:rFonts w:eastAsia="楷体_GB2312"/>
              </w:rPr>
            </w:pPr>
          </w:p>
        </w:tc>
        <w:tc>
          <w:tcPr>
            <w:tcW w:w="4136" w:type="dxa"/>
            <w:tcBorders>
              <w:top w:val="single" w:color="auto" w:sz="4" w:space="0"/>
              <w:left w:val="single" w:color="auto" w:sz="4" w:space="0"/>
              <w:bottom w:val="single" w:color="auto" w:sz="4" w:space="0"/>
            </w:tcBorders>
            <w:vAlign w:val="center"/>
          </w:tcPr>
          <w:p w14:paraId="6B2C2DD6">
            <w:pPr>
              <w:jc w:val="center"/>
              <w:rPr>
                <w:rFonts w:eastAsia="楷体_GB2312"/>
              </w:rPr>
            </w:pPr>
          </w:p>
        </w:tc>
      </w:tr>
      <w:tr w14:paraId="28A73E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38" w:type="dxa"/>
            <w:tcBorders>
              <w:top w:val="single" w:color="auto" w:sz="4" w:space="0"/>
              <w:bottom w:val="single" w:color="auto" w:sz="4" w:space="0"/>
              <w:right w:val="single" w:color="auto" w:sz="4" w:space="0"/>
            </w:tcBorders>
            <w:vAlign w:val="center"/>
          </w:tcPr>
          <w:p w14:paraId="005D9EE8">
            <w:pPr>
              <w:jc w:val="center"/>
              <w:rPr>
                <w:rFonts w:eastAsia="楷体_GB2312"/>
                <w:sz w:val="18"/>
                <w:lang w:eastAsia="zh-CN"/>
              </w:rPr>
            </w:pPr>
            <w:r>
              <w:rPr>
                <w:rFonts w:eastAsia="楷体_GB2312"/>
                <w:sz w:val="18"/>
                <w:lang w:eastAsia="zh-CN"/>
              </w:rPr>
              <w:t>第4期</w:t>
            </w:r>
          </w:p>
        </w:tc>
        <w:tc>
          <w:tcPr>
            <w:tcW w:w="2539" w:type="dxa"/>
            <w:tcBorders>
              <w:top w:val="single" w:color="auto" w:sz="4" w:space="0"/>
              <w:left w:val="single" w:color="auto" w:sz="4" w:space="0"/>
              <w:bottom w:val="single" w:color="auto" w:sz="4" w:space="0"/>
              <w:right w:val="single" w:color="auto" w:sz="4" w:space="0"/>
            </w:tcBorders>
            <w:vAlign w:val="center"/>
          </w:tcPr>
          <w:p w14:paraId="22A5E4E1">
            <w:pPr>
              <w:jc w:val="center"/>
              <w:rPr>
                <w:rFonts w:eastAsia="楷体_GB2312"/>
              </w:rPr>
            </w:pPr>
          </w:p>
        </w:tc>
        <w:tc>
          <w:tcPr>
            <w:tcW w:w="4136" w:type="dxa"/>
            <w:tcBorders>
              <w:top w:val="single" w:color="auto" w:sz="4" w:space="0"/>
              <w:left w:val="single" w:color="auto" w:sz="4" w:space="0"/>
              <w:bottom w:val="single" w:color="auto" w:sz="4" w:space="0"/>
            </w:tcBorders>
            <w:vAlign w:val="center"/>
          </w:tcPr>
          <w:p w14:paraId="514A40DD">
            <w:pPr>
              <w:jc w:val="center"/>
              <w:rPr>
                <w:rFonts w:eastAsia="楷体_GB2312"/>
              </w:rPr>
            </w:pPr>
          </w:p>
        </w:tc>
      </w:tr>
      <w:tr w14:paraId="455225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38" w:type="dxa"/>
            <w:tcBorders>
              <w:top w:val="single" w:color="auto" w:sz="4" w:space="0"/>
              <w:bottom w:val="single" w:color="auto" w:sz="4" w:space="0"/>
              <w:right w:val="single" w:color="auto" w:sz="4" w:space="0"/>
            </w:tcBorders>
            <w:vAlign w:val="center"/>
          </w:tcPr>
          <w:p w14:paraId="3309CAD3">
            <w:pPr>
              <w:jc w:val="center"/>
              <w:rPr>
                <w:rFonts w:eastAsia="楷体_GB2312"/>
                <w:sz w:val="18"/>
                <w:lang w:eastAsia="zh-CN"/>
              </w:rPr>
            </w:pPr>
            <w:r>
              <w:rPr>
                <w:rFonts w:eastAsia="楷体_GB2312"/>
                <w:sz w:val="18"/>
                <w:lang w:eastAsia="zh-CN"/>
              </w:rPr>
              <w:t>第5期</w:t>
            </w:r>
          </w:p>
        </w:tc>
        <w:tc>
          <w:tcPr>
            <w:tcW w:w="2539" w:type="dxa"/>
            <w:tcBorders>
              <w:top w:val="single" w:color="auto" w:sz="4" w:space="0"/>
              <w:left w:val="single" w:color="auto" w:sz="4" w:space="0"/>
              <w:bottom w:val="single" w:color="auto" w:sz="4" w:space="0"/>
              <w:right w:val="single" w:color="auto" w:sz="4" w:space="0"/>
            </w:tcBorders>
            <w:vAlign w:val="center"/>
          </w:tcPr>
          <w:p w14:paraId="19B6BF25">
            <w:pPr>
              <w:jc w:val="center"/>
              <w:rPr>
                <w:rFonts w:eastAsia="楷体_GB2312"/>
              </w:rPr>
            </w:pPr>
          </w:p>
        </w:tc>
        <w:tc>
          <w:tcPr>
            <w:tcW w:w="4136" w:type="dxa"/>
            <w:tcBorders>
              <w:top w:val="single" w:color="auto" w:sz="4" w:space="0"/>
              <w:left w:val="single" w:color="auto" w:sz="4" w:space="0"/>
              <w:bottom w:val="single" w:color="auto" w:sz="4" w:space="0"/>
            </w:tcBorders>
            <w:vAlign w:val="center"/>
          </w:tcPr>
          <w:p w14:paraId="12CFB4A7">
            <w:pPr>
              <w:jc w:val="center"/>
              <w:rPr>
                <w:rFonts w:eastAsia="楷体_GB2312"/>
              </w:rPr>
            </w:pPr>
          </w:p>
        </w:tc>
      </w:tr>
      <w:tr w14:paraId="2F1A85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38" w:type="dxa"/>
            <w:tcBorders>
              <w:top w:val="single" w:color="auto" w:sz="4" w:space="0"/>
              <w:bottom w:val="single" w:color="auto" w:sz="4" w:space="0"/>
              <w:right w:val="single" w:color="auto" w:sz="4" w:space="0"/>
            </w:tcBorders>
            <w:vAlign w:val="center"/>
          </w:tcPr>
          <w:p w14:paraId="7B7D960C">
            <w:pPr>
              <w:jc w:val="center"/>
              <w:rPr>
                <w:rFonts w:eastAsia="楷体_GB2312"/>
                <w:sz w:val="18"/>
                <w:lang w:eastAsia="zh-CN"/>
              </w:rPr>
            </w:pPr>
            <w:r>
              <w:rPr>
                <w:rFonts w:eastAsia="楷体_GB2312"/>
                <w:sz w:val="18"/>
                <w:lang w:eastAsia="zh-CN"/>
              </w:rPr>
              <w:t>第6期</w:t>
            </w:r>
          </w:p>
        </w:tc>
        <w:tc>
          <w:tcPr>
            <w:tcW w:w="2539" w:type="dxa"/>
            <w:tcBorders>
              <w:top w:val="single" w:color="auto" w:sz="4" w:space="0"/>
              <w:left w:val="single" w:color="auto" w:sz="4" w:space="0"/>
              <w:bottom w:val="single" w:color="auto" w:sz="4" w:space="0"/>
              <w:right w:val="single" w:color="auto" w:sz="4" w:space="0"/>
            </w:tcBorders>
            <w:vAlign w:val="center"/>
          </w:tcPr>
          <w:p w14:paraId="1BF24FE2">
            <w:pPr>
              <w:jc w:val="center"/>
              <w:rPr>
                <w:rFonts w:eastAsia="楷体_GB2312"/>
              </w:rPr>
            </w:pPr>
          </w:p>
        </w:tc>
        <w:tc>
          <w:tcPr>
            <w:tcW w:w="4136" w:type="dxa"/>
            <w:tcBorders>
              <w:top w:val="single" w:color="auto" w:sz="4" w:space="0"/>
              <w:left w:val="single" w:color="auto" w:sz="4" w:space="0"/>
              <w:bottom w:val="single" w:color="auto" w:sz="4" w:space="0"/>
            </w:tcBorders>
            <w:vAlign w:val="center"/>
          </w:tcPr>
          <w:p w14:paraId="39EF5EF4">
            <w:pPr>
              <w:jc w:val="center"/>
              <w:rPr>
                <w:rFonts w:eastAsia="楷体_GB2312"/>
              </w:rPr>
            </w:pPr>
          </w:p>
        </w:tc>
      </w:tr>
      <w:tr w14:paraId="736F21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38" w:type="dxa"/>
            <w:tcBorders>
              <w:top w:val="single" w:color="auto" w:sz="4" w:space="0"/>
              <w:bottom w:val="single" w:color="auto" w:sz="4" w:space="0"/>
              <w:right w:val="single" w:color="auto" w:sz="4" w:space="0"/>
            </w:tcBorders>
            <w:vAlign w:val="center"/>
          </w:tcPr>
          <w:p w14:paraId="27904298">
            <w:pPr>
              <w:jc w:val="center"/>
              <w:rPr>
                <w:rFonts w:eastAsia="楷体_GB2312"/>
                <w:sz w:val="18"/>
                <w:lang w:eastAsia="zh-CN"/>
              </w:rPr>
            </w:pPr>
            <w:r>
              <w:rPr>
                <w:rFonts w:eastAsia="楷体_GB2312"/>
                <w:sz w:val="18"/>
                <w:lang w:eastAsia="zh-CN"/>
              </w:rPr>
              <w:t>第7期</w:t>
            </w:r>
          </w:p>
        </w:tc>
        <w:tc>
          <w:tcPr>
            <w:tcW w:w="2539" w:type="dxa"/>
            <w:tcBorders>
              <w:top w:val="single" w:color="auto" w:sz="4" w:space="0"/>
              <w:left w:val="single" w:color="auto" w:sz="4" w:space="0"/>
              <w:bottom w:val="single" w:color="auto" w:sz="4" w:space="0"/>
              <w:right w:val="single" w:color="auto" w:sz="4" w:space="0"/>
            </w:tcBorders>
            <w:vAlign w:val="center"/>
          </w:tcPr>
          <w:p w14:paraId="645779DD">
            <w:pPr>
              <w:jc w:val="center"/>
              <w:rPr>
                <w:rFonts w:eastAsia="楷体_GB2312"/>
              </w:rPr>
            </w:pPr>
          </w:p>
        </w:tc>
        <w:tc>
          <w:tcPr>
            <w:tcW w:w="4136" w:type="dxa"/>
            <w:tcBorders>
              <w:top w:val="single" w:color="auto" w:sz="4" w:space="0"/>
              <w:left w:val="single" w:color="auto" w:sz="4" w:space="0"/>
              <w:bottom w:val="single" w:color="auto" w:sz="4" w:space="0"/>
            </w:tcBorders>
            <w:vAlign w:val="center"/>
          </w:tcPr>
          <w:p w14:paraId="0AEAF96A">
            <w:pPr>
              <w:jc w:val="center"/>
              <w:rPr>
                <w:rFonts w:eastAsia="楷体_GB2312"/>
              </w:rPr>
            </w:pPr>
          </w:p>
        </w:tc>
      </w:tr>
      <w:tr w14:paraId="1A8642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38" w:type="dxa"/>
            <w:tcBorders>
              <w:top w:val="single" w:color="auto" w:sz="4" w:space="0"/>
              <w:bottom w:val="single" w:color="auto" w:sz="4" w:space="0"/>
              <w:right w:val="single" w:color="auto" w:sz="4" w:space="0"/>
            </w:tcBorders>
            <w:vAlign w:val="center"/>
          </w:tcPr>
          <w:p w14:paraId="09553112">
            <w:pPr>
              <w:jc w:val="center"/>
              <w:rPr>
                <w:rFonts w:eastAsia="楷体_GB2312"/>
                <w:sz w:val="18"/>
                <w:lang w:eastAsia="zh-CN"/>
              </w:rPr>
            </w:pPr>
            <w:r>
              <w:rPr>
                <w:rFonts w:eastAsia="楷体_GB2312"/>
                <w:sz w:val="18"/>
                <w:lang w:eastAsia="zh-CN"/>
              </w:rPr>
              <w:t>……</w:t>
            </w:r>
          </w:p>
        </w:tc>
        <w:tc>
          <w:tcPr>
            <w:tcW w:w="2539" w:type="dxa"/>
            <w:tcBorders>
              <w:top w:val="single" w:color="auto" w:sz="4" w:space="0"/>
              <w:left w:val="single" w:color="auto" w:sz="4" w:space="0"/>
              <w:bottom w:val="single" w:color="auto" w:sz="4" w:space="0"/>
              <w:right w:val="single" w:color="auto" w:sz="4" w:space="0"/>
            </w:tcBorders>
            <w:vAlign w:val="center"/>
          </w:tcPr>
          <w:p w14:paraId="24483E8E">
            <w:pPr>
              <w:jc w:val="center"/>
              <w:rPr>
                <w:rFonts w:eastAsia="楷体_GB2312"/>
              </w:rPr>
            </w:pPr>
          </w:p>
        </w:tc>
        <w:tc>
          <w:tcPr>
            <w:tcW w:w="4136" w:type="dxa"/>
            <w:tcBorders>
              <w:top w:val="single" w:color="auto" w:sz="4" w:space="0"/>
              <w:left w:val="single" w:color="auto" w:sz="4" w:space="0"/>
              <w:bottom w:val="single" w:color="auto" w:sz="4" w:space="0"/>
            </w:tcBorders>
            <w:vAlign w:val="center"/>
          </w:tcPr>
          <w:p w14:paraId="02949E36">
            <w:pPr>
              <w:jc w:val="center"/>
              <w:rPr>
                <w:rFonts w:eastAsia="楷体_GB2312"/>
              </w:rPr>
            </w:pPr>
          </w:p>
        </w:tc>
      </w:tr>
    </w:tbl>
    <w:p w14:paraId="2BA599E8">
      <w:pPr>
        <w:tabs>
          <w:tab w:val="left" w:pos="2802"/>
        </w:tabs>
        <w:rPr>
          <w:rFonts w:eastAsia="楷体_GB2312"/>
          <w:sz w:val="18"/>
          <w:szCs w:val="18"/>
        </w:rPr>
      </w:pPr>
    </w:p>
    <w:p w14:paraId="0B0E36CC">
      <w:pPr>
        <w:tabs>
          <w:tab w:val="left" w:pos="2802"/>
        </w:tabs>
        <w:rPr>
          <w:rFonts w:eastAsia="楷体_GB2312"/>
          <w:sz w:val="18"/>
          <w:szCs w:val="18"/>
        </w:rPr>
      </w:pPr>
      <w:r>
        <w:rPr>
          <w:rFonts w:eastAsia="楷体_GB2312"/>
          <w:sz w:val="18"/>
          <w:szCs w:val="18"/>
        </w:rPr>
        <w:br w:type="page"/>
      </w:r>
    </w:p>
    <w:p w14:paraId="3B58D799">
      <w:pPr>
        <w:tabs>
          <w:tab w:val="left" w:pos="2802"/>
        </w:tabs>
        <w:rPr>
          <w:rFonts w:eastAsia="楷体_GB2312"/>
          <w:sz w:val="18"/>
          <w:szCs w:val="18"/>
        </w:rPr>
      </w:pPr>
    </w:p>
    <w:tbl>
      <w:tblPr>
        <w:tblStyle w:val="31"/>
        <w:tblW w:w="8613"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51"/>
        <w:gridCol w:w="1559"/>
        <w:gridCol w:w="1702"/>
        <w:gridCol w:w="1418"/>
        <w:gridCol w:w="1983"/>
      </w:tblGrid>
      <w:tr w14:paraId="7DA6BD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3" w:type="dxa"/>
            <w:gridSpan w:val="5"/>
            <w:tcBorders>
              <w:top w:val="single" w:color="auto" w:sz="4" w:space="0"/>
              <w:bottom w:val="single" w:color="auto" w:sz="4" w:space="0"/>
            </w:tcBorders>
          </w:tcPr>
          <w:p w14:paraId="5A53D7DB">
            <w:pPr>
              <w:jc w:val="center"/>
              <w:rPr>
                <w:rFonts w:eastAsia="楷体_GB2312"/>
                <w:b/>
                <w:sz w:val="28"/>
                <w:lang w:eastAsia="zh-CN"/>
              </w:rPr>
            </w:pPr>
            <w:r>
              <w:rPr>
                <w:rFonts w:eastAsia="楷体_GB2312"/>
                <w:b/>
                <w:sz w:val="28"/>
                <w:lang w:eastAsia="zh-CN"/>
              </w:rPr>
              <w:t>【信托名称】</w:t>
            </w:r>
          </w:p>
          <w:p w14:paraId="5D8CCD24">
            <w:pPr>
              <w:jc w:val="center"/>
              <w:rPr>
                <w:rFonts w:eastAsia="楷体_GB2312"/>
                <w:b/>
                <w:lang w:eastAsia="zh-CN"/>
              </w:rPr>
            </w:pPr>
            <w:r>
              <w:rPr>
                <w:rFonts w:eastAsia="楷体_GB2312"/>
                <w:b/>
                <w:sz w:val="28"/>
                <w:lang w:eastAsia="zh-CN"/>
              </w:rPr>
              <w:t>受托机构月度/年度报告</w:t>
            </w:r>
          </w:p>
        </w:tc>
      </w:tr>
      <w:tr w14:paraId="0863E9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3" w:type="dxa"/>
            <w:gridSpan w:val="5"/>
            <w:tcBorders>
              <w:top w:val="single" w:color="auto" w:sz="4" w:space="0"/>
              <w:bottom w:val="single" w:color="auto" w:sz="4" w:space="0"/>
            </w:tcBorders>
          </w:tcPr>
          <w:p w14:paraId="00B0DB20">
            <w:pPr>
              <w:rPr>
                <w:rFonts w:eastAsia="楷体_GB2312"/>
                <w:b/>
                <w:lang w:eastAsia="zh-CN"/>
              </w:rPr>
            </w:pPr>
            <w:r>
              <w:rPr>
                <w:rFonts w:eastAsia="楷体_GB2312"/>
                <w:b/>
                <w:lang w:eastAsia="zh-CN"/>
              </w:rPr>
              <w:t>三、资产池情况（续）</w:t>
            </w:r>
          </w:p>
          <w:p w14:paraId="1BD2FDEB">
            <w:pPr>
              <w:rPr>
                <w:rFonts w:eastAsia="楷体_GB2312"/>
                <w:lang w:eastAsia="zh-CN"/>
              </w:rPr>
            </w:pPr>
            <w:r>
              <w:rPr>
                <w:rFonts w:eastAsia="楷体_GB2312"/>
                <w:b/>
                <w:lang w:eastAsia="zh-CN"/>
              </w:rPr>
              <w:t>（五）资产池现金流归集表</w:t>
            </w:r>
          </w:p>
        </w:tc>
      </w:tr>
      <w:tr w14:paraId="5057BA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bottom w:val="single" w:color="auto" w:sz="4" w:space="0"/>
              <w:right w:val="single" w:color="auto" w:sz="4" w:space="0"/>
            </w:tcBorders>
            <w:vAlign w:val="center"/>
          </w:tcPr>
          <w:p w14:paraId="7BF08467">
            <w:pPr>
              <w:jc w:val="center"/>
              <w:rPr>
                <w:rFonts w:eastAsia="楷体_GB2312"/>
                <w:b/>
                <w:lang w:eastAsia="zh-CN"/>
              </w:rPr>
            </w:pPr>
            <w:r>
              <w:rPr>
                <w:rFonts w:eastAsia="楷体_GB2312"/>
                <w:b/>
                <w:lang w:eastAsia="zh-CN"/>
              </w:rPr>
              <w:t>计算日</w:t>
            </w:r>
          </w:p>
        </w:tc>
        <w:tc>
          <w:tcPr>
            <w:tcW w:w="1559" w:type="dxa"/>
            <w:tcBorders>
              <w:top w:val="single" w:color="auto" w:sz="4" w:space="0"/>
              <w:left w:val="single" w:color="auto" w:sz="4" w:space="0"/>
              <w:bottom w:val="single" w:color="auto" w:sz="4" w:space="0"/>
              <w:right w:val="single" w:color="auto" w:sz="4" w:space="0"/>
            </w:tcBorders>
            <w:vAlign w:val="center"/>
          </w:tcPr>
          <w:p w14:paraId="55146275">
            <w:pPr>
              <w:jc w:val="center"/>
              <w:rPr>
                <w:rFonts w:eastAsia="楷体_GB2312"/>
                <w:b/>
                <w:lang w:eastAsia="zh-CN"/>
              </w:rPr>
            </w:pPr>
            <w:r>
              <w:rPr>
                <w:rFonts w:eastAsia="楷体_GB2312"/>
                <w:b/>
                <w:lang w:eastAsia="zh-CN"/>
              </w:rPr>
              <w:t>报告期初本金总余额</w:t>
            </w:r>
          </w:p>
        </w:tc>
        <w:tc>
          <w:tcPr>
            <w:tcW w:w="1702" w:type="dxa"/>
            <w:tcBorders>
              <w:top w:val="single" w:color="auto" w:sz="4" w:space="0"/>
              <w:left w:val="single" w:color="auto" w:sz="4" w:space="0"/>
              <w:bottom w:val="single" w:color="auto" w:sz="4" w:space="0"/>
              <w:right w:val="single" w:color="auto" w:sz="4" w:space="0"/>
            </w:tcBorders>
            <w:vAlign w:val="center"/>
          </w:tcPr>
          <w:p w14:paraId="0A120E7B">
            <w:pPr>
              <w:jc w:val="center"/>
              <w:rPr>
                <w:rFonts w:eastAsia="楷体_GB2312"/>
                <w:b/>
                <w:lang w:eastAsia="zh-CN"/>
              </w:rPr>
            </w:pPr>
            <w:r>
              <w:rPr>
                <w:rFonts w:eastAsia="楷体_GB2312"/>
                <w:b/>
                <w:lang w:eastAsia="zh-CN"/>
              </w:rPr>
              <w:t>本报告期间应收本金</w:t>
            </w:r>
          </w:p>
        </w:tc>
        <w:tc>
          <w:tcPr>
            <w:tcW w:w="1418" w:type="dxa"/>
            <w:tcBorders>
              <w:top w:val="single" w:color="auto" w:sz="4" w:space="0"/>
              <w:left w:val="single" w:color="auto" w:sz="4" w:space="0"/>
              <w:bottom w:val="single" w:color="auto" w:sz="4" w:space="0"/>
              <w:right w:val="single" w:color="auto" w:sz="4" w:space="0"/>
            </w:tcBorders>
            <w:vAlign w:val="center"/>
          </w:tcPr>
          <w:p w14:paraId="71C22E57">
            <w:pPr>
              <w:jc w:val="center"/>
              <w:rPr>
                <w:rFonts w:eastAsia="楷体_GB2312"/>
                <w:b/>
                <w:lang w:eastAsia="zh-CN"/>
              </w:rPr>
            </w:pPr>
            <w:r>
              <w:rPr>
                <w:rFonts w:eastAsia="楷体_GB2312"/>
                <w:b/>
                <w:lang w:eastAsia="zh-CN"/>
              </w:rPr>
              <w:t>本报告期间应收利息</w:t>
            </w:r>
          </w:p>
        </w:tc>
        <w:tc>
          <w:tcPr>
            <w:tcW w:w="1983" w:type="dxa"/>
            <w:tcBorders>
              <w:top w:val="single" w:color="auto" w:sz="4" w:space="0"/>
              <w:left w:val="single" w:color="auto" w:sz="4" w:space="0"/>
              <w:bottom w:val="single" w:color="auto" w:sz="4" w:space="0"/>
            </w:tcBorders>
            <w:vAlign w:val="center"/>
          </w:tcPr>
          <w:p w14:paraId="4178BF82">
            <w:pPr>
              <w:jc w:val="center"/>
              <w:rPr>
                <w:rFonts w:eastAsia="楷体_GB2312"/>
                <w:b/>
                <w:lang w:eastAsia="zh-CN"/>
              </w:rPr>
            </w:pPr>
            <w:r>
              <w:rPr>
                <w:rFonts w:eastAsia="楷体_GB2312"/>
                <w:b/>
                <w:lang w:eastAsia="zh-CN"/>
              </w:rPr>
              <w:t>报告期末本金总余额</w:t>
            </w:r>
          </w:p>
        </w:tc>
      </w:tr>
      <w:tr w14:paraId="595ED6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bottom w:val="single" w:color="auto" w:sz="4" w:space="0"/>
              <w:right w:val="single" w:color="auto" w:sz="4" w:space="0"/>
            </w:tcBorders>
            <w:vAlign w:val="center"/>
          </w:tcPr>
          <w:p w14:paraId="509931B5">
            <w:pPr>
              <w:jc w:val="center"/>
              <w:rPr>
                <w:rFonts w:eastAsia="楷体_GB2312"/>
                <w:sz w:val="18"/>
                <w:szCs w:val="18"/>
              </w:rPr>
            </w:pPr>
          </w:p>
        </w:tc>
        <w:tc>
          <w:tcPr>
            <w:tcW w:w="1559" w:type="dxa"/>
            <w:tcBorders>
              <w:top w:val="single" w:color="auto" w:sz="4" w:space="0"/>
              <w:left w:val="single" w:color="auto" w:sz="4" w:space="0"/>
              <w:bottom w:val="single" w:color="auto" w:sz="4" w:space="0"/>
              <w:right w:val="single" w:color="auto" w:sz="4" w:space="0"/>
            </w:tcBorders>
            <w:vAlign w:val="center"/>
          </w:tcPr>
          <w:p w14:paraId="2014DBBA">
            <w:pPr>
              <w:jc w:val="center"/>
              <w:rPr>
                <w:rFonts w:eastAsia="楷体_GB2312"/>
                <w:sz w:val="18"/>
                <w:szCs w:val="18"/>
              </w:rPr>
            </w:pPr>
          </w:p>
        </w:tc>
        <w:tc>
          <w:tcPr>
            <w:tcW w:w="1702" w:type="dxa"/>
            <w:tcBorders>
              <w:top w:val="single" w:color="auto" w:sz="4" w:space="0"/>
              <w:left w:val="single" w:color="auto" w:sz="4" w:space="0"/>
              <w:bottom w:val="single" w:color="auto" w:sz="4" w:space="0"/>
              <w:right w:val="single" w:color="auto" w:sz="4" w:space="0"/>
            </w:tcBorders>
            <w:vAlign w:val="center"/>
          </w:tcPr>
          <w:p w14:paraId="5B3E226B">
            <w:pPr>
              <w:jc w:val="center"/>
              <w:rPr>
                <w:rFonts w:eastAsia="楷体_GB2312"/>
                <w:sz w:val="18"/>
                <w:szCs w:val="18"/>
              </w:rPr>
            </w:pPr>
          </w:p>
        </w:tc>
        <w:tc>
          <w:tcPr>
            <w:tcW w:w="1418" w:type="dxa"/>
            <w:tcBorders>
              <w:top w:val="single" w:color="auto" w:sz="4" w:space="0"/>
              <w:left w:val="single" w:color="auto" w:sz="4" w:space="0"/>
              <w:bottom w:val="single" w:color="auto" w:sz="4" w:space="0"/>
              <w:right w:val="single" w:color="auto" w:sz="4" w:space="0"/>
            </w:tcBorders>
            <w:vAlign w:val="center"/>
          </w:tcPr>
          <w:p w14:paraId="79BB5762">
            <w:pPr>
              <w:jc w:val="center"/>
              <w:rPr>
                <w:rFonts w:eastAsia="楷体_GB2312"/>
                <w:sz w:val="18"/>
                <w:szCs w:val="18"/>
              </w:rPr>
            </w:pPr>
          </w:p>
        </w:tc>
        <w:tc>
          <w:tcPr>
            <w:tcW w:w="1983" w:type="dxa"/>
            <w:tcBorders>
              <w:top w:val="single" w:color="auto" w:sz="4" w:space="0"/>
              <w:left w:val="single" w:color="auto" w:sz="4" w:space="0"/>
              <w:bottom w:val="single" w:color="auto" w:sz="4" w:space="0"/>
            </w:tcBorders>
            <w:vAlign w:val="center"/>
          </w:tcPr>
          <w:p w14:paraId="231435C0">
            <w:pPr>
              <w:jc w:val="center"/>
              <w:rPr>
                <w:rFonts w:eastAsia="楷体_GB2312"/>
                <w:sz w:val="18"/>
                <w:szCs w:val="18"/>
              </w:rPr>
            </w:pPr>
          </w:p>
        </w:tc>
      </w:tr>
      <w:tr w14:paraId="74A493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bottom w:val="single" w:color="auto" w:sz="4" w:space="0"/>
              <w:right w:val="single" w:color="auto" w:sz="4" w:space="0"/>
            </w:tcBorders>
            <w:vAlign w:val="center"/>
          </w:tcPr>
          <w:p w14:paraId="266AE315">
            <w:pPr>
              <w:jc w:val="center"/>
              <w:rPr>
                <w:rFonts w:eastAsia="楷体_GB2312"/>
                <w:sz w:val="18"/>
                <w:szCs w:val="18"/>
              </w:rPr>
            </w:pPr>
          </w:p>
        </w:tc>
        <w:tc>
          <w:tcPr>
            <w:tcW w:w="1559" w:type="dxa"/>
            <w:tcBorders>
              <w:top w:val="single" w:color="auto" w:sz="4" w:space="0"/>
              <w:left w:val="single" w:color="auto" w:sz="4" w:space="0"/>
              <w:bottom w:val="single" w:color="auto" w:sz="4" w:space="0"/>
              <w:right w:val="single" w:color="auto" w:sz="4" w:space="0"/>
            </w:tcBorders>
            <w:vAlign w:val="center"/>
          </w:tcPr>
          <w:p w14:paraId="6D966C6D">
            <w:pPr>
              <w:jc w:val="center"/>
              <w:rPr>
                <w:rFonts w:eastAsia="楷体_GB2312"/>
                <w:sz w:val="18"/>
                <w:szCs w:val="18"/>
              </w:rPr>
            </w:pPr>
          </w:p>
        </w:tc>
        <w:tc>
          <w:tcPr>
            <w:tcW w:w="1702" w:type="dxa"/>
            <w:tcBorders>
              <w:top w:val="single" w:color="auto" w:sz="4" w:space="0"/>
              <w:left w:val="single" w:color="auto" w:sz="4" w:space="0"/>
              <w:bottom w:val="single" w:color="auto" w:sz="4" w:space="0"/>
              <w:right w:val="single" w:color="auto" w:sz="4" w:space="0"/>
            </w:tcBorders>
            <w:vAlign w:val="center"/>
          </w:tcPr>
          <w:p w14:paraId="3ECA7C98">
            <w:pPr>
              <w:jc w:val="center"/>
              <w:rPr>
                <w:rFonts w:eastAsia="楷体_GB2312"/>
                <w:sz w:val="18"/>
                <w:szCs w:val="18"/>
              </w:rPr>
            </w:pPr>
          </w:p>
        </w:tc>
        <w:tc>
          <w:tcPr>
            <w:tcW w:w="1418" w:type="dxa"/>
            <w:tcBorders>
              <w:top w:val="single" w:color="auto" w:sz="4" w:space="0"/>
              <w:left w:val="single" w:color="auto" w:sz="4" w:space="0"/>
              <w:bottom w:val="single" w:color="auto" w:sz="4" w:space="0"/>
              <w:right w:val="single" w:color="auto" w:sz="4" w:space="0"/>
            </w:tcBorders>
            <w:vAlign w:val="center"/>
          </w:tcPr>
          <w:p w14:paraId="791ABBBE">
            <w:pPr>
              <w:jc w:val="center"/>
              <w:rPr>
                <w:rFonts w:eastAsia="楷体_GB2312"/>
                <w:sz w:val="18"/>
                <w:szCs w:val="18"/>
              </w:rPr>
            </w:pPr>
          </w:p>
        </w:tc>
        <w:tc>
          <w:tcPr>
            <w:tcW w:w="1983" w:type="dxa"/>
            <w:tcBorders>
              <w:top w:val="single" w:color="auto" w:sz="4" w:space="0"/>
              <w:left w:val="single" w:color="auto" w:sz="4" w:space="0"/>
              <w:bottom w:val="single" w:color="auto" w:sz="4" w:space="0"/>
            </w:tcBorders>
            <w:vAlign w:val="center"/>
          </w:tcPr>
          <w:p w14:paraId="11A150C7">
            <w:pPr>
              <w:jc w:val="center"/>
              <w:rPr>
                <w:rFonts w:eastAsia="楷体_GB2312"/>
                <w:sz w:val="18"/>
                <w:szCs w:val="18"/>
              </w:rPr>
            </w:pPr>
          </w:p>
        </w:tc>
      </w:tr>
      <w:tr w14:paraId="3F9B42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bottom w:val="single" w:color="auto" w:sz="4" w:space="0"/>
              <w:right w:val="single" w:color="auto" w:sz="4" w:space="0"/>
            </w:tcBorders>
            <w:vAlign w:val="center"/>
          </w:tcPr>
          <w:p w14:paraId="68B67C60">
            <w:pPr>
              <w:jc w:val="center"/>
              <w:rPr>
                <w:rFonts w:eastAsia="楷体_GB2312"/>
                <w:sz w:val="18"/>
                <w:szCs w:val="18"/>
              </w:rPr>
            </w:pPr>
          </w:p>
        </w:tc>
        <w:tc>
          <w:tcPr>
            <w:tcW w:w="1559" w:type="dxa"/>
            <w:tcBorders>
              <w:top w:val="single" w:color="auto" w:sz="4" w:space="0"/>
              <w:left w:val="single" w:color="auto" w:sz="4" w:space="0"/>
              <w:bottom w:val="single" w:color="auto" w:sz="4" w:space="0"/>
              <w:right w:val="single" w:color="auto" w:sz="4" w:space="0"/>
            </w:tcBorders>
            <w:vAlign w:val="center"/>
          </w:tcPr>
          <w:p w14:paraId="3BCE5933">
            <w:pPr>
              <w:jc w:val="center"/>
              <w:rPr>
                <w:rFonts w:eastAsia="楷体_GB2312"/>
                <w:sz w:val="18"/>
                <w:szCs w:val="18"/>
              </w:rPr>
            </w:pPr>
          </w:p>
        </w:tc>
        <w:tc>
          <w:tcPr>
            <w:tcW w:w="1702" w:type="dxa"/>
            <w:tcBorders>
              <w:top w:val="single" w:color="auto" w:sz="4" w:space="0"/>
              <w:left w:val="single" w:color="auto" w:sz="4" w:space="0"/>
              <w:bottom w:val="single" w:color="auto" w:sz="4" w:space="0"/>
              <w:right w:val="single" w:color="auto" w:sz="4" w:space="0"/>
            </w:tcBorders>
            <w:vAlign w:val="center"/>
          </w:tcPr>
          <w:p w14:paraId="7640C9B3">
            <w:pPr>
              <w:jc w:val="center"/>
              <w:rPr>
                <w:rFonts w:eastAsia="楷体_GB2312"/>
                <w:sz w:val="18"/>
                <w:szCs w:val="18"/>
              </w:rPr>
            </w:pPr>
          </w:p>
        </w:tc>
        <w:tc>
          <w:tcPr>
            <w:tcW w:w="1418" w:type="dxa"/>
            <w:tcBorders>
              <w:top w:val="single" w:color="auto" w:sz="4" w:space="0"/>
              <w:left w:val="single" w:color="auto" w:sz="4" w:space="0"/>
              <w:bottom w:val="single" w:color="auto" w:sz="4" w:space="0"/>
              <w:right w:val="single" w:color="auto" w:sz="4" w:space="0"/>
            </w:tcBorders>
            <w:vAlign w:val="center"/>
          </w:tcPr>
          <w:p w14:paraId="2E86BF81">
            <w:pPr>
              <w:jc w:val="center"/>
              <w:rPr>
                <w:rFonts w:eastAsia="楷体_GB2312"/>
                <w:sz w:val="18"/>
                <w:szCs w:val="18"/>
              </w:rPr>
            </w:pPr>
          </w:p>
        </w:tc>
        <w:tc>
          <w:tcPr>
            <w:tcW w:w="1983" w:type="dxa"/>
            <w:tcBorders>
              <w:top w:val="single" w:color="auto" w:sz="4" w:space="0"/>
              <w:left w:val="single" w:color="auto" w:sz="4" w:space="0"/>
              <w:bottom w:val="single" w:color="auto" w:sz="4" w:space="0"/>
            </w:tcBorders>
            <w:vAlign w:val="center"/>
          </w:tcPr>
          <w:p w14:paraId="026D8BDD">
            <w:pPr>
              <w:jc w:val="center"/>
              <w:rPr>
                <w:rFonts w:eastAsia="楷体_GB2312"/>
                <w:sz w:val="18"/>
                <w:szCs w:val="18"/>
              </w:rPr>
            </w:pPr>
          </w:p>
        </w:tc>
      </w:tr>
      <w:tr w14:paraId="2271BB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bottom w:val="single" w:color="auto" w:sz="4" w:space="0"/>
              <w:right w:val="single" w:color="auto" w:sz="4" w:space="0"/>
            </w:tcBorders>
            <w:vAlign w:val="center"/>
          </w:tcPr>
          <w:p w14:paraId="424593BC">
            <w:pPr>
              <w:jc w:val="center"/>
              <w:rPr>
                <w:rFonts w:eastAsia="楷体_GB2312"/>
                <w:sz w:val="18"/>
                <w:szCs w:val="18"/>
              </w:rPr>
            </w:pPr>
          </w:p>
        </w:tc>
        <w:tc>
          <w:tcPr>
            <w:tcW w:w="1559" w:type="dxa"/>
            <w:tcBorders>
              <w:top w:val="single" w:color="auto" w:sz="4" w:space="0"/>
              <w:left w:val="single" w:color="auto" w:sz="4" w:space="0"/>
              <w:bottom w:val="single" w:color="auto" w:sz="4" w:space="0"/>
              <w:right w:val="single" w:color="auto" w:sz="4" w:space="0"/>
            </w:tcBorders>
            <w:vAlign w:val="center"/>
          </w:tcPr>
          <w:p w14:paraId="02415B4F">
            <w:pPr>
              <w:jc w:val="center"/>
              <w:rPr>
                <w:rFonts w:eastAsia="楷体_GB2312"/>
                <w:sz w:val="18"/>
                <w:szCs w:val="18"/>
              </w:rPr>
            </w:pPr>
          </w:p>
        </w:tc>
        <w:tc>
          <w:tcPr>
            <w:tcW w:w="1702" w:type="dxa"/>
            <w:tcBorders>
              <w:top w:val="single" w:color="auto" w:sz="4" w:space="0"/>
              <w:left w:val="single" w:color="auto" w:sz="4" w:space="0"/>
              <w:bottom w:val="single" w:color="auto" w:sz="4" w:space="0"/>
              <w:right w:val="single" w:color="auto" w:sz="4" w:space="0"/>
            </w:tcBorders>
            <w:vAlign w:val="center"/>
          </w:tcPr>
          <w:p w14:paraId="2058882B">
            <w:pPr>
              <w:jc w:val="center"/>
              <w:rPr>
                <w:rFonts w:eastAsia="楷体_GB2312"/>
                <w:sz w:val="18"/>
                <w:szCs w:val="18"/>
              </w:rPr>
            </w:pPr>
          </w:p>
        </w:tc>
        <w:tc>
          <w:tcPr>
            <w:tcW w:w="1418" w:type="dxa"/>
            <w:tcBorders>
              <w:top w:val="single" w:color="auto" w:sz="4" w:space="0"/>
              <w:left w:val="single" w:color="auto" w:sz="4" w:space="0"/>
              <w:bottom w:val="single" w:color="auto" w:sz="4" w:space="0"/>
              <w:right w:val="single" w:color="auto" w:sz="4" w:space="0"/>
            </w:tcBorders>
            <w:vAlign w:val="center"/>
          </w:tcPr>
          <w:p w14:paraId="7F6CA260">
            <w:pPr>
              <w:jc w:val="center"/>
              <w:rPr>
                <w:rFonts w:eastAsia="楷体_GB2312"/>
                <w:sz w:val="18"/>
                <w:szCs w:val="18"/>
              </w:rPr>
            </w:pPr>
          </w:p>
        </w:tc>
        <w:tc>
          <w:tcPr>
            <w:tcW w:w="1983" w:type="dxa"/>
            <w:tcBorders>
              <w:top w:val="single" w:color="auto" w:sz="4" w:space="0"/>
              <w:left w:val="single" w:color="auto" w:sz="4" w:space="0"/>
              <w:bottom w:val="single" w:color="auto" w:sz="4" w:space="0"/>
            </w:tcBorders>
            <w:vAlign w:val="center"/>
          </w:tcPr>
          <w:p w14:paraId="059E3C08">
            <w:pPr>
              <w:jc w:val="center"/>
              <w:rPr>
                <w:rFonts w:eastAsia="楷体_GB2312"/>
                <w:sz w:val="18"/>
                <w:szCs w:val="18"/>
              </w:rPr>
            </w:pPr>
          </w:p>
        </w:tc>
      </w:tr>
      <w:tr w14:paraId="5C3B77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bottom w:val="single" w:color="auto" w:sz="4" w:space="0"/>
              <w:right w:val="single" w:color="auto" w:sz="4" w:space="0"/>
            </w:tcBorders>
            <w:vAlign w:val="center"/>
          </w:tcPr>
          <w:p w14:paraId="003F5AFC">
            <w:pPr>
              <w:jc w:val="center"/>
              <w:rPr>
                <w:rFonts w:eastAsia="楷体_GB2312"/>
                <w:sz w:val="18"/>
                <w:szCs w:val="18"/>
              </w:rPr>
            </w:pPr>
          </w:p>
        </w:tc>
        <w:tc>
          <w:tcPr>
            <w:tcW w:w="1559" w:type="dxa"/>
            <w:tcBorders>
              <w:top w:val="single" w:color="auto" w:sz="4" w:space="0"/>
              <w:left w:val="single" w:color="auto" w:sz="4" w:space="0"/>
              <w:bottom w:val="single" w:color="auto" w:sz="4" w:space="0"/>
              <w:right w:val="single" w:color="auto" w:sz="4" w:space="0"/>
            </w:tcBorders>
            <w:vAlign w:val="center"/>
          </w:tcPr>
          <w:p w14:paraId="1992140C">
            <w:pPr>
              <w:jc w:val="center"/>
              <w:rPr>
                <w:rFonts w:eastAsia="楷体_GB2312"/>
                <w:sz w:val="18"/>
                <w:szCs w:val="18"/>
              </w:rPr>
            </w:pPr>
          </w:p>
        </w:tc>
        <w:tc>
          <w:tcPr>
            <w:tcW w:w="1702" w:type="dxa"/>
            <w:tcBorders>
              <w:top w:val="single" w:color="auto" w:sz="4" w:space="0"/>
              <w:left w:val="single" w:color="auto" w:sz="4" w:space="0"/>
              <w:bottom w:val="single" w:color="auto" w:sz="4" w:space="0"/>
              <w:right w:val="single" w:color="auto" w:sz="4" w:space="0"/>
            </w:tcBorders>
            <w:vAlign w:val="center"/>
          </w:tcPr>
          <w:p w14:paraId="1417C111">
            <w:pPr>
              <w:jc w:val="center"/>
              <w:rPr>
                <w:rFonts w:eastAsia="楷体_GB2312"/>
                <w:sz w:val="18"/>
                <w:szCs w:val="18"/>
              </w:rPr>
            </w:pPr>
          </w:p>
        </w:tc>
        <w:tc>
          <w:tcPr>
            <w:tcW w:w="1418" w:type="dxa"/>
            <w:tcBorders>
              <w:top w:val="single" w:color="auto" w:sz="4" w:space="0"/>
              <w:left w:val="single" w:color="auto" w:sz="4" w:space="0"/>
              <w:bottom w:val="single" w:color="auto" w:sz="4" w:space="0"/>
              <w:right w:val="single" w:color="auto" w:sz="4" w:space="0"/>
            </w:tcBorders>
            <w:vAlign w:val="center"/>
          </w:tcPr>
          <w:p w14:paraId="6E566D90">
            <w:pPr>
              <w:jc w:val="center"/>
              <w:rPr>
                <w:rFonts w:eastAsia="楷体_GB2312"/>
                <w:sz w:val="18"/>
                <w:szCs w:val="18"/>
              </w:rPr>
            </w:pPr>
          </w:p>
        </w:tc>
        <w:tc>
          <w:tcPr>
            <w:tcW w:w="1983" w:type="dxa"/>
            <w:tcBorders>
              <w:top w:val="single" w:color="auto" w:sz="4" w:space="0"/>
              <w:left w:val="single" w:color="auto" w:sz="4" w:space="0"/>
              <w:bottom w:val="single" w:color="auto" w:sz="4" w:space="0"/>
            </w:tcBorders>
            <w:vAlign w:val="center"/>
          </w:tcPr>
          <w:p w14:paraId="04B62F26">
            <w:pPr>
              <w:jc w:val="center"/>
              <w:rPr>
                <w:rFonts w:eastAsia="楷体_GB2312"/>
                <w:sz w:val="18"/>
                <w:szCs w:val="18"/>
              </w:rPr>
            </w:pPr>
          </w:p>
        </w:tc>
      </w:tr>
    </w:tbl>
    <w:p w14:paraId="7070F49A">
      <w:pPr>
        <w:snapToGrid w:val="0"/>
        <w:spacing w:line="276" w:lineRule="auto"/>
        <w:rPr>
          <w:rFonts w:eastAsia="楷体_GB2312"/>
          <w:lang w:eastAsia="zh-CN"/>
        </w:rPr>
      </w:pPr>
      <w:r>
        <w:rPr>
          <w:rFonts w:eastAsia="楷体_GB2312"/>
          <w:lang w:eastAsia="zh-CN"/>
        </w:rPr>
        <w:t>注：现金流归集的假设条件和计算规则</w:t>
      </w:r>
    </w:p>
    <w:p w14:paraId="3864AA10">
      <w:pPr>
        <w:spacing w:line="360" w:lineRule="auto"/>
        <w:rPr>
          <w:rFonts w:eastAsia="楷体_GB2312"/>
        </w:rPr>
      </w:pPr>
      <w:r>
        <w:rPr>
          <w:rFonts w:eastAsia="楷体_GB2312"/>
          <w:lang w:eastAsia="zh-CN"/>
        </w:rPr>
        <w:t>【】</w:t>
      </w:r>
    </w:p>
    <w:p w14:paraId="08DCF3DE">
      <w:pPr>
        <w:spacing w:line="360" w:lineRule="auto"/>
        <w:rPr>
          <w:rFonts w:eastAsia="楷体_GB2312"/>
        </w:rPr>
      </w:pPr>
    </w:p>
    <w:p w14:paraId="1F844D23">
      <w:pPr>
        <w:spacing w:line="360" w:lineRule="auto"/>
        <w:rPr>
          <w:rFonts w:eastAsia="楷体_GB2312"/>
        </w:rPr>
      </w:pPr>
    </w:p>
    <w:p w14:paraId="3190081D">
      <w:pPr>
        <w:spacing w:line="360" w:lineRule="auto"/>
        <w:rPr>
          <w:rFonts w:eastAsia="楷体_GB2312"/>
        </w:rPr>
      </w:pPr>
      <w:r>
        <w:rPr>
          <w:rFonts w:eastAsia="楷体_GB2312"/>
        </w:rPr>
        <w:br w:type="page"/>
      </w:r>
    </w:p>
    <w:tbl>
      <w:tblPr>
        <w:tblStyle w:val="31"/>
        <w:tblW w:w="869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014"/>
        <w:gridCol w:w="1738"/>
        <w:gridCol w:w="2463"/>
        <w:gridCol w:w="2608"/>
      </w:tblGrid>
      <w:tr w14:paraId="5C2F0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8692" w:type="dxa"/>
            <w:gridSpan w:val="5"/>
            <w:tcBorders>
              <w:bottom w:val="single" w:color="auto" w:sz="4" w:space="0"/>
            </w:tcBorders>
          </w:tcPr>
          <w:p w14:paraId="7D94168D">
            <w:pPr>
              <w:ind w:left="-934" w:leftChars="-389" w:firstLine="956" w:firstLineChars="340"/>
              <w:jc w:val="center"/>
              <w:rPr>
                <w:rFonts w:eastAsia="楷体_GB2312"/>
                <w:b/>
                <w:sz w:val="28"/>
                <w:lang w:eastAsia="zh-CN"/>
              </w:rPr>
            </w:pPr>
            <w:r>
              <w:rPr>
                <w:rFonts w:eastAsia="楷体_GB2312"/>
                <w:b/>
                <w:sz w:val="28"/>
                <w:lang w:eastAsia="zh-CN"/>
              </w:rPr>
              <w:t>【信托名称】</w:t>
            </w:r>
          </w:p>
          <w:p w14:paraId="35320D25">
            <w:pPr>
              <w:ind w:left="-934" w:leftChars="-389" w:firstLine="956" w:firstLineChars="340"/>
              <w:jc w:val="center"/>
              <w:rPr>
                <w:rFonts w:eastAsia="楷体_GB2312"/>
                <w:b/>
                <w:sz w:val="28"/>
                <w:lang w:eastAsia="zh-CN"/>
              </w:rPr>
            </w:pPr>
            <w:r>
              <w:rPr>
                <w:rFonts w:eastAsia="楷体_GB2312"/>
                <w:b/>
                <w:sz w:val="28"/>
                <w:lang w:eastAsia="zh-CN"/>
              </w:rPr>
              <w:t>受托机构月度/年度报告</w:t>
            </w:r>
          </w:p>
        </w:tc>
      </w:tr>
      <w:tr w14:paraId="4703D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92" w:type="dxa"/>
            <w:gridSpan w:val="5"/>
            <w:shd w:val="clear" w:color="auto" w:fill="FFFFFF"/>
          </w:tcPr>
          <w:p w14:paraId="139BA502">
            <w:pPr>
              <w:rPr>
                <w:rFonts w:eastAsia="楷体_GB2312"/>
                <w:b/>
                <w:lang w:eastAsia="zh-CN"/>
              </w:rPr>
            </w:pPr>
            <w:r>
              <w:rPr>
                <w:rFonts w:eastAsia="楷体_GB2312"/>
                <w:b/>
                <w:lang w:eastAsia="zh-CN"/>
              </w:rPr>
              <w:t>三、资产池情况（续）</w:t>
            </w:r>
          </w:p>
          <w:p w14:paraId="5515F925">
            <w:pPr>
              <w:rPr>
                <w:rFonts w:eastAsia="楷体_GB2312"/>
                <w:b/>
                <w:bCs/>
                <w:lang w:eastAsia="zh-CN"/>
              </w:rPr>
            </w:pPr>
            <w:r>
              <w:rPr>
                <w:rFonts w:eastAsia="楷体_GB2312"/>
                <w:b/>
                <w:lang w:eastAsia="zh-CN"/>
              </w:rPr>
              <w:t>（六）资产池现金流入和支出情况</w:t>
            </w:r>
          </w:p>
        </w:tc>
      </w:tr>
      <w:tr w14:paraId="621A3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tcPr>
          <w:p w14:paraId="7A162B1C">
            <w:pPr>
              <w:rPr>
                <w:rFonts w:eastAsia="楷体_GB2312"/>
                <w:lang w:eastAsia="zh-CN"/>
              </w:rPr>
            </w:pPr>
          </w:p>
        </w:tc>
        <w:tc>
          <w:tcPr>
            <w:tcW w:w="2752" w:type="dxa"/>
            <w:gridSpan w:val="2"/>
          </w:tcPr>
          <w:p w14:paraId="3F80C71C">
            <w:pPr>
              <w:jc w:val="center"/>
              <w:rPr>
                <w:rFonts w:eastAsia="楷体_GB2312"/>
                <w:b/>
                <w:bCs/>
              </w:rPr>
            </w:pPr>
            <w:r>
              <w:rPr>
                <w:rFonts w:eastAsia="楷体_GB2312"/>
                <w:b/>
                <w:bCs/>
              </w:rPr>
              <w:t>科目</w:t>
            </w:r>
          </w:p>
        </w:tc>
        <w:tc>
          <w:tcPr>
            <w:tcW w:w="2463" w:type="dxa"/>
            <w:shd w:val="clear" w:color="auto" w:fill="FFFFFF"/>
          </w:tcPr>
          <w:p w14:paraId="4A63536A">
            <w:pPr>
              <w:jc w:val="center"/>
              <w:rPr>
                <w:rFonts w:eastAsia="楷体_GB2312"/>
                <w:b/>
                <w:bCs/>
                <w:lang w:eastAsia="zh-CN"/>
              </w:rPr>
            </w:pPr>
            <w:r>
              <w:rPr>
                <w:rFonts w:eastAsia="楷体_GB2312"/>
                <w:b/>
                <w:bCs/>
              </w:rPr>
              <w:t>上一报告期</w:t>
            </w:r>
            <w:r>
              <w:rPr>
                <w:rFonts w:eastAsia="楷体_GB2312"/>
                <w:b/>
                <w:bCs/>
                <w:lang w:eastAsia="zh-CN"/>
              </w:rPr>
              <w:t>间</w:t>
            </w:r>
          </w:p>
        </w:tc>
        <w:tc>
          <w:tcPr>
            <w:tcW w:w="2608" w:type="dxa"/>
            <w:shd w:val="clear" w:color="auto" w:fill="FFFFFF"/>
          </w:tcPr>
          <w:p w14:paraId="5F83E5F8">
            <w:pPr>
              <w:jc w:val="center"/>
              <w:rPr>
                <w:rFonts w:eastAsia="楷体_GB2312"/>
                <w:b/>
                <w:bCs/>
                <w:lang w:eastAsia="zh-CN"/>
              </w:rPr>
            </w:pPr>
            <w:r>
              <w:rPr>
                <w:rFonts w:eastAsia="楷体_GB2312"/>
                <w:b/>
                <w:bCs/>
              </w:rPr>
              <w:t>本报告期</w:t>
            </w:r>
            <w:r>
              <w:rPr>
                <w:rFonts w:eastAsia="楷体_GB2312"/>
                <w:b/>
                <w:bCs/>
                <w:lang w:eastAsia="zh-CN"/>
              </w:rPr>
              <w:t>间</w:t>
            </w:r>
          </w:p>
        </w:tc>
      </w:tr>
      <w:tr w14:paraId="138F0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restart"/>
            <w:textDirection w:val="tbRlV"/>
            <w:vAlign w:val="center"/>
          </w:tcPr>
          <w:p w14:paraId="23423CEE">
            <w:pPr>
              <w:ind w:left="113" w:right="113"/>
              <w:jc w:val="center"/>
              <w:rPr>
                <w:rFonts w:eastAsia="楷体_GB2312"/>
                <w:b/>
                <w:bCs/>
                <w:lang w:eastAsia="zh-CN"/>
              </w:rPr>
            </w:pPr>
            <w:r>
              <w:rPr>
                <w:rFonts w:eastAsia="楷体_GB2312"/>
                <w:b/>
                <w:bCs/>
              </w:rPr>
              <w:t>收入</w:t>
            </w:r>
            <w:r>
              <w:rPr>
                <w:rFonts w:eastAsia="楷体_GB2312"/>
                <w:b/>
                <w:bCs/>
                <w:lang w:eastAsia="zh-CN"/>
              </w:rPr>
              <w:t>分</w:t>
            </w:r>
            <w:r>
              <w:rPr>
                <w:rFonts w:eastAsia="楷体_GB2312"/>
                <w:b/>
                <w:bCs/>
              </w:rPr>
              <w:t>账</w:t>
            </w:r>
            <w:r>
              <w:rPr>
                <w:rFonts w:eastAsia="楷体_GB2312"/>
                <w:b/>
                <w:bCs/>
                <w:lang w:eastAsia="zh-CN"/>
              </w:rPr>
              <w:t>户</w:t>
            </w:r>
          </w:p>
        </w:tc>
        <w:tc>
          <w:tcPr>
            <w:tcW w:w="1014" w:type="dxa"/>
            <w:vMerge w:val="restart"/>
            <w:vAlign w:val="center"/>
          </w:tcPr>
          <w:p w14:paraId="3F282B70">
            <w:pPr>
              <w:jc w:val="center"/>
              <w:rPr>
                <w:rFonts w:eastAsia="楷体_GB2312"/>
                <w:sz w:val="18"/>
                <w:szCs w:val="18"/>
              </w:rPr>
            </w:pPr>
            <w:r>
              <w:rPr>
                <w:rFonts w:eastAsia="楷体_GB2312"/>
                <w:sz w:val="18"/>
                <w:szCs w:val="18"/>
              </w:rPr>
              <w:t>利息</w:t>
            </w:r>
          </w:p>
        </w:tc>
        <w:tc>
          <w:tcPr>
            <w:tcW w:w="1738" w:type="dxa"/>
          </w:tcPr>
          <w:p w14:paraId="03172B47">
            <w:pPr>
              <w:rPr>
                <w:rFonts w:eastAsia="楷体_GB2312"/>
                <w:sz w:val="18"/>
                <w:szCs w:val="18"/>
              </w:rPr>
            </w:pPr>
            <w:r>
              <w:rPr>
                <w:rFonts w:eastAsia="楷体_GB2312"/>
                <w:sz w:val="18"/>
                <w:szCs w:val="18"/>
              </w:rPr>
              <w:t>正常回收</w:t>
            </w:r>
          </w:p>
        </w:tc>
        <w:tc>
          <w:tcPr>
            <w:tcW w:w="2463" w:type="dxa"/>
          </w:tcPr>
          <w:p w14:paraId="2AE3F020">
            <w:pPr>
              <w:jc w:val="right"/>
              <w:rPr>
                <w:rFonts w:eastAsia="楷体_GB2312"/>
                <w:sz w:val="18"/>
                <w:szCs w:val="18"/>
              </w:rPr>
            </w:pPr>
          </w:p>
        </w:tc>
        <w:tc>
          <w:tcPr>
            <w:tcW w:w="2608" w:type="dxa"/>
          </w:tcPr>
          <w:p w14:paraId="057FD159">
            <w:pPr>
              <w:rPr>
                <w:rFonts w:eastAsia="楷体_GB2312"/>
                <w:sz w:val="18"/>
                <w:szCs w:val="18"/>
              </w:rPr>
            </w:pPr>
          </w:p>
        </w:tc>
      </w:tr>
      <w:tr w14:paraId="0450B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vAlign w:val="center"/>
          </w:tcPr>
          <w:p w14:paraId="70E6BA9E">
            <w:pPr>
              <w:rPr>
                <w:rFonts w:eastAsia="楷体_GB2312"/>
                <w:b/>
                <w:bCs/>
              </w:rPr>
            </w:pPr>
          </w:p>
        </w:tc>
        <w:tc>
          <w:tcPr>
            <w:tcW w:w="1014" w:type="dxa"/>
            <w:vMerge w:val="continue"/>
          </w:tcPr>
          <w:p w14:paraId="5E922034">
            <w:pPr>
              <w:rPr>
                <w:rFonts w:eastAsia="楷体_GB2312"/>
                <w:sz w:val="18"/>
                <w:szCs w:val="18"/>
              </w:rPr>
            </w:pPr>
          </w:p>
        </w:tc>
        <w:tc>
          <w:tcPr>
            <w:tcW w:w="1738" w:type="dxa"/>
          </w:tcPr>
          <w:p w14:paraId="26EA5ECE">
            <w:pPr>
              <w:rPr>
                <w:rFonts w:eastAsia="楷体_GB2312"/>
                <w:sz w:val="18"/>
                <w:szCs w:val="18"/>
              </w:rPr>
            </w:pPr>
            <w:r>
              <w:rPr>
                <w:rFonts w:eastAsia="楷体_GB2312"/>
                <w:sz w:val="18"/>
                <w:szCs w:val="18"/>
              </w:rPr>
              <w:t>提前偿还</w:t>
            </w:r>
          </w:p>
        </w:tc>
        <w:tc>
          <w:tcPr>
            <w:tcW w:w="2463" w:type="dxa"/>
          </w:tcPr>
          <w:p w14:paraId="0843DE9B">
            <w:pPr>
              <w:jc w:val="right"/>
              <w:rPr>
                <w:rFonts w:eastAsia="楷体_GB2312"/>
                <w:sz w:val="18"/>
                <w:szCs w:val="18"/>
              </w:rPr>
            </w:pPr>
          </w:p>
        </w:tc>
        <w:tc>
          <w:tcPr>
            <w:tcW w:w="2608" w:type="dxa"/>
          </w:tcPr>
          <w:p w14:paraId="2EBF84A6">
            <w:pPr>
              <w:rPr>
                <w:rFonts w:eastAsia="楷体_GB2312"/>
                <w:sz w:val="18"/>
                <w:szCs w:val="18"/>
              </w:rPr>
            </w:pPr>
          </w:p>
        </w:tc>
      </w:tr>
      <w:tr w14:paraId="2963E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vAlign w:val="center"/>
          </w:tcPr>
          <w:p w14:paraId="26C26CC7">
            <w:pPr>
              <w:rPr>
                <w:rFonts w:eastAsia="楷体_GB2312"/>
                <w:b/>
                <w:bCs/>
              </w:rPr>
            </w:pPr>
          </w:p>
        </w:tc>
        <w:tc>
          <w:tcPr>
            <w:tcW w:w="1014" w:type="dxa"/>
            <w:vMerge w:val="continue"/>
          </w:tcPr>
          <w:p w14:paraId="0BD3DD92">
            <w:pPr>
              <w:rPr>
                <w:rFonts w:eastAsia="楷体_GB2312"/>
                <w:sz w:val="18"/>
                <w:szCs w:val="18"/>
              </w:rPr>
            </w:pPr>
          </w:p>
        </w:tc>
        <w:tc>
          <w:tcPr>
            <w:tcW w:w="1738" w:type="dxa"/>
          </w:tcPr>
          <w:p w14:paraId="59E7E442">
            <w:pPr>
              <w:rPr>
                <w:rFonts w:eastAsia="楷体_GB2312"/>
                <w:sz w:val="18"/>
                <w:szCs w:val="18"/>
              </w:rPr>
            </w:pPr>
            <w:r>
              <w:rPr>
                <w:rFonts w:eastAsia="楷体_GB2312"/>
                <w:sz w:val="18"/>
                <w:szCs w:val="18"/>
              </w:rPr>
              <w:t>拖欠回收</w:t>
            </w:r>
          </w:p>
        </w:tc>
        <w:tc>
          <w:tcPr>
            <w:tcW w:w="2463" w:type="dxa"/>
          </w:tcPr>
          <w:p w14:paraId="302C96FD">
            <w:pPr>
              <w:jc w:val="right"/>
              <w:rPr>
                <w:rFonts w:eastAsia="楷体_GB2312"/>
                <w:sz w:val="18"/>
                <w:szCs w:val="18"/>
              </w:rPr>
            </w:pPr>
          </w:p>
        </w:tc>
        <w:tc>
          <w:tcPr>
            <w:tcW w:w="2608" w:type="dxa"/>
          </w:tcPr>
          <w:p w14:paraId="39A927AD">
            <w:pPr>
              <w:rPr>
                <w:rFonts w:eastAsia="楷体_GB2312"/>
                <w:sz w:val="18"/>
                <w:szCs w:val="18"/>
              </w:rPr>
            </w:pPr>
          </w:p>
        </w:tc>
      </w:tr>
      <w:tr w14:paraId="66CDC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vAlign w:val="center"/>
          </w:tcPr>
          <w:p w14:paraId="77CBFAAC">
            <w:pPr>
              <w:rPr>
                <w:rFonts w:eastAsia="楷体_GB2312"/>
                <w:b/>
                <w:bCs/>
              </w:rPr>
            </w:pPr>
          </w:p>
        </w:tc>
        <w:tc>
          <w:tcPr>
            <w:tcW w:w="1014" w:type="dxa"/>
            <w:vMerge w:val="continue"/>
          </w:tcPr>
          <w:p w14:paraId="675C7DC9">
            <w:pPr>
              <w:rPr>
                <w:rFonts w:eastAsia="楷体_GB2312"/>
                <w:sz w:val="18"/>
                <w:szCs w:val="18"/>
              </w:rPr>
            </w:pPr>
          </w:p>
        </w:tc>
        <w:tc>
          <w:tcPr>
            <w:tcW w:w="1738" w:type="dxa"/>
          </w:tcPr>
          <w:p w14:paraId="62527809">
            <w:pPr>
              <w:rPr>
                <w:rFonts w:eastAsia="楷体_GB2312"/>
                <w:sz w:val="18"/>
                <w:szCs w:val="18"/>
              </w:rPr>
            </w:pPr>
            <w:r>
              <w:rPr>
                <w:rFonts w:eastAsia="楷体_GB2312"/>
                <w:sz w:val="18"/>
                <w:szCs w:val="18"/>
              </w:rPr>
              <w:t>违约回收</w:t>
            </w:r>
          </w:p>
        </w:tc>
        <w:tc>
          <w:tcPr>
            <w:tcW w:w="2463" w:type="dxa"/>
          </w:tcPr>
          <w:p w14:paraId="10D3E051">
            <w:pPr>
              <w:jc w:val="right"/>
              <w:rPr>
                <w:rFonts w:eastAsia="楷体_GB2312"/>
                <w:sz w:val="18"/>
                <w:szCs w:val="18"/>
              </w:rPr>
            </w:pPr>
          </w:p>
        </w:tc>
        <w:tc>
          <w:tcPr>
            <w:tcW w:w="2608" w:type="dxa"/>
          </w:tcPr>
          <w:p w14:paraId="2B513E3F">
            <w:pPr>
              <w:rPr>
                <w:rFonts w:eastAsia="楷体_GB2312"/>
                <w:sz w:val="18"/>
                <w:szCs w:val="18"/>
              </w:rPr>
            </w:pPr>
          </w:p>
        </w:tc>
      </w:tr>
      <w:tr w14:paraId="1AEA3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vAlign w:val="center"/>
          </w:tcPr>
          <w:p w14:paraId="7E6EBC87">
            <w:pPr>
              <w:rPr>
                <w:rFonts w:eastAsia="楷体_GB2312"/>
                <w:b/>
                <w:bCs/>
              </w:rPr>
            </w:pPr>
          </w:p>
        </w:tc>
        <w:tc>
          <w:tcPr>
            <w:tcW w:w="1014" w:type="dxa"/>
            <w:vMerge w:val="continue"/>
          </w:tcPr>
          <w:p w14:paraId="794379FB">
            <w:pPr>
              <w:rPr>
                <w:rFonts w:eastAsia="楷体_GB2312"/>
                <w:sz w:val="18"/>
                <w:szCs w:val="18"/>
              </w:rPr>
            </w:pPr>
          </w:p>
        </w:tc>
        <w:tc>
          <w:tcPr>
            <w:tcW w:w="1738" w:type="dxa"/>
          </w:tcPr>
          <w:p w14:paraId="2CAB849A">
            <w:pPr>
              <w:rPr>
                <w:rFonts w:eastAsia="楷体_GB2312"/>
                <w:sz w:val="18"/>
                <w:szCs w:val="18"/>
              </w:rPr>
            </w:pPr>
            <w:r>
              <w:rPr>
                <w:rFonts w:eastAsia="楷体_GB2312"/>
                <w:sz w:val="18"/>
                <w:szCs w:val="18"/>
                <w:lang w:eastAsia="zh-CN"/>
              </w:rPr>
              <w:t>不合格</w:t>
            </w:r>
            <w:r>
              <w:rPr>
                <w:rFonts w:eastAsia="楷体_GB2312"/>
                <w:sz w:val="18"/>
                <w:szCs w:val="18"/>
              </w:rPr>
              <w:t>资产赎回</w:t>
            </w:r>
          </w:p>
        </w:tc>
        <w:tc>
          <w:tcPr>
            <w:tcW w:w="2463" w:type="dxa"/>
          </w:tcPr>
          <w:p w14:paraId="4B0AC982">
            <w:pPr>
              <w:jc w:val="right"/>
              <w:rPr>
                <w:rFonts w:eastAsia="楷体_GB2312"/>
                <w:sz w:val="18"/>
                <w:szCs w:val="18"/>
              </w:rPr>
            </w:pPr>
          </w:p>
        </w:tc>
        <w:tc>
          <w:tcPr>
            <w:tcW w:w="2608" w:type="dxa"/>
          </w:tcPr>
          <w:p w14:paraId="77E15797">
            <w:pPr>
              <w:rPr>
                <w:rFonts w:eastAsia="楷体_GB2312"/>
                <w:sz w:val="18"/>
                <w:szCs w:val="18"/>
              </w:rPr>
            </w:pPr>
          </w:p>
        </w:tc>
      </w:tr>
      <w:tr w14:paraId="1718C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vAlign w:val="center"/>
          </w:tcPr>
          <w:p w14:paraId="25DE2AE8">
            <w:pPr>
              <w:rPr>
                <w:rFonts w:eastAsia="楷体_GB2312"/>
                <w:b/>
                <w:bCs/>
              </w:rPr>
            </w:pPr>
          </w:p>
        </w:tc>
        <w:tc>
          <w:tcPr>
            <w:tcW w:w="1014" w:type="dxa"/>
            <w:vMerge w:val="continue"/>
          </w:tcPr>
          <w:p w14:paraId="5720CF1C">
            <w:pPr>
              <w:rPr>
                <w:rFonts w:eastAsia="楷体_GB2312"/>
                <w:sz w:val="18"/>
                <w:szCs w:val="18"/>
              </w:rPr>
            </w:pPr>
          </w:p>
        </w:tc>
        <w:tc>
          <w:tcPr>
            <w:tcW w:w="1738" w:type="dxa"/>
          </w:tcPr>
          <w:p w14:paraId="20B6544B">
            <w:pPr>
              <w:rPr>
                <w:rFonts w:eastAsia="楷体_GB2312"/>
                <w:sz w:val="18"/>
                <w:szCs w:val="18"/>
              </w:rPr>
            </w:pPr>
            <w:r>
              <w:rPr>
                <w:rFonts w:eastAsia="楷体_GB2312"/>
                <w:sz w:val="18"/>
                <w:szCs w:val="18"/>
              </w:rPr>
              <w:t>清仓回购</w:t>
            </w:r>
          </w:p>
        </w:tc>
        <w:tc>
          <w:tcPr>
            <w:tcW w:w="2463" w:type="dxa"/>
          </w:tcPr>
          <w:p w14:paraId="0DCC8309">
            <w:pPr>
              <w:jc w:val="right"/>
              <w:rPr>
                <w:rFonts w:eastAsia="楷体_GB2312"/>
                <w:sz w:val="18"/>
                <w:szCs w:val="18"/>
              </w:rPr>
            </w:pPr>
          </w:p>
        </w:tc>
        <w:tc>
          <w:tcPr>
            <w:tcW w:w="2608" w:type="dxa"/>
          </w:tcPr>
          <w:p w14:paraId="79CBB62D">
            <w:pPr>
              <w:rPr>
                <w:rFonts w:eastAsia="楷体_GB2312"/>
                <w:sz w:val="18"/>
                <w:szCs w:val="18"/>
              </w:rPr>
            </w:pPr>
          </w:p>
        </w:tc>
      </w:tr>
      <w:tr w14:paraId="46BCB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vAlign w:val="center"/>
          </w:tcPr>
          <w:p w14:paraId="2CC6E1F1">
            <w:pPr>
              <w:rPr>
                <w:rFonts w:eastAsia="楷体_GB2312"/>
                <w:b/>
                <w:bCs/>
              </w:rPr>
            </w:pPr>
          </w:p>
        </w:tc>
        <w:tc>
          <w:tcPr>
            <w:tcW w:w="1014" w:type="dxa"/>
            <w:vMerge w:val="continue"/>
          </w:tcPr>
          <w:p w14:paraId="64D6B836">
            <w:pPr>
              <w:rPr>
                <w:rFonts w:eastAsia="楷体_GB2312"/>
                <w:sz w:val="18"/>
                <w:szCs w:val="18"/>
              </w:rPr>
            </w:pPr>
          </w:p>
        </w:tc>
        <w:tc>
          <w:tcPr>
            <w:tcW w:w="1738" w:type="dxa"/>
          </w:tcPr>
          <w:p w14:paraId="1C65CB68">
            <w:pPr>
              <w:rPr>
                <w:rFonts w:eastAsia="楷体_GB2312"/>
                <w:sz w:val="18"/>
                <w:szCs w:val="18"/>
              </w:rPr>
            </w:pPr>
            <w:r>
              <w:rPr>
                <w:rFonts w:eastAsia="楷体_GB2312"/>
                <w:sz w:val="18"/>
                <w:szCs w:val="18"/>
              </w:rPr>
              <w:t>合计</w:t>
            </w:r>
          </w:p>
        </w:tc>
        <w:tc>
          <w:tcPr>
            <w:tcW w:w="2463" w:type="dxa"/>
          </w:tcPr>
          <w:p w14:paraId="08391BD1">
            <w:pPr>
              <w:jc w:val="right"/>
              <w:rPr>
                <w:rFonts w:eastAsia="楷体_GB2312"/>
                <w:sz w:val="18"/>
                <w:szCs w:val="18"/>
              </w:rPr>
            </w:pPr>
          </w:p>
        </w:tc>
        <w:tc>
          <w:tcPr>
            <w:tcW w:w="2608" w:type="dxa"/>
          </w:tcPr>
          <w:p w14:paraId="11ECDBE6">
            <w:pPr>
              <w:rPr>
                <w:rFonts w:eastAsia="楷体_GB2312"/>
                <w:sz w:val="18"/>
                <w:szCs w:val="18"/>
              </w:rPr>
            </w:pPr>
          </w:p>
        </w:tc>
      </w:tr>
      <w:tr w14:paraId="5A258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vAlign w:val="center"/>
          </w:tcPr>
          <w:p w14:paraId="50F1B9CF">
            <w:pPr>
              <w:rPr>
                <w:rFonts w:eastAsia="楷体_GB2312"/>
                <w:b/>
                <w:bCs/>
              </w:rPr>
            </w:pPr>
          </w:p>
        </w:tc>
        <w:tc>
          <w:tcPr>
            <w:tcW w:w="2752" w:type="dxa"/>
            <w:gridSpan w:val="2"/>
          </w:tcPr>
          <w:p w14:paraId="64722DE3">
            <w:pPr>
              <w:rPr>
                <w:rFonts w:eastAsia="楷体_GB2312"/>
                <w:sz w:val="18"/>
                <w:szCs w:val="18"/>
              </w:rPr>
            </w:pPr>
            <w:r>
              <w:rPr>
                <w:rFonts w:eastAsia="楷体_GB2312"/>
                <w:sz w:val="18"/>
                <w:szCs w:val="18"/>
              </w:rPr>
              <w:t>其他收入</w:t>
            </w:r>
          </w:p>
        </w:tc>
        <w:tc>
          <w:tcPr>
            <w:tcW w:w="2463" w:type="dxa"/>
          </w:tcPr>
          <w:p w14:paraId="0B5748B1">
            <w:pPr>
              <w:jc w:val="right"/>
              <w:rPr>
                <w:rFonts w:eastAsia="楷体_GB2312"/>
                <w:sz w:val="18"/>
                <w:szCs w:val="18"/>
              </w:rPr>
            </w:pPr>
          </w:p>
        </w:tc>
        <w:tc>
          <w:tcPr>
            <w:tcW w:w="2608" w:type="dxa"/>
          </w:tcPr>
          <w:p w14:paraId="2E8C5F01">
            <w:pPr>
              <w:rPr>
                <w:rFonts w:eastAsia="楷体_GB2312"/>
                <w:sz w:val="18"/>
                <w:szCs w:val="18"/>
              </w:rPr>
            </w:pPr>
          </w:p>
        </w:tc>
      </w:tr>
      <w:tr w14:paraId="4BA3E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vAlign w:val="center"/>
          </w:tcPr>
          <w:p w14:paraId="6C88EF2A">
            <w:pPr>
              <w:rPr>
                <w:rFonts w:eastAsia="楷体_GB2312"/>
                <w:b/>
                <w:bCs/>
              </w:rPr>
            </w:pPr>
          </w:p>
        </w:tc>
        <w:tc>
          <w:tcPr>
            <w:tcW w:w="2752" w:type="dxa"/>
            <w:gridSpan w:val="2"/>
          </w:tcPr>
          <w:p w14:paraId="5C4C04FC">
            <w:pPr>
              <w:rPr>
                <w:rFonts w:eastAsia="楷体_GB2312"/>
                <w:sz w:val="18"/>
                <w:szCs w:val="18"/>
              </w:rPr>
            </w:pPr>
            <w:r>
              <w:rPr>
                <w:rFonts w:eastAsia="楷体_GB2312"/>
                <w:sz w:val="18"/>
                <w:szCs w:val="18"/>
              </w:rPr>
              <w:t>合格投资</w:t>
            </w:r>
          </w:p>
        </w:tc>
        <w:tc>
          <w:tcPr>
            <w:tcW w:w="2463" w:type="dxa"/>
          </w:tcPr>
          <w:p w14:paraId="6B681295">
            <w:pPr>
              <w:jc w:val="right"/>
              <w:rPr>
                <w:rFonts w:eastAsia="楷体_GB2312"/>
                <w:sz w:val="18"/>
                <w:szCs w:val="18"/>
              </w:rPr>
            </w:pPr>
          </w:p>
        </w:tc>
        <w:tc>
          <w:tcPr>
            <w:tcW w:w="2608" w:type="dxa"/>
          </w:tcPr>
          <w:p w14:paraId="129DD292">
            <w:pPr>
              <w:rPr>
                <w:rFonts w:eastAsia="楷体_GB2312"/>
                <w:sz w:val="18"/>
                <w:szCs w:val="18"/>
              </w:rPr>
            </w:pPr>
          </w:p>
        </w:tc>
      </w:tr>
      <w:tr w14:paraId="151E7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vAlign w:val="center"/>
          </w:tcPr>
          <w:p w14:paraId="6A2EAD84">
            <w:pPr>
              <w:rPr>
                <w:rFonts w:eastAsia="楷体_GB2312"/>
                <w:b/>
                <w:bCs/>
              </w:rPr>
            </w:pPr>
          </w:p>
        </w:tc>
        <w:tc>
          <w:tcPr>
            <w:tcW w:w="2752" w:type="dxa"/>
            <w:gridSpan w:val="2"/>
          </w:tcPr>
          <w:p w14:paraId="1BC39F36">
            <w:pPr>
              <w:rPr>
                <w:rFonts w:eastAsia="楷体_GB2312"/>
                <w:sz w:val="18"/>
                <w:szCs w:val="18"/>
              </w:rPr>
            </w:pPr>
            <w:r>
              <w:rPr>
                <w:rFonts w:eastAsia="楷体_GB2312"/>
                <w:sz w:val="18"/>
                <w:szCs w:val="18"/>
              </w:rPr>
              <w:t>合计</w:t>
            </w:r>
          </w:p>
        </w:tc>
        <w:tc>
          <w:tcPr>
            <w:tcW w:w="2463" w:type="dxa"/>
          </w:tcPr>
          <w:p w14:paraId="3ABF9091">
            <w:pPr>
              <w:jc w:val="right"/>
              <w:rPr>
                <w:rFonts w:eastAsia="楷体_GB2312"/>
                <w:sz w:val="18"/>
                <w:szCs w:val="18"/>
              </w:rPr>
            </w:pPr>
          </w:p>
        </w:tc>
        <w:tc>
          <w:tcPr>
            <w:tcW w:w="2608" w:type="dxa"/>
          </w:tcPr>
          <w:p w14:paraId="6219DC1F">
            <w:pPr>
              <w:rPr>
                <w:rFonts w:eastAsia="楷体_GB2312"/>
                <w:sz w:val="18"/>
                <w:szCs w:val="18"/>
              </w:rPr>
            </w:pPr>
          </w:p>
        </w:tc>
      </w:tr>
      <w:tr w14:paraId="72BEC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restart"/>
            <w:textDirection w:val="tbRlV"/>
            <w:vAlign w:val="center"/>
          </w:tcPr>
          <w:p w14:paraId="4D8C18C2">
            <w:pPr>
              <w:ind w:left="113" w:right="113"/>
              <w:jc w:val="center"/>
              <w:rPr>
                <w:rFonts w:eastAsia="楷体_GB2312"/>
                <w:b/>
                <w:bCs/>
                <w:lang w:eastAsia="zh-CN"/>
              </w:rPr>
            </w:pPr>
            <w:r>
              <w:rPr>
                <w:rFonts w:eastAsia="楷体_GB2312"/>
                <w:b/>
                <w:bCs/>
              </w:rPr>
              <w:t>本金</w:t>
            </w:r>
            <w:r>
              <w:rPr>
                <w:rFonts w:eastAsia="楷体_GB2312"/>
                <w:b/>
                <w:bCs/>
                <w:lang w:eastAsia="zh-CN"/>
              </w:rPr>
              <w:t>分</w:t>
            </w:r>
            <w:r>
              <w:rPr>
                <w:rFonts w:eastAsia="楷体_GB2312"/>
                <w:b/>
                <w:bCs/>
              </w:rPr>
              <w:t>账</w:t>
            </w:r>
            <w:r>
              <w:rPr>
                <w:rFonts w:eastAsia="楷体_GB2312"/>
                <w:b/>
                <w:bCs/>
                <w:lang w:eastAsia="zh-CN"/>
              </w:rPr>
              <w:t>户</w:t>
            </w:r>
          </w:p>
        </w:tc>
        <w:tc>
          <w:tcPr>
            <w:tcW w:w="1014" w:type="dxa"/>
            <w:vMerge w:val="restart"/>
            <w:vAlign w:val="center"/>
          </w:tcPr>
          <w:p w14:paraId="129EBB79">
            <w:pPr>
              <w:jc w:val="center"/>
              <w:rPr>
                <w:rFonts w:eastAsia="楷体_GB2312"/>
                <w:sz w:val="18"/>
                <w:szCs w:val="18"/>
              </w:rPr>
            </w:pPr>
            <w:r>
              <w:rPr>
                <w:rFonts w:eastAsia="楷体_GB2312"/>
                <w:sz w:val="18"/>
                <w:szCs w:val="18"/>
              </w:rPr>
              <w:t>本金</w:t>
            </w:r>
          </w:p>
        </w:tc>
        <w:tc>
          <w:tcPr>
            <w:tcW w:w="1738" w:type="dxa"/>
          </w:tcPr>
          <w:p w14:paraId="6E8AC122">
            <w:pPr>
              <w:rPr>
                <w:rFonts w:eastAsia="楷体_GB2312"/>
                <w:sz w:val="18"/>
                <w:szCs w:val="18"/>
              </w:rPr>
            </w:pPr>
            <w:r>
              <w:rPr>
                <w:rFonts w:eastAsia="楷体_GB2312"/>
                <w:sz w:val="18"/>
                <w:szCs w:val="18"/>
              </w:rPr>
              <w:t>正常回收</w:t>
            </w:r>
          </w:p>
        </w:tc>
        <w:tc>
          <w:tcPr>
            <w:tcW w:w="2463" w:type="dxa"/>
          </w:tcPr>
          <w:p w14:paraId="5C202DAF">
            <w:pPr>
              <w:jc w:val="right"/>
              <w:rPr>
                <w:rFonts w:eastAsia="楷体_GB2312"/>
                <w:sz w:val="18"/>
                <w:szCs w:val="18"/>
              </w:rPr>
            </w:pPr>
          </w:p>
        </w:tc>
        <w:tc>
          <w:tcPr>
            <w:tcW w:w="2608" w:type="dxa"/>
          </w:tcPr>
          <w:p w14:paraId="598587FC">
            <w:pPr>
              <w:rPr>
                <w:rFonts w:eastAsia="楷体_GB2312"/>
                <w:sz w:val="18"/>
                <w:szCs w:val="18"/>
              </w:rPr>
            </w:pPr>
          </w:p>
        </w:tc>
      </w:tr>
      <w:tr w14:paraId="7A803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extDirection w:val="tbRlV"/>
          </w:tcPr>
          <w:p w14:paraId="1AEF25DE">
            <w:pPr>
              <w:ind w:left="113" w:right="113"/>
              <w:jc w:val="center"/>
              <w:rPr>
                <w:rFonts w:eastAsia="楷体_GB2312"/>
                <w:b/>
                <w:bCs/>
              </w:rPr>
            </w:pPr>
          </w:p>
        </w:tc>
        <w:tc>
          <w:tcPr>
            <w:tcW w:w="1014" w:type="dxa"/>
            <w:vMerge w:val="continue"/>
          </w:tcPr>
          <w:p w14:paraId="638C745D">
            <w:pPr>
              <w:rPr>
                <w:rFonts w:eastAsia="楷体_GB2312"/>
                <w:sz w:val="18"/>
                <w:szCs w:val="18"/>
              </w:rPr>
            </w:pPr>
          </w:p>
        </w:tc>
        <w:tc>
          <w:tcPr>
            <w:tcW w:w="1738" w:type="dxa"/>
          </w:tcPr>
          <w:p w14:paraId="1E58EEE6">
            <w:pPr>
              <w:rPr>
                <w:rFonts w:eastAsia="楷体_GB2312"/>
                <w:sz w:val="18"/>
                <w:szCs w:val="18"/>
              </w:rPr>
            </w:pPr>
            <w:r>
              <w:rPr>
                <w:rFonts w:eastAsia="楷体_GB2312"/>
                <w:sz w:val="18"/>
                <w:szCs w:val="18"/>
              </w:rPr>
              <w:t>提前偿还</w:t>
            </w:r>
          </w:p>
        </w:tc>
        <w:tc>
          <w:tcPr>
            <w:tcW w:w="2463" w:type="dxa"/>
          </w:tcPr>
          <w:p w14:paraId="54D1C299">
            <w:pPr>
              <w:jc w:val="right"/>
              <w:rPr>
                <w:rFonts w:eastAsia="楷体_GB2312"/>
                <w:sz w:val="18"/>
                <w:szCs w:val="18"/>
              </w:rPr>
            </w:pPr>
          </w:p>
        </w:tc>
        <w:tc>
          <w:tcPr>
            <w:tcW w:w="2608" w:type="dxa"/>
          </w:tcPr>
          <w:p w14:paraId="0E2347A5">
            <w:pPr>
              <w:rPr>
                <w:rFonts w:eastAsia="楷体_GB2312"/>
                <w:sz w:val="18"/>
                <w:szCs w:val="18"/>
              </w:rPr>
            </w:pPr>
          </w:p>
        </w:tc>
      </w:tr>
      <w:tr w14:paraId="3C19E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extDirection w:val="tbRlV"/>
          </w:tcPr>
          <w:p w14:paraId="2337FB99">
            <w:pPr>
              <w:ind w:left="113" w:right="113"/>
              <w:jc w:val="center"/>
              <w:rPr>
                <w:rFonts w:eastAsia="楷体_GB2312"/>
                <w:b/>
                <w:bCs/>
              </w:rPr>
            </w:pPr>
          </w:p>
        </w:tc>
        <w:tc>
          <w:tcPr>
            <w:tcW w:w="1014" w:type="dxa"/>
            <w:vMerge w:val="continue"/>
          </w:tcPr>
          <w:p w14:paraId="35BBE38A">
            <w:pPr>
              <w:rPr>
                <w:rFonts w:eastAsia="楷体_GB2312"/>
                <w:sz w:val="18"/>
                <w:szCs w:val="18"/>
              </w:rPr>
            </w:pPr>
          </w:p>
        </w:tc>
        <w:tc>
          <w:tcPr>
            <w:tcW w:w="1738" w:type="dxa"/>
          </w:tcPr>
          <w:p w14:paraId="0414FF80">
            <w:pPr>
              <w:rPr>
                <w:rFonts w:eastAsia="楷体_GB2312"/>
                <w:sz w:val="18"/>
                <w:szCs w:val="18"/>
              </w:rPr>
            </w:pPr>
            <w:r>
              <w:rPr>
                <w:rFonts w:eastAsia="楷体_GB2312"/>
                <w:sz w:val="18"/>
                <w:szCs w:val="18"/>
              </w:rPr>
              <w:t>拖欠回收</w:t>
            </w:r>
          </w:p>
        </w:tc>
        <w:tc>
          <w:tcPr>
            <w:tcW w:w="2463" w:type="dxa"/>
          </w:tcPr>
          <w:p w14:paraId="349A873A">
            <w:pPr>
              <w:jc w:val="right"/>
              <w:rPr>
                <w:rFonts w:eastAsia="楷体_GB2312"/>
                <w:sz w:val="18"/>
                <w:szCs w:val="18"/>
              </w:rPr>
            </w:pPr>
          </w:p>
        </w:tc>
        <w:tc>
          <w:tcPr>
            <w:tcW w:w="2608" w:type="dxa"/>
          </w:tcPr>
          <w:p w14:paraId="2742789D">
            <w:pPr>
              <w:rPr>
                <w:rFonts w:eastAsia="楷体_GB2312"/>
                <w:sz w:val="18"/>
                <w:szCs w:val="18"/>
              </w:rPr>
            </w:pPr>
          </w:p>
        </w:tc>
      </w:tr>
      <w:tr w14:paraId="3F384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extDirection w:val="tbRlV"/>
          </w:tcPr>
          <w:p w14:paraId="4A148A91">
            <w:pPr>
              <w:ind w:left="113" w:right="113"/>
              <w:jc w:val="center"/>
              <w:rPr>
                <w:rFonts w:eastAsia="楷体_GB2312"/>
                <w:b/>
                <w:bCs/>
              </w:rPr>
            </w:pPr>
          </w:p>
        </w:tc>
        <w:tc>
          <w:tcPr>
            <w:tcW w:w="1014" w:type="dxa"/>
            <w:vMerge w:val="continue"/>
          </w:tcPr>
          <w:p w14:paraId="1114B1DF">
            <w:pPr>
              <w:rPr>
                <w:rFonts w:eastAsia="楷体_GB2312"/>
                <w:sz w:val="18"/>
                <w:szCs w:val="18"/>
              </w:rPr>
            </w:pPr>
          </w:p>
        </w:tc>
        <w:tc>
          <w:tcPr>
            <w:tcW w:w="1738" w:type="dxa"/>
          </w:tcPr>
          <w:p w14:paraId="61F87FA4">
            <w:pPr>
              <w:rPr>
                <w:rFonts w:eastAsia="楷体_GB2312"/>
                <w:sz w:val="18"/>
                <w:szCs w:val="18"/>
              </w:rPr>
            </w:pPr>
            <w:r>
              <w:rPr>
                <w:rFonts w:eastAsia="楷体_GB2312"/>
                <w:sz w:val="18"/>
                <w:szCs w:val="18"/>
              </w:rPr>
              <w:t>违约回收</w:t>
            </w:r>
          </w:p>
        </w:tc>
        <w:tc>
          <w:tcPr>
            <w:tcW w:w="2463" w:type="dxa"/>
          </w:tcPr>
          <w:p w14:paraId="1545A94C">
            <w:pPr>
              <w:jc w:val="right"/>
              <w:rPr>
                <w:rFonts w:eastAsia="楷体_GB2312"/>
                <w:sz w:val="18"/>
                <w:szCs w:val="18"/>
              </w:rPr>
            </w:pPr>
          </w:p>
        </w:tc>
        <w:tc>
          <w:tcPr>
            <w:tcW w:w="2608" w:type="dxa"/>
          </w:tcPr>
          <w:p w14:paraId="2C7C7F9C">
            <w:pPr>
              <w:rPr>
                <w:rFonts w:eastAsia="楷体_GB2312"/>
                <w:sz w:val="18"/>
                <w:szCs w:val="18"/>
              </w:rPr>
            </w:pPr>
          </w:p>
        </w:tc>
      </w:tr>
      <w:tr w14:paraId="469E3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extDirection w:val="tbRlV"/>
          </w:tcPr>
          <w:p w14:paraId="6C85A902">
            <w:pPr>
              <w:ind w:left="113" w:right="113"/>
              <w:jc w:val="center"/>
              <w:rPr>
                <w:rFonts w:eastAsia="楷体_GB2312"/>
                <w:b/>
                <w:bCs/>
              </w:rPr>
            </w:pPr>
          </w:p>
        </w:tc>
        <w:tc>
          <w:tcPr>
            <w:tcW w:w="1014" w:type="dxa"/>
            <w:vMerge w:val="continue"/>
          </w:tcPr>
          <w:p w14:paraId="5EB1918F">
            <w:pPr>
              <w:rPr>
                <w:rFonts w:eastAsia="楷体_GB2312"/>
                <w:sz w:val="18"/>
                <w:szCs w:val="18"/>
              </w:rPr>
            </w:pPr>
          </w:p>
        </w:tc>
        <w:tc>
          <w:tcPr>
            <w:tcW w:w="1738" w:type="dxa"/>
          </w:tcPr>
          <w:p w14:paraId="5D2A0113">
            <w:pPr>
              <w:rPr>
                <w:rFonts w:eastAsia="楷体_GB2312"/>
                <w:sz w:val="18"/>
                <w:szCs w:val="18"/>
              </w:rPr>
            </w:pPr>
            <w:r>
              <w:rPr>
                <w:rFonts w:eastAsia="楷体_GB2312"/>
                <w:sz w:val="18"/>
                <w:szCs w:val="18"/>
                <w:lang w:eastAsia="zh-CN"/>
              </w:rPr>
              <w:t>不合格</w:t>
            </w:r>
            <w:r>
              <w:rPr>
                <w:rFonts w:eastAsia="楷体_GB2312"/>
                <w:sz w:val="18"/>
                <w:szCs w:val="18"/>
              </w:rPr>
              <w:t>资产赎回</w:t>
            </w:r>
          </w:p>
        </w:tc>
        <w:tc>
          <w:tcPr>
            <w:tcW w:w="2463" w:type="dxa"/>
          </w:tcPr>
          <w:p w14:paraId="2F7825D9">
            <w:pPr>
              <w:jc w:val="right"/>
              <w:rPr>
                <w:rFonts w:eastAsia="楷体_GB2312"/>
                <w:sz w:val="18"/>
                <w:szCs w:val="18"/>
              </w:rPr>
            </w:pPr>
          </w:p>
        </w:tc>
        <w:tc>
          <w:tcPr>
            <w:tcW w:w="2608" w:type="dxa"/>
          </w:tcPr>
          <w:p w14:paraId="2F50B78C">
            <w:pPr>
              <w:rPr>
                <w:rFonts w:eastAsia="楷体_GB2312"/>
                <w:sz w:val="18"/>
                <w:szCs w:val="18"/>
              </w:rPr>
            </w:pPr>
          </w:p>
        </w:tc>
      </w:tr>
      <w:tr w14:paraId="12363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extDirection w:val="tbRlV"/>
          </w:tcPr>
          <w:p w14:paraId="3E5C6621">
            <w:pPr>
              <w:ind w:left="113" w:right="113"/>
              <w:jc w:val="center"/>
              <w:rPr>
                <w:rFonts w:eastAsia="楷体_GB2312"/>
                <w:b/>
                <w:bCs/>
              </w:rPr>
            </w:pPr>
          </w:p>
        </w:tc>
        <w:tc>
          <w:tcPr>
            <w:tcW w:w="1014" w:type="dxa"/>
            <w:vMerge w:val="continue"/>
          </w:tcPr>
          <w:p w14:paraId="79C6C8AA">
            <w:pPr>
              <w:rPr>
                <w:rFonts w:eastAsia="楷体_GB2312"/>
                <w:sz w:val="18"/>
                <w:szCs w:val="18"/>
              </w:rPr>
            </w:pPr>
          </w:p>
        </w:tc>
        <w:tc>
          <w:tcPr>
            <w:tcW w:w="1738" w:type="dxa"/>
          </w:tcPr>
          <w:p w14:paraId="5A0D294D">
            <w:pPr>
              <w:rPr>
                <w:rFonts w:eastAsia="楷体_GB2312"/>
                <w:sz w:val="18"/>
                <w:szCs w:val="18"/>
              </w:rPr>
            </w:pPr>
            <w:r>
              <w:rPr>
                <w:rFonts w:eastAsia="楷体_GB2312"/>
                <w:sz w:val="18"/>
                <w:szCs w:val="18"/>
              </w:rPr>
              <w:t>清仓回购</w:t>
            </w:r>
          </w:p>
        </w:tc>
        <w:tc>
          <w:tcPr>
            <w:tcW w:w="2463" w:type="dxa"/>
          </w:tcPr>
          <w:p w14:paraId="45F65F71">
            <w:pPr>
              <w:jc w:val="right"/>
              <w:rPr>
                <w:rFonts w:eastAsia="楷体_GB2312"/>
                <w:sz w:val="18"/>
                <w:szCs w:val="18"/>
              </w:rPr>
            </w:pPr>
          </w:p>
        </w:tc>
        <w:tc>
          <w:tcPr>
            <w:tcW w:w="2608" w:type="dxa"/>
          </w:tcPr>
          <w:p w14:paraId="17B83E2E">
            <w:pPr>
              <w:rPr>
                <w:rFonts w:eastAsia="楷体_GB2312"/>
                <w:sz w:val="18"/>
                <w:szCs w:val="18"/>
              </w:rPr>
            </w:pPr>
          </w:p>
        </w:tc>
      </w:tr>
      <w:tr w14:paraId="79452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extDirection w:val="tbRlV"/>
          </w:tcPr>
          <w:p w14:paraId="4455C4E6">
            <w:pPr>
              <w:ind w:left="113" w:right="113"/>
              <w:jc w:val="center"/>
              <w:rPr>
                <w:rFonts w:eastAsia="楷体_GB2312"/>
                <w:b/>
                <w:bCs/>
              </w:rPr>
            </w:pPr>
          </w:p>
        </w:tc>
        <w:tc>
          <w:tcPr>
            <w:tcW w:w="1014" w:type="dxa"/>
            <w:vMerge w:val="continue"/>
          </w:tcPr>
          <w:p w14:paraId="296F81F3">
            <w:pPr>
              <w:rPr>
                <w:rFonts w:eastAsia="楷体_GB2312"/>
                <w:sz w:val="18"/>
                <w:szCs w:val="18"/>
              </w:rPr>
            </w:pPr>
          </w:p>
        </w:tc>
        <w:tc>
          <w:tcPr>
            <w:tcW w:w="1738" w:type="dxa"/>
          </w:tcPr>
          <w:p w14:paraId="35D90B50">
            <w:pPr>
              <w:rPr>
                <w:rFonts w:eastAsia="楷体_GB2312"/>
                <w:sz w:val="18"/>
                <w:szCs w:val="18"/>
              </w:rPr>
            </w:pPr>
            <w:r>
              <w:rPr>
                <w:rFonts w:eastAsia="楷体_GB2312"/>
                <w:sz w:val="18"/>
                <w:szCs w:val="18"/>
              </w:rPr>
              <w:t>合计</w:t>
            </w:r>
          </w:p>
        </w:tc>
        <w:tc>
          <w:tcPr>
            <w:tcW w:w="2463" w:type="dxa"/>
          </w:tcPr>
          <w:p w14:paraId="6293D334">
            <w:pPr>
              <w:jc w:val="right"/>
              <w:rPr>
                <w:rFonts w:eastAsia="楷体_GB2312"/>
                <w:sz w:val="18"/>
                <w:szCs w:val="18"/>
              </w:rPr>
            </w:pPr>
          </w:p>
        </w:tc>
        <w:tc>
          <w:tcPr>
            <w:tcW w:w="2608" w:type="dxa"/>
          </w:tcPr>
          <w:p w14:paraId="5C1A553F">
            <w:pPr>
              <w:rPr>
                <w:rFonts w:eastAsia="楷体_GB2312"/>
                <w:sz w:val="18"/>
                <w:szCs w:val="18"/>
              </w:rPr>
            </w:pPr>
          </w:p>
        </w:tc>
      </w:tr>
      <w:tr w14:paraId="61A7F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extDirection w:val="tbRlV"/>
          </w:tcPr>
          <w:p w14:paraId="6CD699CF">
            <w:pPr>
              <w:ind w:left="113" w:right="113"/>
              <w:jc w:val="center"/>
              <w:rPr>
                <w:rFonts w:eastAsia="楷体_GB2312"/>
                <w:b/>
                <w:bCs/>
              </w:rPr>
            </w:pPr>
          </w:p>
        </w:tc>
        <w:tc>
          <w:tcPr>
            <w:tcW w:w="2752" w:type="dxa"/>
            <w:gridSpan w:val="2"/>
          </w:tcPr>
          <w:p w14:paraId="7FD79800">
            <w:pPr>
              <w:rPr>
                <w:rFonts w:eastAsia="楷体_GB2312"/>
                <w:sz w:val="18"/>
                <w:szCs w:val="18"/>
              </w:rPr>
            </w:pPr>
            <w:r>
              <w:rPr>
                <w:rFonts w:eastAsia="楷体_GB2312"/>
                <w:sz w:val="18"/>
                <w:szCs w:val="18"/>
              </w:rPr>
              <w:t>其他收入</w:t>
            </w:r>
          </w:p>
        </w:tc>
        <w:tc>
          <w:tcPr>
            <w:tcW w:w="2463" w:type="dxa"/>
          </w:tcPr>
          <w:p w14:paraId="0CEF374E">
            <w:pPr>
              <w:jc w:val="right"/>
              <w:rPr>
                <w:rFonts w:eastAsia="楷体_GB2312"/>
                <w:sz w:val="18"/>
                <w:szCs w:val="18"/>
              </w:rPr>
            </w:pPr>
          </w:p>
        </w:tc>
        <w:tc>
          <w:tcPr>
            <w:tcW w:w="2608" w:type="dxa"/>
          </w:tcPr>
          <w:p w14:paraId="50297630">
            <w:pPr>
              <w:rPr>
                <w:rFonts w:eastAsia="楷体_GB2312"/>
                <w:sz w:val="18"/>
                <w:szCs w:val="18"/>
              </w:rPr>
            </w:pPr>
          </w:p>
        </w:tc>
      </w:tr>
      <w:tr w14:paraId="2040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extDirection w:val="tbRlV"/>
          </w:tcPr>
          <w:p w14:paraId="04509C14">
            <w:pPr>
              <w:ind w:left="113" w:right="113"/>
              <w:jc w:val="center"/>
              <w:rPr>
                <w:rFonts w:eastAsia="楷体_GB2312"/>
                <w:b/>
                <w:bCs/>
              </w:rPr>
            </w:pPr>
          </w:p>
        </w:tc>
        <w:tc>
          <w:tcPr>
            <w:tcW w:w="2752" w:type="dxa"/>
            <w:gridSpan w:val="2"/>
          </w:tcPr>
          <w:p w14:paraId="238054EE">
            <w:pPr>
              <w:rPr>
                <w:rFonts w:eastAsia="楷体_GB2312"/>
                <w:sz w:val="18"/>
                <w:szCs w:val="18"/>
              </w:rPr>
            </w:pPr>
            <w:r>
              <w:rPr>
                <w:rFonts w:eastAsia="楷体_GB2312"/>
                <w:sz w:val="18"/>
                <w:szCs w:val="18"/>
              </w:rPr>
              <w:t>上期转存</w:t>
            </w:r>
          </w:p>
        </w:tc>
        <w:tc>
          <w:tcPr>
            <w:tcW w:w="2463" w:type="dxa"/>
          </w:tcPr>
          <w:p w14:paraId="0D46E1A4">
            <w:pPr>
              <w:jc w:val="right"/>
              <w:rPr>
                <w:rFonts w:eastAsia="楷体_GB2312"/>
                <w:sz w:val="18"/>
                <w:szCs w:val="18"/>
              </w:rPr>
            </w:pPr>
          </w:p>
        </w:tc>
        <w:tc>
          <w:tcPr>
            <w:tcW w:w="2608" w:type="dxa"/>
          </w:tcPr>
          <w:p w14:paraId="734B0660">
            <w:pPr>
              <w:rPr>
                <w:rFonts w:eastAsia="楷体_GB2312"/>
                <w:sz w:val="18"/>
                <w:szCs w:val="18"/>
              </w:rPr>
            </w:pPr>
          </w:p>
        </w:tc>
      </w:tr>
      <w:tr w14:paraId="12DBE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cBorders>
              <w:bottom w:val="single" w:color="auto" w:sz="4" w:space="0"/>
            </w:tcBorders>
            <w:textDirection w:val="tbRlV"/>
          </w:tcPr>
          <w:p w14:paraId="64B1E48D">
            <w:pPr>
              <w:ind w:left="113" w:right="113"/>
              <w:jc w:val="center"/>
              <w:rPr>
                <w:rFonts w:eastAsia="楷体_GB2312"/>
                <w:b/>
                <w:bCs/>
              </w:rPr>
            </w:pPr>
          </w:p>
        </w:tc>
        <w:tc>
          <w:tcPr>
            <w:tcW w:w="2752" w:type="dxa"/>
            <w:gridSpan w:val="2"/>
            <w:tcBorders>
              <w:bottom w:val="single" w:color="auto" w:sz="4" w:space="0"/>
            </w:tcBorders>
          </w:tcPr>
          <w:p w14:paraId="1799D608">
            <w:pPr>
              <w:rPr>
                <w:rFonts w:eastAsia="楷体_GB2312"/>
                <w:sz w:val="18"/>
                <w:szCs w:val="18"/>
              </w:rPr>
            </w:pPr>
            <w:r>
              <w:rPr>
                <w:rFonts w:eastAsia="楷体_GB2312"/>
                <w:sz w:val="18"/>
                <w:szCs w:val="18"/>
              </w:rPr>
              <w:t>合计</w:t>
            </w:r>
          </w:p>
        </w:tc>
        <w:tc>
          <w:tcPr>
            <w:tcW w:w="2463" w:type="dxa"/>
            <w:tcBorders>
              <w:bottom w:val="single" w:color="auto" w:sz="4" w:space="0"/>
            </w:tcBorders>
          </w:tcPr>
          <w:p w14:paraId="03B4BE76">
            <w:pPr>
              <w:jc w:val="right"/>
              <w:rPr>
                <w:rFonts w:eastAsia="楷体_GB2312"/>
                <w:sz w:val="18"/>
                <w:szCs w:val="18"/>
              </w:rPr>
            </w:pPr>
          </w:p>
        </w:tc>
        <w:tc>
          <w:tcPr>
            <w:tcW w:w="2608" w:type="dxa"/>
            <w:tcBorders>
              <w:bottom w:val="single" w:color="auto" w:sz="4" w:space="0"/>
            </w:tcBorders>
          </w:tcPr>
          <w:p w14:paraId="47FB6845">
            <w:pPr>
              <w:rPr>
                <w:rFonts w:eastAsia="楷体_GB2312"/>
                <w:sz w:val="18"/>
                <w:szCs w:val="18"/>
              </w:rPr>
            </w:pPr>
          </w:p>
        </w:tc>
      </w:tr>
      <w:tr w14:paraId="52CAF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tcBorders>
              <w:bottom w:val="single" w:color="auto" w:sz="4" w:space="0"/>
            </w:tcBorders>
          </w:tcPr>
          <w:p w14:paraId="19A40814">
            <w:pPr>
              <w:jc w:val="both"/>
              <w:rPr>
                <w:rFonts w:eastAsia="楷体_GB2312"/>
              </w:rPr>
            </w:pPr>
          </w:p>
        </w:tc>
        <w:tc>
          <w:tcPr>
            <w:tcW w:w="2752" w:type="dxa"/>
            <w:gridSpan w:val="2"/>
            <w:tcBorders>
              <w:bottom w:val="single" w:color="auto" w:sz="4" w:space="0"/>
            </w:tcBorders>
          </w:tcPr>
          <w:p w14:paraId="44D6B51E">
            <w:pPr>
              <w:rPr>
                <w:rFonts w:eastAsia="楷体_GB2312"/>
              </w:rPr>
            </w:pPr>
            <w:r>
              <w:rPr>
                <w:rFonts w:eastAsia="楷体_GB2312"/>
              </w:rPr>
              <w:t>科目</w:t>
            </w:r>
          </w:p>
        </w:tc>
        <w:tc>
          <w:tcPr>
            <w:tcW w:w="2463" w:type="dxa"/>
            <w:tcBorders>
              <w:bottom w:val="single" w:color="auto" w:sz="4" w:space="0"/>
            </w:tcBorders>
          </w:tcPr>
          <w:p w14:paraId="7BEF0F2B">
            <w:pPr>
              <w:jc w:val="center"/>
              <w:rPr>
                <w:rFonts w:eastAsia="楷体_GB2312"/>
                <w:sz w:val="18"/>
                <w:szCs w:val="18"/>
                <w:lang w:eastAsia="zh-CN"/>
              </w:rPr>
            </w:pPr>
            <w:r>
              <w:rPr>
                <w:rFonts w:eastAsia="楷体_GB2312"/>
                <w:b/>
                <w:bCs/>
              </w:rPr>
              <w:t>上一报告期</w:t>
            </w:r>
            <w:r>
              <w:rPr>
                <w:rFonts w:eastAsia="楷体_GB2312"/>
                <w:b/>
                <w:bCs/>
                <w:lang w:eastAsia="zh-CN"/>
              </w:rPr>
              <w:t>间</w:t>
            </w:r>
          </w:p>
        </w:tc>
        <w:tc>
          <w:tcPr>
            <w:tcW w:w="2608" w:type="dxa"/>
            <w:tcBorders>
              <w:bottom w:val="single" w:color="auto" w:sz="4" w:space="0"/>
            </w:tcBorders>
          </w:tcPr>
          <w:p w14:paraId="1D25EB92">
            <w:pPr>
              <w:jc w:val="center"/>
              <w:rPr>
                <w:rFonts w:eastAsia="楷体_GB2312"/>
                <w:lang w:eastAsia="zh-CN"/>
              </w:rPr>
            </w:pPr>
            <w:r>
              <w:rPr>
                <w:rFonts w:eastAsia="楷体_GB2312"/>
                <w:b/>
                <w:bCs/>
              </w:rPr>
              <w:t>本报告期</w:t>
            </w:r>
            <w:r>
              <w:rPr>
                <w:rFonts w:eastAsia="楷体_GB2312"/>
                <w:b/>
                <w:bCs/>
                <w:lang w:eastAsia="zh-CN"/>
              </w:rPr>
              <w:t>间</w:t>
            </w:r>
          </w:p>
        </w:tc>
      </w:tr>
      <w:tr w14:paraId="61C2A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restart"/>
          </w:tcPr>
          <w:p w14:paraId="4FB61792">
            <w:pPr>
              <w:rPr>
                <w:rFonts w:eastAsia="楷体_GB2312"/>
              </w:rPr>
            </w:pPr>
            <w:r>
              <w:rPr>
                <w:rFonts w:eastAsia="楷体_GB2312"/>
              </w:rPr>
              <w:t>税费支出</w:t>
            </w:r>
          </w:p>
        </w:tc>
        <w:tc>
          <w:tcPr>
            <w:tcW w:w="2752" w:type="dxa"/>
            <w:gridSpan w:val="2"/>
            <w:tcBorders>
              <w:bottom w:val="single" w:color="auto" w:sz="4" w:space="0"/>
            </w:tcBorders>
          </w:tcPr>
          <w:p w14:paraId="17B327DD">
            <w:pPr>
              <w:rPr>
                <w:rFonts w:eastAsia="楷体_GB2312"/>
                <w:sz w:val="18"/>
                <w:szCs w:val="18"/>
              </w:rPr>
            </w:pPr>
            <w:r>
              <w:rPr>
                <w:rFonts w:eastAsia="楷体_GB2312"/>
                <w:sz w:val="18"/>
                <w:szCs w:val="18"/>
              </w:rPr>
              <w:t>税收</w:t>
            </w:r>
          </w:p>
        </w:tc>
        <w:tc>
          <w:tcPr>
            <w:tcW w:w="2463" w:type="dxa"/>
            <w:tcBorders>
              <w:bottom w:val="single" w:color="auto" w:sz="4" w:space="0"/>
            </w:tcBorders>
          </w:tcPr>
          <w:p w14:paraId="4F0D0B5F">
            <w:pPr>
              <w:jc w:val="center"/>
              <w:rPr>
                <w:rFonts w:eastAsia="楷体_GB2312"/>
                <w:b/>
                <w:bCs/>
                <w:sz w:val="18"/>
                <w:szCs w:val="18"/>
              </w:rPr>
            </w:pPr>
          </w:p>
        </w:tc>
        <w:tc>
          <w:tcPr>
            <w:tcW w:w="2608" w:type="dxa"/>
            <w:tcBorders>
              <w:bottom w:val="single" w:color="auto" w:sz="4" w:space="0"/>
            </w:tcBorders>
          </w:tcPr>
          <w:p w14:paraId="427A1D4B">
            <w:pPr>
              <w:jc w:val="center"/>
              <w:rPr>
                <w:rFonts w:eastAsia="楷体_GB2312"/>
                <w:b/>
                <w:bCs/>
                <w:sz w:val="18"/>
                <w:szCs w:val="18"/>
              </w:rPr>
            </w:pPr>
          </w:p>
        </w:tc>
      </w:tr>
      <w:tr w14:paraId="24E44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cPr>
          <w:p w14:paraId="02C09AF4">
            <w:pPr>
              <w:jc w:val="both"/>
              <w:rPr>
                <w:rFonts w:eastAsia="楷体_GB2312"/>
              </w:rPr>
            </w:pPr>
          </w:p>
        </w:tc>
        <w:tc>
          <w:tcPr>
            <w:tcW w:w="2752" w:type="dxa"/>
            <w:gridSpan w:val="2"/>
            <w:tcBorders>
              <w:bottom w:val="single" w:color="auto" w:sz="4" w:space="0"/>
            </w:tcBorders>
          </w:tcPr>
          <w:p w14:paraId="32052BDA">
            <w:pPr>
              <w:rPr>
                <w:rFonts w:eastAsia="楷体_GB2312"/>
                <w:sz w:val="18"/>
                <w:szCs w:val="18"/>
              </w:rPr>
            </w:pPr>
            <w:r>
              <w:rPr>
                <w:rFonts w:eastAsia="楷体_GB2312"/>
                <w:sz w:val="18"/>
                <w:szCs w:val="18"/>
              </w:rPr>
              <w:t>服务总费用</w:t>
            </w:r>
          </w:p>
        </w:tc>
        <w:tc>
          <w:tcPr>
            <w:tcW w:w="2463" w:type="dxa"/>
            <w:tcBorders>
              <w:bottom w:val="single" w:color="auto" w:sz="4" w:space="0"/>
            </w:tcBorders>
          </w:tcPr>
          <w:p w14:paraId="0B70204B">
            <w:pPr>
              <w:jc w:val="right"/>
              <w:rPr>
                <w:rFonts w:eastAsia="楷体_GB2312"/>
                <w:b/>
                <w:bCs/>
                <w:sz w:val="18"/>
                <w:szCs w:val="18"/>
              </w:rPr>
            </w:pPr>
          </w:p>
        </w:tc>
        <w:tc>
          <w:tcPr>
            <w:tcW w:w="2608" w:type="dxa"/>
            <w:tcBorders>
              <w:bottom w:val="single" w:color="auto" w:sz="4" w:space="0"/>
            </w:tcBorders>
          </w:tcPr>
          <w:p w14:paraId="67939C69">
            <w:pPr>
              <w:rPr>
                <w:rFonts w:eastAsia="楷体_GB2312"/>
                <w:b/>
                <w:bCs/>
                <w:sz w:val="18"/>
                <w:szCs w:val="18"/>
              </w:rPr>
            </w:pPr>
          </w:p>
        </w:tc>
      </w:tr>
      <w:tr w14:paraId="4B949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cBorders>
              <w:bottom w:val="single" w:color="auto" w:sz="4" w:space="0"/>
            </w:tcBorders>
          </w:tcPr>
          <w:p w14:paraId="64794A12">
            <w:pPr>
              <w:jc w:val="both"/>
              <w:rPr>
                <w:rFonts w:eastAsia="楷体_GB2312"/>
              </w:rPr>
            </w:pPr>
          </w:p>
        </w:tc>
        <w:tc>
          <w:tcPr>
            <w:tcW w:w="2752" w:type="dxa"/>
            <w:gridSpan w:val="2"/>
            <w:tcBorders>
              <w:bottom w:val="single" w:color="auto" w:sz="4" w:space="0"/>
            </w:tcBorders>
          </w:tcPr>
          <w:p w14:paraId="1C1B76D9">
            <w:pPr>
              <w:rPr>
                <w:rFonts w:eastAsia="楷体_GB2312"/>
                <w:sz w:val="18"/>
                <w:szCs w:val="18"/>
              </w:rPr>
            </w:pPr>
            <w:r>
              <w:rPr>
                <w:rFonts w:eastAsia="楷体_GB2312"/>
                <w:sz w:val="18"/>
                <w:szCs w:val="18"/>
              </w:rPr>
              <w:t>费用支出</w:t>
            </w:r>
          </w:p>
        </w:tc>
        <w:tc>
          <w:tcPr>
            <w:tcW w:w="2463" w:type="dxa"/>
            <w:tcBorders>
              <w:bottom w:val="single" w:color="auto" w:sz="4" w:space="0"/>
            </w:tcBorders>
          </w:tcPr>
          <w:p w14:paraId="64AB224B">
            <w:pPr>
              <w:jc w:val="right"/>
              <w:rPr>
                <w:rFonts w:eastAsia="楷体_GB2312"/>
                <w:b/>
                <w:bCs/>
                <w:sz w:val="18"/>
                <w:szCs w:val="18"/>
              </w:rPr>
            </w:pPr>
          </w:p>
        </w:tc>
        <w:tc>
          <w:tcPr>
            <w:tcW w:w="2608" w:type="dxa"/>
            <w:tcBorders>
              <w:bottom w:val="single" w:color="auto" w:sz="4" w:space="0"/>
            </w:tcBorders>
          </w:tcPr>
          <w:p w14:paraId="144F91AF">
            <w:pPr>
              <w:rPr>
                <w:rFonts w:eastAsia="楷体_GB2312"/>
                <w:b/>
                <w:bCs/>
                <w:sz w:val="18"/>
                <w:szCs w:val="18"/>
              </w:rPr>
            </w:pPr>
          </w:p>
        </w:tc>
      </w:tr>
      <w:tr w14:paraId="20277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869" w:type="dxa"/>
            <w:vMerge w:val="restart"/>
          </w:tcPr>
          <w:p w14:paraId="1DC18397">
            <w:pPr>
              <w:jc w:val="both"/>
              <w:rPr>
                <w:rFonts w:eastAsia="楷体_GB2312"/>
              </w:rPr>
            </w:pPr>
            <w:r>
              <w:rPr>
                <w:rFonts w:eastAsia="楷体_GB2312"/>
              </w:rPr>
              <w:t>证券兑付</w:t>
            </w:r>
          </w:p>
        </w:tc>
        <w:tc>
          <w:tcPr>
            <w:tcW w:w="2752" w:type="dxa"/>
            <w:gridSpan w:val="2"/>
            <w:tcBorders>
              <w:bottom w:val="single" w:color="auto" w:sz="4" w:space="0"/>
            </w:tcBorders>
          </w:tcPr>
          <w:p w14:paraId="23E1E93C">
            <w:pPr>
              <w:rPr>
                <w:rFonts w:eastAsia="楷体_GB2312"/>
                <w:sz w:val="18"/>
                <w:szCs w:val="18"/>
              </w:rPr>
            </w:pPr>
            <w:r>
              <w:rPr>
                <w:rFonts w:eastAsia="楷体_GB2312"/>
                <w:sz w:val="18"/>
                <w:szCs w:val="18"/>
              </w:rPr>
              <w:t>证券利息总支出</w:t>
            </w:r>
          </w:p>
        </w:tc>
        <w:tc>
          <w:tcPr>
            <w:tcW w:w="2463" w:type="dxa"/>
            <w:tcBorders>
              <w:bottom w:val="single" w:color="auto" w:sz="4" w:space="0"/>
            </w:tcBorders>
          </w:tcPr>
          <w:p w14:paraId="2CBD712C">
            <w:pPr>
              <w:jc w:val="right"/>
              <w:rPr>
                <w:rFonts w:eastAsia="楷体_GB2312"/>
                <w:b/>
                <w:bCs/>
                <w:sz w:val="18"/>
                <w:szCs w:val="18"/>
              </w:rPr>
            </w:pPr>
          </w:p>
        </w:tc>
        <w:tc>
          <w:tcPr>
            <w:tcW w:w="2608" w:type="dxa"/>
            <w:tcBorders>
              <w:bottom w:val="single" w:color="auto" w:sz="4" w:space="0"/>
            </w:tcBorders>
          </w:tcPr>
          <w:p w14:paraId="7AAB7EAC">
            <w:pPr>
              <w:rPr>
                <w:rFonts w:eastAsia="楷体_GB2312"/>
                <w:b/>
                <w:bCs/>
                <w:sz w:val="18"/>
                <w:szCs w:val="18"/>
              </w:rPr>
            </w:pPr>
          </w:p>
        </w:tc>
      </w:tr>
      <w:tr w14:paraId="0F135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cPr>
          <w:p w14:paraId="24FD13C3">
            <w:pPr>
              <w:jc w:val="both"/>
              <w:rPr>
                <w:rFonts w:eastAsia="楷体_GB2312"/>
              </w:rPr>
            </w:pPr>
          </w:p>
        </w:tc>
        <w:tc>
          <w:tcPr>
            <w:tcW w:w="2752" w:type="dxa"/>
            <w:gridSpan w:val="2"/>
            <w:tcBorders>
              <w:bottom w:val="single" w:color="auto" w:sz="4" w:space="0"/>
            </w:tcBorders>
          </w:tcPr>
          <w:p w14:paraId="1BEBED51">
            <w:pPr>
              <w:rPr>
                <w:rFonts w:eastAsia="楷体_GB2312"/>
                <w:sz w:val="18"/>
                <w:szCs w:val="18"/>
              </w:rPr>
            </w:pPr>
            <w:r>
              <w:rPr>
                <w:rFonts w:eastAsia="楷体_GB2312"/>
                <w:sz w:val="18"/>
                <w:szCs w:val="18"/>
              </w:rPr>
              <w:t>证券本金总支出</w:t>
            </w:r>
          </w:p>
        </w:tc>
        <w:tc>
          <w:tcPr>
            <w:tcW w:w="2463" w:type="dxa"/>
            <w:tcBorders>
              <w:bottom w:val="single" w:color="auto" w:sz="4" w:space="0"/>
            </w:tcBorders>
          </w:tcPr>
          <w:p w14:paraId="44FC0F39">
            <w:pPr>
              <w:jc w:val="right"/>
              <w:rPr>
                <w:rFonts w:eastAsia="楷体_GB2312"/>
                <w:b/>
                <w:bCs/>
                <w:sz w:val="18"/>
                <w:szCs w:val="18"/>
              </w:rPr>
            </w:pPr>
          </w:p>
        </w:tc>
        <w:tc>
          <w:tcPr>
            <w:tcW w:w="2608" w:type="dxa"/>
            <w:tcBorders>
              <w:bottom w:val="single" w:color="auto" w:sz="4" w:space="0"/>
            </w:tcBorders>
          </w:tcPr>
          <w:p w14:paraId="14E0CC89">
            <w:pPr>
              <w:rPr>
                <w:rFonts w:eastAsia="楷体_GB2312"/>
                <w:b/>
                <w:bCs/>
                <w:sz w:val="18"/>
                <w:szCs w:val="18"/>
              </w:rPr>
            </w:pPr>
          </w:p>
        </w:tc>
      </w:tr>
      <w:tr w14:paraId="3201E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cPr>
          <w:p w14:paraId="748557DE">
            <w:pPr>
              <w:jc w:val="both"/>
              <w:rPr>
                <w:rFonts w:eastAsia="楷体_GB2312"/>
              </w:rPr>
            </w:pPr>
          </w:p>
        </w:tc>
        <w:tc>
          <w:tcPr>
            <w:tcW w:w="2752" w:type="dxa"/>
            <w:gridSpan w:val="2"/>
            <w:tcBorders>
              <w:bottom w:val="single" w:color="auto" w:sz="4" w:space="0"/>
            </w:tcBorders>
          </w:tcPr>
          <w:p w14:paraId="3A88C387">
            <w:pPr>
              <w:rPr>
                <w:rFonts w:eastAsia="楷体_GB2312"/>
                <w:sz w:val="18"/>
                <w:szCs w:val="18"/>
              </w:rPr>
            </w:pPr>
            <w:r>
              <w:rPr>
                <w:rFonts w:eastAsia="楷体_GB2312"/>
                <w:sz w:val="18"/>
                <w:szCs w:val="18"/>
                <w:lang w:eastAsia="zh-CN"/>
              </w:rPr>
              <w:t>次级</w:t>
            </w:r>
            <w:r>
              <w:rPr>
                <w:rFonts w:eastAsia="楷体_GB2312"/>
                <w:sz w:val="18"/>
                <w:szCs w:val="18"/>
              </w:rPr>
              <w:t>超额收益</w:t>
            </w:r>
          </w:p>
        </w:tc>
        <w:tc>
          <w:tcPr>
            <w:tcW w:w="2463" w:type="dxa"/>
            <w:tcBorders>
              <w:bottom w:val="single" w:color="auto" w:sz="4" w:space="0"/>
            </w:tcBorders>
          </w:tcPr>
          <w:p w14:paraId="2BC1F0D4">
            <w:pPr>
              <w:jc w:val="right"/>
              <w:rPr>
                <w:rFonts w:eastAsia="楷体_GB2312"/>
                <w:b/>
                <w:bCs/>
                <w:sz w:val="18"/>
                <w:szCs w:val="18"/>
              </w:rPr>
            </w:pPr>
          </w:p>
        </w:tc>
        <w:tc>
          <w:tcPr>
            <w:tcW w:w="2608" w:type="dxa"/>
            <w:tcBorders>
              <w:bottom w:val="single" w:color="auto" w:sz="4" w:space="0"/>
            </w:tcBorders>
          </w:tcPr>
          <w:p w14:paraId="4A40C63D">
            <w:pPr>
              <w:rPr>
                <w:rFonts w:eastAsia="楷体_GB2312"/>
                <w:b/>
                <w:bCs/>
                <w:sz w:val="18"/>
                <w:szCs w:val="18"/>
              </w:rPr>
            </w:pPr>
          </w:p>
        </w:tc>
      </w:tr>
      <w:tr w14:paraId="612E3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621" w:type="dxa"/>
            <w:gridSpan w:val="3"/>
          </w:tcPr>
          <w:p w14:paraId="0E321466">
            <w:pPr>
              <w:rPr>
                <w:rFonts w:eastAsia="楷体_GB2312"/>
                <w:sz w:val="18"/>
                <w:szCs w:val="18"/>
                <w:lang w:eastAsia="zh-CN"/>
              </w:rPr>
            </w:pPr>
            <w:r>
              <w:rPr>
                <w:rFonts w:eastAsia="楷体_GB2312"/>
                <w:sz w:val="18"/>
                <w:szCs w:val="18"/>
                <w:lang w:eastAsia="zh-CN"/>
              </w:rPr>
              <w:t>资产持续购买支出</w:t>
            </w:r>
          </w:p>
        </w:tc>
        <w:tc>
          <w:tcPr>
            <w:tcW w:w="2463" w:type="dxa"/>
            <w:tcBorders>
              <w:bottom w:val="single" w:color="auto" w:sz="4" w:space="0"/>
            </w:tcBorders>
          </w:tcPr>
          <w:p w14:paraId="3245568F">
            <w:pPr>
              <w:jc w:val="right"/>
              <w:rPr>
                <w:rFonts w:eastAsia="楷体_GB2312"/>
                <w:b/>
                <w:bCs/>
                <w:sz w:val="18"/>
                <w:szCs w:val="18"/>
              </w:rPr>
            </w:pPr>
          </w:p>
        </w:tc>
        <w:tc>
          <w:tcPr>
            <w:tcW w:w="2608" w:type="dxa"/>
            <w:tcBorders>
              <w:bottom w:val="single" w:color="auto" w:sz="4" w:space="0"/>
            </w:tcBorders>
          </w:tcPr>
          <w:p w14:paraId="29168D0F">
            <w:pPr>
              <w:rPr>
                <w:rFonts w:eastAsia="楷体_GB2312"/>
                <w:b/>
                <w:bCs/>
                <w:sz w:val="18"/>
                <w:szCs w:val="18"/>
              </w:rPr>
            </w:pPr>
          </w:p>
        </w:tc>
      </w:tr>
      <w:tr w14:paraId="19818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621" w:type="dxa"/>
            <w:gridSpan w:val="3"/>
            <w:tcBorders>
              <w:bottom w:val="single" w:color="auto" w:sz="4" w:space="0"/>
            </w:tcBorders>
          </w:tcPr>
          <w:p w14:paraId="45ADD9DF">
            <w:pPr>
              <w:rPr>
                <w:rFonts w:eastAsia="楷体_GB2312"/>
                <w:sz w:val="18"/>
                <w:szCs w:val="18"/>
              </w:rPr>
            </w:pPr>
            <w:r>
              <w:rPr>
                <w:rFonts w:eastAsia="楷体_GB2312"/>
                <w:sz w:val="18"/>
                <w:szCs w:val="18"/>
                <w:lang w:eastAsia="zh-CN"/>
              </w:rPr>
              <w:t>转存下期本金</w:t>
            </w:r>
          </w:p>
        </w:tc>
        <w:tc>
          <w:tcPr>
            <w:tcW w:w="2463" w:type="dxa"/>
            <w:tcBorders>
              <w:bottom w:val="single" w:color="auto" w:sz="4" w:space="0"/>
            </w:tcBorders>
          </w:tcPr>
          <w:p w14:paraId="398C0C37">
            <w:pPr>
              <w:jc w:val="right"/>
              <w:rPr>
                <w:rFonts w:eastAsia="楷体_GB2312"/>
                <w:b/>
                <w:bCs/>
                <w:sz w:val="18"/>
                <w:szCs w:val="18"/>
              </w:rPr>
            </w:pPr>
          </w:p>
        </w:tc>
        <w:tc>
          <w:tcPr>
            <w:tcW w:w="2608" w:type="dxa"/>
            <w:tcBorders>
              <w:bottom w:val="single" w:color="auto" w:sz="4" w:space="0"/>
            </w:tcBorders>
          </w:tcPr>
          <w:p w14:paraId="4CBD6967">
            <w:pPr>
              <w:rPr>
                <w:rFonts w:eastAsia="楷体_GB2312"/>
                <w:b/>
                <w:bCs/>
                <w:sz w:val="18"/>
                <w:szCs w:val="18"/>
              </w:rPr>
            </w:pPr>
          </w:p>
        </w:tc>
      </w:tr>
    </w:tbl>
    <w:p w14:paraId="188907F5">
      <w:pPr>
        <w:rPr>
          <w:rFonts w:eastAsia="楷体_GB2312"/>
          <w:sz w:val="15"/>
          <w:szCs w:val="15"/>
          <w:lang w:eastAsia="zh-CN"/>
        </w:rPr>
      </w:pPr>
      <w:r>
        <w:rPr>
          <w:rFonts w:eastAsia="楷体_GB2312"/>
          <w:sz w:val="15"/>
          <w:szCs w:val="15"/>
          <w:lang w:eastAsia="zh-CN"/>
        </w:rPr>
        <w:t>注1：费用支出发生的原因是【】</w:t>
      </w:r>
    </w:p>
    <w:p w14:paraId="5C030284">
      <w:pPr>
        <w:rPr>
          <w:rFonts w:eastAsia="楷体_GB2312"/>
          <w:sz w:val="15"/>
          <w:szCs w:val="15"/>
          <w:lang w:eastAsia="zh-CN"/>
        </w:rPr>
      </w:pPr>
      <w:r>
        <w:rPr>
          <w:rFonts w:eastAsia="楷体_GB2312"/>
          <w:sz w:val="15"/>
          <w:szCs w:val="15"/>
          <w:lang w:eastAsia="zh-CN"/>
        </w:rPr>
        <w:t>注2：证券利息包括次级资产支持证券的收益（如有）。</w:t>
      </w:r>
    </w:p>
    <w:p w14:paraId="7A846AD9">
      <w:pPr>
        <w:rPr>
          <w:rFonts w:eastAsia="楷体_GB2312"/>
          <w:sz w:val="15"/>
          <w:szCs w:val="15"/>
          <w:lang w:eastAsia="zh-CN"/>
        </w:rPr>
      </w:pPr>
    </w:p>
    <w:p w14:paraId="4504126C">
      <w:pPr>
        <w:spacing w:line="360" w:lineRule="auto"/>
        <w:rPr>
          <w:rFonts w:eastAsia="楷体_GB2312"/>
          <w:lang w:eastAsia="zh-CN"/>
        </w:rPr>
      </w:pPr>
    </w:p>
    <w:p w14:paraId="4843A25C">
      <w:pPr>
        <w:spacing w:line="360" w:lineRule="auto"/>
        <w:rPr>
          <w:rFonts w:eastAsia="楷体_GB2312"/>
          <w:lang w:eastAsia="zh-CN"/>
        </w:rPr>
      </w:pPr>
    </w:p>
    <w:p w14:paraId="65B87731">
      <w:pPr>
        <w:spacing w:line="360" w:lineRule="auto"/>
        <w:rPr>
          <w:rFonts w:eastAsia="楷体_GB2312"/>
          <w:lang w:eastAsia="zh-CN"/>
        </w:rPr>
      </w:pPr>
      <w:r>
        <w:rPr>
          <w:rFonts w:eastAsia="楷体_GB2312"/>
          <w:lang w:eastAsia="zh-CN"/>
        </w:rPr>
        <w:br w:type="page"/>
      </w:r>
    </w:p>
    <w:tbl>
      <w:tblPr>
        <w:tblStyle w:val="31"/>
        <w:tblW w:w="8613"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972"/>
        <w:gridCol w:w="1672"/>
        <w:gridCol w:w="1701"/>
        <w:gridCol w:w="2268"/>
      </w:tblGrid>
      <w:tr w14:paraId="4BB7A5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3" w:type="dxa"/>
            <w:gridSpan w:val="4"/>
            <w:tcBorders>
              <w:top w:val="single" w:color="auto" w:sz="4" w:space="0"/>
              <w:left w:val="single" w:color="auto" w:sz="4" w:space="0"/>
              <w:bottom w:val="single" w:color="auto" w:sz="4" w:space="0"/>
              <w:right w:val="single" w:color="auto" w:sz="4" w:space="0"/>
            </w:tcBorders>
          </w:tcPr>
          <w:p w14:paraId="70C16F7C">
            <w:pPr>
              <w:spacing w:line="360" w:lineRule="auto"/>
              <w:jc w:val="center"/>
              <w:rPr>
                <w:rFonts w:eastAsia="楷体_GB2312"/>
                <w:b/>
                <w:sz w:val="28"/>
                <w:lang w:eastAsia="zh-CN"/>
              </w:rPr>
            </w:pPr>
            <w:r>
              <w:rPr>
                <w:rFonts w:eastAsia="楷体_GB2312"/>
                <w:b/>
                <w:sz w:val="28"/>
                <w:lang w:eastAsia="zh-CN"/>
              </w:rPr>
              <w:t>【信托名称】</w:t>
            </w:r>
          </w:p>
          <w:p w14:paraId="47DEDC56">
            <w:pPr>
              <w:spacing w:line="360" w:lineRule="auto"/>
              <w:jc w:val="center"/>
              <w:rPr>
                <w:rFonts w:eastAsia="楷体_GB2312"/>
                <w:b/>
                <w:sz w:val="28"/>
                <w:lang w:eastAsia="zh-CN"/>
              </w:rPr>
            </w:pPr>
            <w:r>
              <w:rPr>
                <w:rFonts w:eastAsia="楷体_GB2312"/>
                <w:b/>
                <w:sz w:val="28"/>
                <w:lang w:eastAsia="zh-CN"/>
              </w:rPr>
              <w:t>受托机构月度/年度报告</w:t>
            </w:r>
          </w:p>
        </w:tc>
      </w:tr>
      <w:tr w14:paraId="06DBE7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3" w:type="dxa"/>
            <w:gridSpan w:val="4"/>
            <w:tcBorders>
              <w:left w:val="single" w:color="auto" w:sz="4" w:space="0"/>
              <w:bottom w:val="single" w:color="auto" w:sz="4" w:space="0"/>
              <w:right w:val="single" w:color="auto" w:sz="4" w:space="0"/>
            </w:tcBorders>
          </w:tcPr>
          <w:p w14:paraId="5F546282">
            <w:pPr>
              <w:rPr>
                <w:rFonts w:eastAsia="楷体_GB2312"/>
                <w:b/>
                <w:lang w:eastAsia="zh-CN"/>
              </w:rPr>
            </w:pPr>
            <w:r>
              <w:rPr>
                <w:rFonts w:eastAsia="楷体_GB2312"/>
                <w:b/>
                <w:lang w:eastAsia="zh-CN"/>
              </w:rPr>
              <w:t>四、基础资产存续期总体信息</w:t>
            </w:r>
          </w:p>
          <w:p w14:paraId="4353F49C">
            <w:pPr>
              <w:rPr>
                <w:rFonts w:eastAsia="楷体_GB2312"/>
                <w:b/>
                <w:sz w:val="28"/>
                <w:lang w:eastAsia="zh-CN"/>
              </w:rPr>
            </w:pPr>
            <w:r>
              <w:rPr>
                <w:rFonts w:eastAsia="楷体_GB2312"/>
                <w:b/>
                <w:lang w:eastAsia="zh-CN"/>
              </w:rPr>
              <w:t>（一）入池资产笔数与金额特征</w:t>
            </w:r>
          </w:p>
        </w:tc>
      </w:tr>
      <w:tr w14:paraId="4517BC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vAlign w:val="center"/>
          </w:tcPr>
          <w:p w14:paraId="3D446A22">
            <w:pPr>
              <w:jc w:val="center"/>
              <w:rPr>
                <w:rFonts w:eastAsia="楷体_GB2312"/>
                <w:lang w:eastAsia="zh-CN"/>
              </w:rPr>
            </w:pPr>
          </w:p>
        </w:tc>
        <w:tc>
          <w:tcPr>
            <w:tcW w:w="1672" w:type="dxa"/>
            <w:tcBorders>
              <w:top w:val="single" w:color="auto" w:sz="4" w:space="0"/>
              <w:left w:val="single" w:color="auto" w:sz="4" w:space="0"/>
              <w:bottom w:val="single" w:color="auto" w:sz="4" w:space="0"/>
              <w:right w:val="single" w:color="auto" w:sz="4" w:space="0"/>
            </w:tcBorders>
            <w:vAlign w:val="center"/>
          </w:tcPr>
          <w:p w14:paraId="04A85DF1">
            <w:pPr>
              <w:jc w:val="center"/>
              <w:rPr>
                <w:rFonts w:eastAsia="楷体_GB2312"/>
                <w:b/>
              </w:rPr>
            </w:pPr>
            <w:r>
              <w:rPr>
                <w:rFonts w:eastAsia="楷体_GB2312"/>
                <w:b/>
              </w:rPr>
              <w:t>初始起算日</w:t>
            </w:r>
          </w:p>
        </w:tc>
        <w:tc>
          <w:tcPr>
            <w:tcW w:w="1701" w:type="dxa"/>
            <w:tcBorders>
              <w:top w:val="single" w:color="auto" w:sz="4" w:space="0"/>
              <w:left w:val="single" w:color="auto" w:sz="4" w:space="0"/>
              <w:bottom w:val="single" w:color="auto" w:sz="4" w:space="0"/>
              <w:right w:val="single" w:color="auto" w:sz="4" w:space="0"/>
            </w:tcBorders>
            <w:vAlign w:val="center"/>
          </w:tcPr>
          <w:p w14:paraId="4A2893E2">
            <w:pPr>
              <w:jc w:val="center"/>
              <w:rPr>
                <w:rFonts w:eastAsia="楷体_GB2312"/>
                <w:b/>
              </w:rPr>
            </w:pPr>
            <w:r>
              <w:rPr>
                <w:rFonts w:eastAsia="楷体_GB2312"/>
                <w:b/>
              </w:rPr>
              <w:t>本</w:t>
            </w:r>
            <w:r>
              <w:rPr>
                <w:rFonts w:eastAsia="楷体_GB2312"/>
                <w:b/>
                <w:lang w:eastAsia="zh-CN"/>
              </w:rPr>
              <w:t>报告</w:t>
            </w:r>
            <w:r>
              <w:rPr>
                <w:rFonts w:eastAsia="楷体_GB2312"/>
                <w:b/>
              </w:rPr>
              <w:t>期末</w:t>
            </w:r>
          </w:p>
        </w:tc>
        <w:tc>
          <w:tcPr>
            <w:tcW w:w="2268" w:type="dxa"/>
            <w:tcBorders>
              <w:top w:val="single" w:color="auto" w:sz="4" w:space="0"/>
              <w:left w:val="single" w:color="auto" w:sz="4" w:space="0"/>
              <w:bottom w:val="single" w:color="auto" w:sz="4" w:space="0"/>
            </w:tcBorders>
            <w:vAlign w:val="center"/>
          </w:tcPr>
          <w:p w14:paraId="11BE1AD3">
            <w:pPr>
              <w:jc w:val="center"/>
              <w:rPr>
                <w:rFonts w:eastAsia="楷体_GB2312"/>
                <w:b/>
              </w:rPr>
            </w:pPr>
            <w:r>
              <w:rPr>
                <w:rFonts w:eastAsia="楷体_GB2312"/>
                <w:b/>
              </w:rPr>
              <w:t>上一</w:t>
            </w:r>
            <w:r>
              <w:rPr>
                <w:rFonts w:eastAsia="楷体_GB2312"/>
                <w:b/>
                <w:lang w:eastAsia="zh-CN"/>
              </w:rPr>
              <w:t>报告</w:t>
            </w:r>
            <w:r>
              <w:rPr>
                <w:rFonts w:eastAsia="楷体_GB2312"/>
                <w:b/>
              </w:rPr>
              <w:t>期末</w:t>
            </w:r>
          </w:p>
        </w:tc>
      </w:tr>
      <w:tr w14:paraId="0E4795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vAlign w:val="center"/>
          </w:tcPr>
          <w:p w14:paraId="3AA1051C">
            <w:pPr>
              <w:jc w:val="center"/>
              <w:rPr>
                <w:rFonts w:eastAsia="楷体_GB2312"/>
                <w:sz w:val="18"/>
              </w:rPr>
            </w:pPr>
            <w:r>
              <w:rPr>
                <w:rFonts w:eastAsia="楷体_GB2312"/>
                <w:sz w:val="18"/>
              </w:rPr>
              <w:t>总笔数</w:t>
            </w:r>
          </w:p>
        </w:tc>
        <w:tc>
          <w:tcPr>
            <w:tcW w:w="1672" w:type="dxa"/>
            <w:tcBorders>
              <w:top w:val="single" w:color="auto" w:sz="4" w:space="0"/>
              <w:left w:val="single" w:color="auto" w:sz="4" w:space="0"/>
              <w:bottom w:val="single" w:color="auto" w:sz="4" w:space="0"/>
              <w:right w:val="single" w:color="auto" w:sz="4" w:space="0"/>
            </w:tcBorders>
            <w:vAlign w:val="center"/>
          </w:tcPr>
          <w:p w14:paraId="4E4DE328">
            <w:pPr>
              <w:jc w:val="center"/>
              <w:rPr>
                <w:rFonts w:eastAsia="楷体_GB2312"/>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14:paraId="1D104329">
            <w:pPr>
              <w:jc w:val="center"/>
              <w:rPr>
                <w:rFonts w:eastAsia="楷体_GB2312"/>
                <w:sz w:val="18"/>
                <w:szCs w:val="18"/>
              </w:rPr>
            </w:pPr>
          </w:p>
        </w:tc>
        <w:tc>
          <w:tcPr>
            <w:tcW w:w="2268" w:type="dxa"/>
            <w:tcBorders>
              <w:top w:val="single" w:color="auto" w:sz="4" w:space="0"/>
              <w:left w:val="single" w:color="auto" w:sz="4" w:space="0"/>
              <w:bottom w:val="single" w:color="auto" w:sz="4" w:space="0"/>
            </w:tcBorders>
            <w:vAlign w:val="center"/>
          </w:tcPr>
          <w:p w14:paraId="13ED3644">
            <w:pPr>
              <w:jc w:val="center"/>
              <w:rPr>
                <w:rFonts w:eastAsia="楷体_GB2312"/>
                <w:sz w:val="18"/>
                <w:szCs w:val="18"/>
              </w:rPr>
            </w:pPr>
          </w:p>
        </w:tc>
      </w:tr>
      <w:tr w14:paraId="6049E6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vAlign w:val="center"/>
          </w:tcPr>
          <w:p w14:paraId="6B36EF67">
            <w:pPr>
              <w:jc w:val="center"/>
              <w:rPr>
                <w:rFonts w:eastAsia="楷体_GB2312"/>
                <w:sz w:val="18"/>
              </w:rPr>
            </w:pPr>
            <w:r>
              <w:rPr>
                <w:rFonts w:eastAsia="楷体_GB2312"/>
                <w:sz w:val="18"/>
              </w:rPr>
              <w:t>总户数</w:t>
            </w:r>
          </w:p>
        </w:tc>
        <w:tc>
          <w:tcPr>
            <w:tcW w:w="1672" w:type="dxa"/>
            <w:tcBorders>
              <w:top w:val="single" w:color="auto" w:sz="4" w:space="0"/>
              <w:left w:val="single" w:color="auto" w:sz="4" w:space="0"/>
              <w:bottom w:val="single" w:color="auto" w:sz="4" w:space="0"/>
              <w:right w:val="single" w:color="auto" w:sz="4" w:space="0"/>
            </w:tcBorders>
            <w:vAlign w:val="center"/>
          </w:tcPr>
          <w:p w14:paraId="358B331C">
            <w:pPr>
              <w:jc w:val="center"/>
              <w:rPr>
                <w:rFonts w:eastAsia="楷体_GB2312"/>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14:paraId="38349A34">
            <w:pPr>
              <w:jc w:val="center"/>
              <w:rPr>
                <w:rFonts w:eastAsia="楷体_GB2312"/>
                <w:sz w:val="18"/>
                <w:szCs w:val="18"/>
              </w:rPr>
            </w:pPr>
          </w:p>
        </w:tc>
        <w:tc>
          <w:tcPr>
            <w:tcW w:w="2268" w:type="dxa"/>
            <w:tcBorders>
              <w:top w:val="single" w:color="auto" w:sz="4" w:space="0"/>
              <w:left w:val="single" w:color="auto" w:sz="4" w:space="0"/>
              <w:bottom w:val="single" w:color="auto" w:sz="4" w:space="0"/>
            </w:tcBorders>
            <w:vAlign w:val="center"/>
          </w:tcPr>
          <w:p w14:paraId="550C9F58">
            <w:pPr>
              <w:jc w:val="center"/>
              <w:rPr>
                <w:rFonts w:eastAsia="楷体_GB2312"/>
                <w:sz w:val="18"/>
                <w:szCs w:val="18"/>
              </w:rPr>
            </w:pPr>
          </w:p>
        </w:tc>
      </w:tr>
      <w:tr w14:paraId="51FF02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vAlign w:val="center"/>
          </w:tcPr>
          <w:p w14:paraId="0E258621">
            <w:pPr>
              <w:jc w:val="center"/>
              <w:rPr>
                <w:rFonts w:eastAsia="楷体_GB2312"/>
                <w:sz w:val="18"/>
              </w:rPr>
            </w:pPr>
            <w:r>
              <w:rPr>
                <w:rFonts w:eastAsia="楷体_GB2312"/>
                <w:sz w:val="18"/>
              </w:rPr>
              <w:t>未偿本金余额</w:t>
            </w:r>
          </w:p>
        </w:tc>
        <w:tc>
          <w:tcPr>
            <w:tcW w:w="1672" w:type="dxa"/>
            <w:tcBorders>
              <w:top w:val="single" w:color="auto" w:sz="4" w:space="0"/>
              <w:left w:val="single" w:color="auto" w:sz="4" w:space="0"/>
              <w:bottom w:val="single" w:color="auto" w:sz="4" w:space="0"/>
              <w:right w:val="single" w:color="auto" w:sz="4" w:space="0"/>
            </w:tcBorders>
            <w:vAlign w:val="center"/>
          </w:tcPr>
          <w:p w14:paraId="50974C92">
            <w:pPr>
              <w:jc w:val="center"/>
              <w:rPr>
                <w:rFonts w:eastAsia="楷体_GB2312"/>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14:paraId="576159CD">
            <w:pPr>
              <w:jc w:val="center"/>
              <w:rPr>
                <w:rFonts w:eastAsia="楷体_GB2312"/>
                <w:sz w:val="18"/>
                <w:szCs w:val="18"/>
              </w:rPr>
            </w:pPr>
          </w:p>
        </w:tc>
        <w:tc>
          <w:tcPr>
            <w:tcW w:w="2268" w:type="dxa"/>
            <w:tcBorders>
              <w:top w:val="single" w:color="auto" w:sz="4" w:space="0"/>
              <w:left w:val="single" w:color="auto" w:sz="4" w:space="0"/>
              <w:bottom w:val="single" w:color="auto" w:sz="4" w:space="0"/>
            </w:tcBorders>
            <w:vAlign w:val="center"/>
          </w:tcPr>
          <w:p w14:paraId="4CBEE25E">
            <w:pPr>
              <w:jc w:val="center"/>
              <w:rPr>
                <w:rFonts w:eastAsia="楷体_GB2312"/>
                <w:sz w:val="18"/>
                <w:szCs w:val="18"/>
              </w:rPr>
            </w:pPr>
          </w:p>
        </w:tc>
      </w:tr>
      <w:tr w14:paraId="779F14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vAlign w:val="center"/>
          </w:tcPr>
          <w:p w14:paraId="3F06EDE7">
            <w:pPr>
              <w:jc w:val="center"/>
              <w:rPr>
                <w:rFonts w:eastAsia="楷体_GB2312"/>
                <w:sz w:val="18"/>
                <w:lang w:eastAsia="zh-CN"/>
              </w:rPr>
            </w:pPr>
            <w:r>
              <w:rPr>
                <w:rFonts w:eastAsia="楷体_GB2312"/>
                <w:sz w:val="18"/>
                <w:lang w:eastAsia="zh-CN"/>
              </w:rPr>
              <w:t>单笔贷款最高本金余额</w:t>
            </w:r>
          </w:p>
        </w:tc>
        <w:tc>
          <w:tcPr>
            <w:tcW w:w="1672" w:type="dxa"/>
            <w:tcBorders>
              <w:top w:val="single" w:color="auto" w:sz="4" w:space="0"/>
              <w:left w:val="single" w:color="auto" w:sz="4" w:space="0"/>
              <w:bottom w:val="single" w:color="auto" w:sz="4" w:space="0"/>
              <w:right w:val="single" w:color="auto" w:sz="4" w:space="0"/>
            </w:tcBorders>
            <w:vAlign w:val="center"/>
          </w:tcPr>
          <w:p w14:paraId="07E192C9">
            <w:pPr>
              <w:jc w:val="center"/>
              <w:rPr>
                <w:rFonts w:eastAsia="楷体_GB2312"/>
                <w:sz w:val="18"/>
                <w:szCs w:val="18"/>
                <w:lang w:eastAsia="zh-CN"/>
              </w:rPr>
            </w:pPr>
          </w:p>
        </w:tc>
        <w:tc>
          <w:tcPr>
            <w:tcW w:w="1701" w:type="dxa"/>
            <w:tcBorders>
              <w:top w:val="single" w:color="auto" w:sz="4" w:space="0"/>
              <w:left w:val="single" w:color="auto" w:sz="4" w:space="0"/>
              <w:bottom w:val="single" w:color="auto" w:sz="4" w:space="0"/>
              <w:right w:val="single" w:color="auto" w:sz="4" w:space="0"/>
            </w:tcBorders>
            <w:vAlign w:val="center"/>
          </w:tcPr>
          <w:p w14:paraId="73C8D0A7">
            <w:pPr>
              <w:jc w:val="center"/>
              <w:rPr>
                <w:rFonts w:eastAsia="楷体_GB2312"/>
                <w:sz w:val="18"/>
                <w:szCs w:val="18"/>
                <w:lang w:eastAsia="zh-CN"/>
              </w:rPr>
            </w:pPr>
          </w:p>
        </w:tc>
        <w:tc>
          <w:tcPr>
            <w:tcW w:w="2268" w:type="dxa"/>
            <w:tcBorders>
              <w:top w:val="single" w:color="auto" w:sz="4" w:space="0"/>
              <w:left w:val="single" w:color="auto" w:sz="4" w:space="0"/>
              <w:bottom w:val="single" w:color="auto" w:sz="4" w:space="0"/>
            </w:tcBorders>
            <w:vAlign w:val="center"/>
          </w:tcPr>
          <w:p w14:paraId="79F99A3D">
            <w:pPr>
              <w:jc w:val="center"/>
              <w:rPr>
                <w:rFonts w:eastAsia="楷体_GB2312"/>
                <w:sz w:val="18"/>
                <w:szCs w:val="18"/>
                <w:lang w:eastAsia="zh-CN"/>
              </w:rPr>
            </w:pPr>
          </w:p>
        </w:tc>
      </w:tr>
      <w:tr w14:paraId="2235E2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vAlign w:val="center"/>
          </w:tcPr>
          <w:p w14:paraId="2CF0421F">
            <w:pPr>
              <w:jc w:val="center"/>
              <w:rPr>
                <w:rFonts w:eastAsia="楷体_GB2312"/>
                <w:sz w:val="18"/>
                <w:lang w:eastAsia="zh-CN"/>
              </w:rPr>
            </w:pPr>
            <w:r>
              <w:rPr>
                <w:rFonts w:eastAsia="楷体_GB2312"/>
                <w:sz w:val="18"/>
                <w:lang w:eastAsia="zh-CN"/>
              </w:rPr>
              <w:t>单笔贷款平均本金余额</w:t>
            </w:r>
          </w:p>
        </w:tc>
        <w:tc>
          <w:tcPr>
            <w:tcW w:w="1672" w:type="dxa"/>
            <w:tcBorders>
              <w:top w:val="single" w:color="auto" w:sz="4" w:space="0"/>
              <w:left w:val="single" w:color="auto" w:sz="4" w:space="0"/>
              <w:bottom w:val="single" w:color="auto" w:sz="4" w:space="0"/>
              <w:right w:val="single" w:color="auto" w:sz="4" w:space="0"/>
            </w:tcBorders>
            <w:vAlign w:val="center"/>
          </w:tcPr>
          <w:p w14:paraId="18255F07">
            <w:pPr>
              <w:jc w:val="center"/>
              <w:rPr>
                <w:rFonts w:eastAsia="楷体_GB2312"/>
                <w:sz w:val="18"/>
                <w:szCs w:val="18"/>
                <w:lang w:eastAsia="zh-CN"/>
              </w:rPr>
            </w:pPr>
          </w:p>
        </w:tc>
        <w:tc>
          <w:tcPr>
            <w:tcW w:w="1701" w:type="dxa"/>
            <w:tcBorders>
              <w:top w:val="single" w:color="auto" w:sz="4" w:space="0"/>
              <w:left w:val="single" w:color="auto" w:sz="4" w:space="0"/>
              <w:bottom w:val="single" w:color="auto" w:sz="4" w:space="0"/>
              <w:right w:val="single" w:color="auto" w:sz="4" w:space="0"/>
            </w:tcBorders>
            <w:vAlign w:val="center"/>
          </w:tcPr>
          <w:p w14:paraId="6CBB591F">
            <w:pPr>
              <w:jc w:val="center"/>
              <w:rPr>
                <w:rFonts w:eastAsia="楷体_GB2312"/>
                <w:sz w:val="18"/>
                <w:szCs w:val="18"/>
                <w:lang w:eastAsia="zh-CN"/>
              </w:rPr>
            </w:pPr>
          </w:p>
        </w:tc>
        <w:tc>
          <w:tcPr>
            <w:tcW w:w="2268" w:type="dxa"/>
            <w:tcBorders>
              <w:top w:val="single" w:color="auto" w:sz="4" w:space="0"/>
              <w:left w:val="single" w:color="auto" w:sz="4" w:space="0"/>
              <w:bottom w:val="single" w:color="auto" w:sz="4" w:space="0"/>
            </w:tcBorders>
            <w:vAlign w:val="center"/>
          </w:tcPr>
          <w:p w14:paraId="6A56E256">
            <w:pPr>
              <w:jc w:val="center"/>
              <w:rPr>
                <w:rFonts w:eastAsia="楷体_GB2312"/>
                <w:sz w:val="18"/>
                <w:szCs w:val="18"/>
                <w:lang w:eastAsia="zh-CN"/>
              </w:rPr>
            </w:pPr>
          </w:p>
        </w:tc>
      </w:tr>
      <w:tr w14:paraId="25F1BF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vAlign w:val="center"/>
          </w:tcPr>
          <w:p w14:paraId="0843BE63">
            <w:pPr>
              <w:jc w:val="center"/>
              <w:rPr>
                <w:rFonts w:eastAsia="楷体_GB2312"/>
                <w:sz w:val="18"/>
              </w:rPr>
            </w:pPr>
            <w:r>
              <w:rPr>
                <w:rFonts w:eastAsia="楷体_GB2312"/>
                <w:sz w:val="18"/>
              </w:rPr>
              <w:t>担保贷款本金余额</w:t>
            </w:r>
          </w:p>
        </w:tc>
        <w:tc>
          <w:tcPr>
            <w:tcW w:w="1672" w:type="dxa"/>
            <w:tcBorders>
              <w:top w:val="single" w:color="auto" w:sz="4" w:space="0"/>
              <w:left w:val="single" w:color="auto" w:sz="4" w:space="0"/>
              <w:bottom w:val="single" w:color="auto" w:sz="4" w:space="0"/>
              <w:right w:val="single" w:color="auto" w:sz="4" w:space="0"/>
            </w:tcBorders>
            <w:vAlign w:val="center"/>
          </w:tcPr>
          <w:p w14:paraId="29EBA087">
            <w:pPr>
              <w:jc w:val="center"/>
              <w:rPr>
                <w:rFonts w:eastAsia="楷体_GB2312"/>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14:paraId="4F7A163C">
            <w:pPr>
              <w:jc w:val="center"/>
              <w:rPr>
                <w:rFonts w:eastAsia="楷体_GB2312"/>
                <w:sz w:val="18"/>
                <w:szCs w:val="18"/>
              </w:rPr>
            </w:pPr>
          </w:p>
        </w:tc>
        <w:tc>
          <w:tcPr>
            <w:tcW w:w="2268" w:type="dxa"/>
            <w:tcBorders>
              <w:top w:val="single" w:color="auto" w:sz="4" w:space="0"/>
              <w:left w:val="single" w:color="auto" w:sz="4" w:space="0"/>
              <w:bottom w:val="single" w:color="auto" w:sz="4" w:space="0"/>
            </w:tcBorders>
            <w:vAlign w:val="center"/>
          </w:tcPr>
          <w:p w14:paraId="19B3E8AC">
            <w:pPr>
              <w:jc w:val="center"/>
              <w:rPr>
                <w:rFonts w:eastAsia="楷体_GB2312"/>
                <w:sz w:val="18"/>
                <w:szCs w:val="18"/>
              </w:rPr>
            </w:pPr>
          </w:p>
        </w:tc>
      </w:tr>
      <w:tr w14:paraId="4C3CFC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nil"/>
              <w:right w:val="nil"/>
            </w:tcBorders>
          </w:tcPr>
          <w:p w14:paraId="463AB115">
            <w:pPr>
              <w:rPr>
                <w:rFonts w:eastAsia="楷体_GB2312"/>
                <w:sz w:val="18"/>
              </w:rPr>
            </w:pPr>
          </w:p>
        </w:tc>
        <w:tc>
          <w:tcPr>
            <w:tcW w:w="1672" w:type="dxa"/>
            <w:tcBorders>
              <w:top w:val="single" w:color="auto" w:sz="4" w:space="0"/>
              <w:left w:val="nil"/>
              <w:bottom w:val="nil"/>
              <w:right w:val="nil"/>
            </w:tcBorders>
          </w:tcPr>
          <w:p w14:paraId="54A85349">
            <w:pPr>
              <w:rPr>
                <w:rFonts w:eastAsia="楷体_GB2312"/>
                <w:sz w:val="18"/>
                <w:szCs w:val="18"/>
              </w:rPr>
            </w:pPr>
          </w:p>
        </w:tc>
        <w:tc>
          <w:tcPr>
            <w:tcW w:w="1701" w:type="dxa"/>
            <w:tcBorders>
              <w:top w:val="single" w:color="auto" w:sz="4" w:space="0"/>
              <w:left w:val="nil"/>
              <w:bottom w:val="nil"/>
              <w:right w:val="nil"/>
            </w:tcBorders>
          </w:tcPr>
          <w:p w14:paraId="588FFD7F">
            <w:pPr>
              <w:rPr>
                <w:rFonts w:eastAsia="楷体_GB2312"/>
                <w:sz w:val="18"/>
                <w:szCs w:val="18"/>
              </w:rPr>
            </w:pPr>
          </w:p>
        </w:tc>
        <w:tc>
          <w:tcPr>
            <w:tcW w:w="2268" w:type="dxa"/>
            <w:tcBorders>
              <w:top w:val="single" w:color="auto" w:sz="4" w:space="0"/>
              <w:left w:val="nil"/>
              <w:bottom w:val="nil"/>
            </w:tcBorders>
          </w:tcPr>
          <w:p w14:paraId="26FCD325">
            <w:pPr>
              <w:rPr>
                <w:rFonts w:eastAsia="楷体_GB2312"/>
                <w:sz w:val="18"/>
                <w:szCs w:val="18"/>
              </w:rPr>
            </w:pPr>
          </w:p>
        </w:tc>
      </w:tr>
      <w:tr w14:paraId="7325E2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nil"/>
              <w:bottom w:val="single" w:color="auto" w:sz="4" w:space="0"/>
              <w:right w:val="nil"/>
            </w:tcBorders>
          </w:tcPr>
          <w:p w14:paraId="5AAB933E">
            <w:pPr>
              <w:rPr>
                <w:rFonts w:eastAsia="楷体_GB2312"/>
                <w:b/>
                <w:sz w:val="18"/>
                <w:lang w:eastAsia="zh-CN"/>
              </w:rPr>
            </w:pPr>
            <w:r>
              <w:rPr>
                <w:rFonts w:eastAsia="楷体_GB2312"/>
                <w:b/>
                <w:lang w:eastAsia="zh-CN"/>
              </w:rPr>
              <w:t>（二）入池资产期限特征</w:t>
            </w:r>
          </w:p>
        </w:tc>
        <w:tc>
          <w:tcPr>
            <w:tcW w:w="1672" w:type="dxa"/>
            <w:tcBorders>
              <w:top w:val="nil"/>
              <w:left w:val="nil"/>
              <w:bottom w:val="single" w:color="auto" w:sz="4" w:space="0"/>
              <w:right w:val="nil"/>
            </w:tcBorders>
          </w:tcPr>
          <w:p w14:paraId="033CA897">
            <w:pPr>
              <w:rPr>
                <w:rFonts w:eastAsia="楷体_GB2312"/>
                <w:sz w:val="18"/>
                <w:szCs w:val="18"/>
                <w:lang w:eastAsia="zh-CN"/>
              </w:rPr>
            </w:pPr>
          </w:p>
        </w:tc>
        <w:tc>
          <w:tcPr>
            <w:tcW w:w="1701" w:type="dxa"/>
            <w:tcBorders>
              <w:top w:val="nil"/>
              <w:left w:val="nil"/>
              <w:bottom w:val="single" w:color="auto" w:sz="4" w:space="0"/>
              <w:right w:val="nil"/>
            </w:tcBorders>
          </w:tcPr>
          <w:p w14:paraId="491C4E05">
            <w:pPr>
              <w:rPr>
                <w:rFonts w:eastAsia="楷体_GB2312"/>
                <w:sz w:val="18"/>
                <w:szCs w:val="18"/>
                <w:lang w:eastAsia="zh-CN"/>
              </w:rPr>
            </w:pPr>
          </w:p>
        </w:tc>
        <w:tc>
          <w:tcPr>
            <w:tcW w:w="2268" w:type="dxa"/>
            <w:tcBorders>
              <w:top w:val="nil"/>
              <w:left w:val="nil"/>
              <w:bottom w:val="single" w:color="auto" w:sz="4" w:space="0"/>
            </w:tcBorders>
          </w:tcPr>
          <w:p w14:paraId="5DE9F341">
            <w:pPr>
              <w:rPr>
                <w:rFonts w:eastAsia="楷体_GB2312"/>
                <w:sz w:val="18"/>
                <w:szCs w:val="18"/>
                <w:lang w:eastAsia="zh-CN"/>
              </w:rPr>
            </w:pPr>
          </w:p>
        </w:tc>
      </w:tr>
      <w:tr w14:paraId="333233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0F6F12D5">
            <w:pPr>
              <w:rPr>
                <w:rFonts w:eastAsia="楷体_GB2312"/>
                <w:sz w:val="18"/>
                <w:lang w:eastAsia="zh-CN"/>
              </w:rPr>
            </w:pPr>
          </w:p>
        </w:tc>
        <w:tc>
          <w:tcPr>
            <w:tcW w:w="1672" w:type="dxa"/>
            <w:tcBorders>
              <w:top w:val="single" w:color="auto" w:sz="4" w:space="0"/>
              <w:left w:val="single" w:color="auto" w:sz="4" w:space="0"/>
              <w:bottom w:val="single" w:color="auto" w:sz="4" w:space="0"/>
              <w:right w:val="single" w:color="auto" w:sz="4" w:space="0"/>
            </w:tcBorders>
          </w:tcPr>
          <w:p w14:paraId="3332300D">
            <w:pPr>
              <w:jc w:val="center"/>
              <w:rPr>
                <w:rFonts w:eastAsia="楷体_GB2312"/>
                <w:b/>
              </w:rPr>
            </w:pPr>
            <w:r>
              <w:rPr>
                <w:rFonts w:eastAsia="楷体_GB2312"/>
                <w:b/>
              </w:rPr>
              <w:t>初始起算日</w:t>
            </w:r>
          </w:p>
        </w:tc>
        <w:tc>
          <w:tcPr>
            <w:tcW w:w="1701" w:type="dxa"/>
            <w:tcBorders>
              <w:top w:val="single" w:color="auto" w:sz="4" w:space="0"/>
              <w:left w:val="single" w:color="auto" w:sz="4" w:space="0"/>
              <w:bottom w:val="single" w:color="auto" w:sz="4" w:space="0"/>
              <w:right w:val="single" w:color="auto" w:sz="4" w:space="0"/>
            </w:tcBorders>
          </w:tcPr>
          <w:p w14:paraId="276A1ED1">
            <w:pPr>
              <w:rPr>
                <w:rFonts w:eastAsia="楷体_GB2312"/>
                <w:b/>
              </w:rPr>
            </w:pPr>
            <w:r>
              <w:rPr>
                <w:rFonts w:eastAsia="楷体_GB2312"/>
                <w:b/>
              </w:rPr>
              <w:t>本报告期末</w:t>
            </w:r>
          </w:p>
        </w:tc>
        <w:tc>
          <w:tcPr>
            <w:tcW w:w="2268" w:type="dxa"/>
            <w:tcBorders>
              <w:top w:val="single" w:color="auto" w:sz="4" w:space="0"/>
              <w:left w:val="single" w:color="auto" w:sz="4" w:space="0"/>
              <w:bottom w:val="single" w:color="auto" w:sz="4" w:space="0"/>
            </w:tcBorders>
          </w:tcPr>
          <w:p w14:paraId="2D2D0554">
            <w:pPr>
              <w:rPr>
                <w:rFonts w:eastAsia="楷体_GB2312"/>
                <w:b/>
              </w:rPr>
            </w:pPr>
            <w:r>
              <w:rPr>
                <w:rFonts w:eastAsia="楷体_GB2312"/>
                <w:b/>
              </w:rPr>
              <w:t>上一报告期末</w:t>
            </w:r>
          </w:p>
        </w:tc>
      </w:tr>
      <w:tr w14:paraId="4F086A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vAlign w:val="center"/>
          </w:tcPr>
          <w:p w14:paraId="27E889EB">
            <w:pPr>
              <w:jc w:val="center"/>
              <w:rPr>
                <w:rFonts w:eastAsia="楷体_GB2312"/>
                <w:sz w:val="18"/>
              </w:rPr>
            </w:pPr>
            <w:r>
              <w:rPr>
                <w:rFonts w:eastAsia="楷体_GB2312"/>
                <w:sz w:val="18"/>
              </w:rPr>
              <w:t>加权平均合同期限</w:t>
            </w:r>
          </w:p>
        </w:tc>
        <w:tc>
          <w:tcPr>
            <w:tcW w:w="1672" w:type="dxa"/>
            <w:tcBorders>
              <w:top w:val="single" w:color="auto" w:sz="4" w:space="0"/>
              <w:left w:val="single" w:color="auto" w:sz="4" w:space="0"/>
              <w:bottom w:val="single" w:color="auto" w:sz="4" w:space="0"/>
              <w:right w:val="single" w:color="auto" w:sz="4" w:space="0"/>
            </w:tcBorders>
          </w:tcPr>
          <w:p w14:paraId="1EFFB2C5">
            <w:pPr>
              <w:jc w:val="center"/>
              <w:rPr>
                <w:rFonts w:eastAsia="楷体_GB2312"/>
                <w:sz w:val="18"/>
              </w:rPr>
            </w:pPr>
          </w:p>
        </w:tc>
        <w:tc>
          <w:tcPr>
            <w:tcW w:w="1701" w:type="dxa"/>
            <w:tcBorders>
              <w:top w:val="single" w:color="auto" w:sz="4" w:space="0"/>
              <w:left w:val="single" w:color="auto" w:sz="4" w:space="0"/>
              <w:bottom w:val="single" w:color="auto" w:sz="4" w:space="0"/>
              <w:right w:val="single" w:color="auto" w:sz="4" w:space="0"/>
            </w:tcBorders>
          </w:tcPr>
          <w:p w14:paraId="527A0476">
            <w:pPr>
              <w:jc w:val="center"/>
              <w:rPr>
                <w:rFonts w:eastAsia="楷体_GB2312"/>
                <w:sz w:val="18"/>
              </w:rPr>
            </w:pPr>
          </w:p>
        </w:tc>
        <w:tc>
          <w:tcPr>
            <w:tcW w:w="2268" w:type="dxa"/>
            <w:tcBorders>
              <w:top w:val="single" w:color="auto" w:sz="4" w:space="0"/>
              <w:left w:val="single" w:color="auto" w:sz="4" w:space="0"/>
              <w:bottom w:val="single" w:color="auto" w:sz="4" w:space="0"/>
            </w:tcBorders>
          </w:tcPr>
          <w:p w14:paraId="2E09F4FD">
            <w:pPr>
              <w:jc w:val="center"/>
              <w:rPr>
                <w:rFonts w:eastAsia="楷体_GB2312"/>
                <w:sz w:val="18"/>
              </w:rPr>
            </w:pPr>
          </w:p>
        </w:tc>
      </w:tr>
      <w:tr w14:paraId="48CF76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2972" w:type="dxa"/>
            <w:tcBorders>
              <w:top w:val="single" w:color="auto" w:sz="4" w:space="0"/>
              <w:bottom w:val="single" w:color="auto" w:sz="4" w:space="0"/>
              <w:right w:val="single" w:color="auto" w:sz="4" w:space="0"/>
            </w:tcBorders>
            <w:vAlign w:val="center"/>
          </w:tcPr>
          <w:p w14:paraId="10F3FD41">
            <w:pPr>
              <w:jc w:val="center"/>
              <w:rPr>
                <w:rFonts w:eastAsia="楷体_GB2312"/>
                <w:sz w:val="18"/>
              </w:rPr>
            </w:pPr>
            <w:r>
              <w:rPr>
                <w:rFonts w:eastAsia="楷体_GB2312"/>
                <w:sz w:val="18"/>
              </w:rPr>
              <w:t>加权平均剩余期限</w:t>
            </w:r>
          </w:p>
        </w:tc>
        <w:tc>
          <w:tcPr>
            <w:tcW w:w="1672" w:type="dxa"/>
            <w:tcBorders>
              <w:top w:val="single" w:color="auto" w:sz="4" w:space="0"/>
              <w:left w:val="single" w:color="auto" w:sz="4" w:space="0"/>
              <w:bottom w:val="single" w:color="auto" w:sz="4" w:space="0"/>
              <w:right w:val="single" w:color="auto" w:sz="4" w:space="0"/>
            </w:tcBorders>
          </w:tcPr>
          <w:p w14:paraId="7B474E3F">
            <w:pPr>
              <w:jc w:val="center"/>
              <w:rPr>
                <w:rFonts w:eastAsia="楷体_GB2312"/>
                <w:sz w:val="18"/>
              </w:rPr>
            </w:pPr>
          </w:p>
        </w:tc>
        <w:tc>
          <w:tcPr>
            <w:tcW w:w="1701" w:type="dxa"/>
            <w:tcBorders>
              <w:top w:val="single" w:color="auto" w:sz="4" w:space="0"/>
              <w:left w:val="single" w:color="auto" w:sz="4" w:space="0"/>
              <w:bottom w:val="single" w:color="auto" w:sz="4" w:space="0"/>
              <w:right w:val="single" w:color="auto" w:sz="4" w:space="0"/>
            </w:tcBorders>
          </w:tcPr>
          <w:p w14:paraId="7991CA75">
            <w:pPr>
              <w:jc w:val="center"/>
              <w:rPr>
                <w:rFonts w:eastAsia="楷体_GB2312"/>
                <w:sz w:val="18"/>
              </w:rPr>
            </w:pPr>
          </w:p>
        </w:tc>
        <w:tc>
          <w:tcPr>
            <w:tcW w:w="2268" w:type="dxa"/>
            <w:tcBorders>
              <w:top w:val="single" w:color="auto" w:sz="4" w:space="0"/>
              <w:left w:val="single" w:color="auto" w:sz="4" w:space="0"/>
              <w:bottom w:val="single" w:color="auto" w:sz="4" w:space="0"/>
            </w:tcBorders>
          </w:tcPr>
          <w:p w14:paraId="6910E935">
            <w:pPr>
              <w:jc w:val="center"/>
              <w:rPr>
                <w:rFonts w:eastAsia="楷体_GB2312"/>
                <w:sz w:val="18"/>
              </w:rPr>
            </w:pPr>
          </w:p>
        </w:tc>
      </w:tr>
      <w:tr w14:paraId="03FD43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vAlign w:val="center"/>
          </w:tcPr>
          <w:p w14:paraId="59F2100B">
            <w:pPr>
              <w:jc w:val="center"/>
              <w:rPr>
                <w:rFonts w:eastAsia="楷体_GB2312"/>
                <w:sz w:val="18"/>
              </w:rPr>
            </w:pPr>
            <w:r>
              <w:rPr>
                <w:rFonts w:eastAsia="楷体_GB2312"/>
                <w:sz w:val="18"/>
              </w:rPr>
              <w:t>加权平均账龄</w:t>
            </w:r>
          </w:p>
        </w:tc>
        <w:tc>
          <w:tcPr>
            <w:tcW w:w="1672" w:type="dxa"/>
            <w:tcBorders>
              <w:top w:val="single" w:color="auto" w:sz="4" w:space="0"/>
              <w:left w:val="single" w:color="auto" w:sz="4" w:space="0"/>
              <w:bottom w:val="single" w:color="auto" w:sz="4" w:space="0"/>
              <w:right w:val="single" w:color="auto" w:sz="4" w:space="0"/>
            </w:tcBorders>
          </w:tcPr>
          <w:p w14:paraId="365E5EF9">
            <w:pPr>
              <w:jc w:val="center"/>
              <w:rPr>
                <w:rFonts w:eastAsia="楷体_GB2312"/>
                <w:sz w:val="18"/>
              </w:rPr>
            </w:pPr>
          </w:p>
        </w:tc>
        <w:tc>
          <w:tcPr>
            <w:tcW w:w="1701" w:type="dxa"/>
            <w:tcBorders>
              <w:top w:val="single" w:color="auto" w:sz="4" w:space="0"/>
              <w:left w:val="single" w:color="auto" w:sz="4" w:space="0"/>
              <w:bottom w:val="single" w:color="auto" w:sz="4" w:space="0"/>
              <w:right w:val="single" w:color="auto" w:sz="4" w:space="0"/>
            </w:tcBorders>
          </w:tcPr>
          <w:p w14:paraId="5D6E3C4A">
            <w:pPr>
              <w:jc w:val="center"/>
              <w:rPr>
                <w:rFonts w:eastAsia="楷体_GB2312"/>
                <w:sz w:val="18"/>
              </w:rPr>
            </w:pPr>
          </w:p>
        </w:tc>
        <w:tc>
          <w:tcPr>
            <w:tcW w:w="2268" w:type="dxa"/>
            <w:tcBorders>
              <w:top w:val="single" w:color="auto" w:sz="4" w:space="0"/>
              <w:left w:val="single" w:color="auto" w:sz="4" w:space="0"/>
              <w:bottom w:val="single" w:color="auto" w:sz="4" w:space="0"/>
            </w:tcBorders>
          </w:tcPr>
          <w:p w14:paraId="690BC7CF">
            <w:pPr>
              <w:jc w:val="center"/>
              <w:rPr>
                <w:rFonts w:eastAsia="楷体_GB2312"/>
                <w:sz w:val="18"/>
              </w:rPr>
            </w:pPr>
          </w:p>
        </w:tc>
      </w:tr>
      <w:tr w14:paraId="176ADD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vAlign w:val="center"/>
          </w:tcPr>
          <w:p w14:paraId="261C86F3">
            <w:pPr>
              <w:jc w:val="center"/>
              <w:rPr>
                <w:rFonts w:eastAsia="楷体_GB2312"/>
                <w:sz w:val="18"/>
              </w:rPr>
            </w:pPr>
            <w:r>
              <w:rPr>
                <w:rFonts w:eastAsia="楷体_GB2312"/>
                <w:sz w:val="18"/>
              </w:rPr>
              <w:t>贷款最长到期期限</w:t>
            </w:r>
          </w:p>
        </w:tc>
        <w:tc>
          <w:tcPr>
            <w:tcW w:w="1672" w:type="dxa"/>
            <w:tcBorders>
              <w:top w:val="single" w:color="auto" w:sz="4" w:space="0"/>
              <w:left w:val="single" w:color="auto" w:sz="4" w:space="0"/>
              <w:bottom w:val="single" w:color="auto" w:sz="4" w:space="0"/>
              <w:right w:val="single" w:color="auto" w:sz="4" w:space="0"/>
            </w:tcBorders>
          </w:tcPr>
          <w:p w14:paraId="2F71D139">
            <w:pPr>
              <w:jc w:val="center"/>
              <w:rPr>
                <w:rFonts w:eastAsia="楷体_GB2312"/>
                <w:sz w:val="18"/>
              </w:rPr>
            </w:pPr>
          </w:p>
        </w:tc>
        <w:tc>
          <w:tcPr>
            <w:tcW w:w="1701" w:type="dxa"/>
            <w:tcBorders>
              <w:top w:val="single" w:color="auto" w:sz="4" w:space="0"/>
              <w:left w:val="single" w:color="auto" w:sz="4" w:space="0"/>
              <w:bottom w:val="single" w:color="auto" w:sz="4" w:space="0"/>
              <w:right w:val="single" w:color="auto" w:sz="4" w:space="0"/>
            </w:tcBorders>
          </w:tcPr>
          <w:p w14:paraId="3C745358">
            <w:pPr>
              <w:jc w:val="center"/>
              <w:rPr>
                <w:rFonts w:eastAsia="楷体_GB2312"/>
                <w:sz w:val="18"/>
              </w:rPr>
            </w:pPr>
          </w:p>
        </w:tc>
        <w:tc>
          <w:tcPr>
            <w:tcW w:w="2268" w:type="dxa"/>
            <w:tcBorders>
              <w:top w:val="single" w:color="auto" w:sz="4" w:space="0"/>
              <w:left w:val="single" w:color="auto" w:sz="4" w:space="0"/>
              <w:bottom w:val="single" w:color="auto" w:sz="4" w:space="0"/>
            </w:tcBorders>
          </w:tcPr>
          <w:p w14:paraId="55AE366D">
            <w:pPr>
              <w:jc w:val="center"/>
              <w:rPr>
                <w:rFonts w:eastAsia="楷体_GB2312"/>
                <w:sz w:val="18"/>
              </w:rPr>
            </w:pPr>
          </w:p>
        </w:tc>
      </w:tr>
      <w:tr w14:paraId="5E6691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vAlign w:val="center"/>
          </w:tcPr>
          <w:p w14:paraId="79B3B833">
            <w:pPr>
              <w:jc w:val="center"/>
              <w:rPr>
                <w:rFonts w:eastAsia="楷体_GB2312"/>
                <w:sz w:val="18"/>
              </w:rPr>
            </w:pPr>
            <w:r>
              <w:rPr>
                <w:rFonts w:eastAsia="楷体_GB2312"/>
                <w:sz w:val="18"/>
              </w:rPr>
              <w:t>贷款最短到期期限</w:t>
            </w:r>
          </w:p>
        </w:tc>
        <w:tc>
          <w:tcPr>
            <w:tcW w:w="1672" w:type="dxa"/>
            <w:tcBorders>
              <w:top w:val="single" w:color="auto" w:sz="4" w:space="0"/>
              <w:left w:val="single" w:color="auto" w:sz="4" w:space="0"/>
              <w:bottom w:val="single" w:color="auto" w:sz="4" w:space="0"/>
              <w:right w:val="single" w:color="auto" w:sz="4" w:space="0"/>
            </w:tcBorders>
          </w:tcPr>
          <w:p w14:paraId="7EAE66D9">
            <w:pPr>
              <w:jc w:val="center"/>
              <w:rPr>
                <w:rFonts w:eastAsia="楷体_GB2312"/>
                <w:sz w:val="18"/>
              </w:rPr>
            </w:pPr>
          </w:p>
        </w:tc>
        <w:tc>
          <w:tcPr>
            <w:tcW w:w="1701" w:type="dxa"/>
            <w:tcBorders>
              <w:top w:val="single" w:color="auto" w:sz="4" w:space="0"/>
              <w:left w:val="single" w:color="auto" w:sz="4" w:space="0"/>
              <w:bottom w:val="single" w:color="auto" w:sz="4" w:space="0"/>
              <w:right w:val="single" w:color="auto" w:sz="4" w:space="0"/>
            </w:tcBorders>
          </w:tcPr>
          <w:p w14:paraId="03AC8973">
            <w:pPr>
              <w:jc w:val="center"/>
              <w:rPr>
                <w:rFonts w:eastAsia="楷体_GB2312"/>
                <w:sz w:val="18"/>
              </w:rPr>
            </w:pPr>
          </w:p>
        </w:tc>
        <w:tc>
          <w:tcPr>
            <w:tcW w:w="2268" w:type="dxa"/>
            <w:tcBorders>
              <w:top w:val="single" w:color="auto" w:sz="4" w:space="0"/>
              <w:left w:val="single" w:color="auto" w:sz="4" w:space="0"/>
              <w:bottom w:val="single" w:color="auto" w:sz="4" w:space="0"/>
            </w:tcBorders>
          </w:tcPr>
          <w:p w14:paraId="0D21A293">
            <w:pPr>
              <w:jc w:val="center"/>
              <w:rPr>
                <w:rFonts w:eastAsia="楷体_GB2312"/>
                <w:sz w:val="18"/>
              </w:rPr>
            </w:pPr>
          </w:p>
        </w:tc>
      </w:tr>
      <w:tr w14:paraId="0CB813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3" w:type="dxa"/>
            <w:gridSpan w:val="4"/>
            <w:tcBorders>
              <w:top w:val="single" w:color="auto" w:sz="4" w:space="0"/>
              <w:bottom w:val="single" w:color="auto" w:sz="4" w:space="0"/>
            </w:tcBorders>
          </w:tcPr>
          <w:p w14:paraId="1FF472B7">
            <w:pPr>
              <w:rPr>
                <w:rFonts w:eastAsia="楷体_GB2312"/>
                <w:sz w:val="18"/>
                <w:szCs w:val="18"/>
                <w:lang w:eastAsia="zh-CN"/>
              </w:rPr>
            </w:pPr>
          </w:p>
          <w:p w14:paraId="7FE19903">
            <w:pPr>
              <w:rPr>
                <w:rFonts w:eastAsia="楷体_GB2312"/>
                <w:sz w:val="18"/>
                <w:szCs w:val="18"/>
                <w:lang w:eastAsia="zh-CN"/>
              </w:rPr>
            </w:pPr>
            <w:r>
              <w:rPr>
                <w:rFonts w:eastAsia="楷体_GB2312"/>
                <w:b/>
                <w:lang w:eastAsia="zh-CN"/>
              </w:rPr>
              <w:t>（三）入池资产利率特征</w:t>
            </w:r>
          </w:p>
        </w:tc>
      </w:tr>
      <w:tr w14:paraId="7B2547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0CD7E357">
            <w:pPr>
              <w:rPr>
                <w:rFonts w:eastAsia="楷体_GB2312"/>
                <w:lang w:eastAsia="zh-CN"/>
              </w:rPr>
            </w:pPr>
          </w:p>
        </w:tc>
        <w:tc>
          <w:tcPr>
            <w:tcW w:w="1672" w:type="dxa"/>
            <w:tcBorders>
              <w:top w:val="single" w:color="auto" w:sz="4" w:space="0"/>
              <w:left w:val="single" w:color="auto" w:sz="4" w:space="0"/>
              <w:bottom w:val="single" w:color="auto" w:sz="4" w:space="0"/>
              <w:right w:val="single" w:color="auto" w:sz="4" w:space="0"/>
            </w:tcBorders>
          </w:tcPr>
          <w:p w14:paraId="51392E03">
            <w:pPr>
              <w:jc w:val="center"/>
              <w:rPr>
                <w:rFonts w:eastAsia="楷体_GB2312"/>
                <w:b/>
              </w:rPr>
            </w:pPr>
            <w:r>
              <w:rPr>
                <w:rFonts w:eastAsia="楷体_GB2312"/>
                <w:b/>
              </w:rPr>
              <w:t>初始起算日</w:t>
            </w:r>
          </w:p>
        </w:tc>
        <w:tc>
          <w:tcPr>
            <w:tcW w:w="1701" w:type="dxa"/>
            <w:tcBorders>
              <w:top w:val="single" w:color="auto" w:sz="4" w:space="0"/>
              <w:left w:val="single" w:color="auto" w:sz="4" w:space="0"/>
              <w:bottom w:val="single" w:color="auto" w:sz="4" w:space="0"/>
              <w:right w:val="single" w:color="auto" w:sz="4" w:space="0"/>
            </w:tcBorders>
          </w:tcPr>
          <w:p w14:paraId="19A705C7">
            <w:pPr>
              <w:rPr>
                <w:rFonts w:eastAsia="楷体_GB2312"/>
                <w:b/>
              </w:rPr>
            </w:pPr>
            <w:r>
              <w:rPr>
                <w:rFonts w:eastAsia="楷体_GB2312"/>
                <w:b/>
              </w:rPr>
              <w:t>本报告期末</w:t>
            </w:r>
          </w:p>
        </w:tc>
        <w:tc>
          <w:tcPr>
            <w:tcW w:w="2268" w:type="dxa"/>
            <w:tcBorders>
              <w:top w:val="single" w:color="auto" w:sz="4" w:space="0"/>
              <w:left w:val="single" w:color="auto" w:sz="4" w:space="0"/>
              <w:bottom w:val="single" w:color="auto" w:sz="4" w:space="0"/>
            </w:tcBorders>
          </w:tcPr>
          <w:p w14:paraId="37957138">
            <w:pPr>
              <w:rPr>
                <w:rFonts w:eastAsia="楷体_GB2312"/>
                <w:b/>
              </w:rPr>
            </w:pPr>
            <w:r>
              <w:rPr>
                <w:rFonts w:eastAsia="楷体_GB2312"/>
                <w:b/>
              </w:rPr>
              <w:t>上一报告期末</w:t>
            </w:r>
          </w:p>
        </w:tc>
      </w:tr>
      <w:tr w14:paraId="3E7728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603821F4">
            <w:pPr>
              <w:jc w:val="center"/>
              <w:rPr>
                <w:rFonts w:eastAsia="楷体_GB2312"/>
                <w:sz w:val="18"/>
              </w:rPr>
            </w:pPr>
            <w:r>
              <w:rPr>
                <w:rFonts w:eastAsia="楷体_GB2312"/>
                <w:sz w:val="18"/>
              </w:rPr>
              <w:t>加权平均贷款利率</w:t>
            </w:r>
          </w:p>
        </w:tc>
        <w:tc>
          <w:tcPr>
            <w:tcW w:w="1672" w:type="dxa"/>
            <w:tcBorders>
              <w:top w:val="single" w:color="auto" w:sz="4" w:space="0"/>
              <w:left w:val="single" w:color="auto" w:sz="4" w:space="0"/>
              <w:bottom w:val="single" w:color="auto" w:sz="4" w:space="0"/>
              <w:right w:val="single" w:color="auto" w:sz="4" w:space="0"/>
            </w:tcBorders>
          </w:tcPr>
          <w:p w14:paraId="647B6D2C">
            <w:pPr>
              <w:jc w:val="center"/>
              <w:rPr>
                <w:rFonts w:eastAsia="楷体_GB2312"/>
                <w:sz w:val="18"/>
              </w:rPr>
            </w:pPr>
          </w:p>
        </w:tc>
        <w:tc>
          <w:tcPr>
            <w:tcW w:w="1701" w:type="dxa"/>
            <w:tcBorders>
              <w:top w:val="single" w:color="auto" w:sz="4" w:space="0"/>
              <w:left w:val="single" w:color="auto" w:sz="4" w:space="0"/>
              <w:bottom w:val="single" w:color="auto" w:sz="4" w:space="0"/>
              <w:right w:val="single" w:color="auto" w:sz="4" w:space="0"/>
            </w:tcBorders>
          </w:tcPr>
          <w:p w14:paraId="6E182186">
            <w:pPr>
              <w:jc w:val="center"/>
              <w:rPr>
                <w:rFonts w:eastAsia="楷体_GB2312"/>
                <w:sz w:val="18"/>
              </w:rPr>
            </w:pPr>
          </w:p>
        </w:tc>
        <w:tc>
          <w:tcPr>
            <w:tcW w:w="2268" w:type="dxa"/>
            <w:tcBorders>
              <w:top w:val="single" w:color="auto" w:sz="4" w:space="0"/>
              <w:left w:val="single" w:color="auto" w:sz="4" w:space="0"/>
              <w:bottom w:val="single" w:color="auto" w:sz="4" w:space="0"/>
            </w:tcBorders>
          </w:tcPr>
          <w:p w14:paraId="2ECB0B24">
            <w:pPr>
              <w:jc w:val="center"/>
              <w:rPr>
                <w:rFonts w:eastAsia="楷体_GB2312"/>
                <w:sz w:val="18"/>
              </w:rPr>
            </w:pPr>
          </w:p>
        </w:tc>
      </w:tr>
      <w:tr w14:paraId="0FFA91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7C591707">
            <w:pPr>
              <w:jc w:val="center"/>
              <w:rPr>
                <w:rFonts w:eastAsia="楷体_GB2312"/>
                <w:sz w:val="18"/>
              </w:rPr>
            </w:pPr>
            <w:r>
              <w:rPr>
                <w:rFonts w:eastAsia="楷体_GB2312"/>
                <w:sz w:val="18"/>
              </w:rPr>
              <w:t>最高贷款利率</w:t>
            </w:r>
          </w:p>
        </w:tc>
        <w:tc>
          <w:tcPr>
            <w:tcW w:w="1672" w:type="dxa"/>
            <w:tcBorders>
              <w:top w:val="single" w:color="auto" w:sz="4" w:space="0"/>
              <w:left w:val="single" w:color="auto" w:sz="4" w:space="0"/>
              <w:bottom w:val="single" w:color="auto" w:sz="4" w:space="0"/>
              <w:right w:val="single" w:color="auto" w:sz="4" w:space="0"/>
            </w:tcBorders>
          </w:tcPr>
          <w:p w14:paraId="00D55CA9">
            <w:pPr>
              <w:jc w:val="center"/>
              <w:rPr>
                <w:rFonts w:eastAsia="楷体_GB2312"/>
                <w:sz w:val="18"/>
              </w:rPr>
            </w:pPr>
          </w:p>
        </w:tc>
        <w:tc>
          <w:tcPr>
            <w:tcW w:w="1701" w:type="dxa"/>
            <w:tcBorders>
              <w:top w:val="single" w:color="auto" w:sz="4" w:space="0"/>
              <w:left w:val="single" w:color="auto" w:sz="4" w:space="0"/>
              <w:bottom w:val="single" w:color="auto" w:sz="4" w:space="0"/>
              <w:right w:val="single" w:color="auto" w:sz="4" w:space="0"/>
            </w:tcBorders>
          </w:tcPr>
          <w:p w14:paraId="14506F47">
            <w:pPr>
              <w:jc w:val="center"/>
              <w:rPr>
                <w:rFonts w:eastAsia="楷体_GB2312"/>
                <w:sz w:val="18"/>
              </w:rPr>
            </w:pPr>
          </w:p>
        </w:tc>
        <w:tc>
          <w:tcPr>
            <w:tcW w:w="2268" w:type="dxa"/>
            <w:tcBorders>
              <w:top w:val="single" w:color="auto" w:sz="4" w:space="0"/>
              <w:left w:val="single" w:color="auto" w:sz="4" w:space="0"/>
              <w:bottom w:val="single" w:color="auto" w:sz="4" w:space="0"/>
            </w:tcBorders>
          </w:tcPr>
          <w:p w14:paraId="6CC9ACE4">
            <w:pPr>
              <w:jc w:val="center"/>
              <w:rPr>
                <w:rFonts w:eastAsia="楷体_GB2312"/>
                <w:sz w:val="18"/>
              </w:rPr>
            </w:pPr>
          </w:p>
        </w:tc>
      </w:tr>
      <w:tr w14:paraId="5ECE5F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1AB4E47C">
            <w:pPr>
              <w:jc w:val="center"/>
              <w:rPr>
                <w:rFonts w:eastAsia="楷体_GB2312"/>
                <w:sz w:val="18"/>
              </w:rPr>
            </w:pPr>
            <w:r>
              <w:rPr>
                <w:rFonts w:eastAsia="楷体_GB2312"/>
                <w:sz w:val="18"/>
              </w:rPr>
              <w:t>最低贷款利率</w:t>
            </w:r>
          </w:p>
        </w:tc>
        <w:tc>
          <w:tcPr>
            <w:tcW w:w="1672" w:type="dxa"/>
            <w:tcBorders>
              <w:top w:val="single" w:color="auto" w:sz="4" w:space="0"/>
              <w:left w:val="single" w:color="auto" w:sz="4" w:space="0"/>
              <w:bottom w:val="single" w:color="auto" w:sz="4" w:space="0"/>
              <w:right w:val="single" w:color="auto" w:sz="4" w:space="0"/>
            </w:tcBorders>
          </w:tcPr>
          <w:p w14:paraId="28AE3C12">
            <w:pPr>
              <w:jc w:val="center"/>
              <w:rPr>
                <w:rFonts w:eastAsia="楷体_GB2312"/>
                <w:sz w:val="18"/>
              </w:rPr>
            </w:pPr>
          </w:p>
        </w:tc>
        <w:tc>
          <w:tcPr>
            <w:tcW w:w="1701" w:type="dxa"/>
            <w:tcBorders>
              <w:top w:val="single" w:color="auto" w:sz="4" w:space="0"/>
              <w:left w:val="single" w:color="auto" w:sz="4" w:space="0"/>
              <w:bottom w:val="single" w:color="auto" w:sz="4" w:space="0"/>
              <w:right w:val="single" w:color="auto" w:sz="4" w:space="0"/>
            </w:tcBorders>
          </w:tcPr>
          <w:p w14:paraId="3F433BE8">
            <w:pPr>
              <w:jc w:val="center"/>
              <w:rPr>
                <w:rFonts w:eastAsia="楷体_GB2312"/>
                <w:sz w:val="18"/>
              </w:rPr>
            </w:pPr>
          </w:p>
        </w:tc>
        <w:tc>
          <w:tcPr>
            <w:tcW w:w="2268" w:type="dxa"/>
            <w:tcBorders>
              <w:top w:val="single" w:color="auto" w:sz="4" w:space="0"/>
              <w:left w:val="single" w:color="auto" w:sz="4" w:space="0"/>
              <w:bottom w:val="single" w:color="auto" w:sz="4" w:space="0"/>
            </w:tcBorders>
          </w:tcPr>
          <w:p w14:paraId="115E040F">
            <w:pPr>
              <w:jc w:val="center"/>
              <w:rPr>
                <w:rFonts w:eastAsia="楷体_GB2312"/>
                <w:sz w:val="18"/>
              </w:rPr>
            </w:pPr>
          </w:p>
        </w:tc>
      </w:tr>
      <w:tr w14:paraId="1EBEB2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3" w:type="dxa"/>
            <w:gridSpan w:val="4"/>
            <w:tcBorders>
              <w:top w:val="single" w:color="auto" w:sz="4" w:space="0"/>
              <w:bottom w:val="single" w:color="auto" w:sz="4" w:space="0"/>
            </w:tcBorders>
          </w:tcPr>
          <w:p w14:paraId="2E35B072">
            <w:pPr>
              <w:rPr>
                <w:rFonts w:eastAsia="楷体_GB2312"/>
                <w:b/>
                <w:bCs/>
                <w:sz w:val="18"/>
                <w:lang w:eastAsia="zh-CN"/>
              </w:rPr>
            </w:pPr>
          </w:p>
          <w:p w14:paraId="5CBECCAB">
            <w:pPr>
              <w:rPr>
                <w:rFonts w:eastAsia="楷体_GB2312"/>
                <w:b/>
                <w:sz w:val="18"/>
                <w:lang w:eastAsia="zh-CN"/>
              </w:rPr>
            </w:pPr>
            <w:r>
              <w:rPr>
                <w:rFonts w:eastAsia="楷体_GB2312"/>
                <w:b/>
                <w:lang w:eastAsia="zh-CN"/>
              </w:rPr>
              <w:t>（四）入池资产借款人特征</w:t>
            </w:r>
          </w:p>
        </w:tc>
      </w:tr>
      <w:tr w14:paraId="5C867F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14CD3F07">
            <w:pPr>
              <w:rPr>
                <w:rFonts w:eastAsia="楷体_GB2312"/>
                <w:sz w:val="18"/>
                <w:lang w:eastAsia="zh-CN"/>
              </w:rPr>
            </w:pPr>
          </w:p>
        </w:tc>
        <w:tc>
          <w:tcPr>
            <w:tcW w:w="1672" w:type="dxa"/>
            <w:tcBorders>
              <w:top w:val="single" w:color="auto" w:sz="4" w:space="0"/>
              <w:left w:val="single" w:color="auto" w:sz="4" w:space="0"/>
              <w:bottom w:val="single" w:color="auto" w:sz="4" w:space="0"/>
              <w:right w:val="single" w:color="auto" w:sz="4" w:space="0"/>
            </w:tcBorders>
          </w:tcPr>
          <w:p w14:paraId="20F7AD96">
            <w:pPr>
              <w:jc w:val="center"/>
              <w:rPr>
                <w:rFonts w:eastAsia="楷体_GB2312"/>
                <w:b/>
              </w:rPr>
            </w:pPr>
            <w:r>
              <w:rPr>
                <w:rFonts w:eastAsia="楷体_GB2312"/>
                <w:b/>
              </w:rPr>
              <w:t>初始起算日</w:t>
            </w:r>
          </w:p>
        </w:tc>
        <w:tc>
          <w:tcPr>
            <w:tcW w:w="1701" w:type="dxa"/>
            <w:tcBorders>
              <w:top w:val="single" w:color="auto" w:sz="4" w:space="0"/>
              <w:left w:val="single" w:color="auto" w:sz="4" w:space="0"/>
              <w:bottom w:val="single" w:color="auto" w:sz="4" w:space="0"/>
              <w:right w:val="single" w:color="auto" w:sz="4" w:space="0"/>
            </w:tcBorders>
          </w:tcPr>
          <w:p w14:paraId="58CB1641">
            <w:pPr>
              <w:jc w:val="center"/>
              <w:rPr>
                <w:rFonts w:eastAsia="楷体_GB2312"/>
                <w:b/>
              </w:rPr>
            </w:pPr>
            <w:r>
              <w:rPr>
                <w:rFonts w:eastAsia="楷体_GB2312"/>
                <w:b/>
              </w:rPr>
              <w:t>本报告期末</w:t>
            </w:r>
          </w:p>
        </w:tc>
        <w:tc>
          <w:tcPr>
            <w:tcW w:w="2268" w:type="dxa"/>
            <w:tcBorders>
              <w:top w:val="single" w:color="auto" w:sz="4" w:space="0"/>
              <w:left w:val="single" w:color="auto" w:sz="4" w:space="0"/>
              <w:bottom w:val="single" w:color="auto" w:sz="4" w:space="0"/>
            </w:tcBorders>
          </w:tcPr>
          <w:p w14:paraId="02218F63">
            <w:pPr>
              <w:jc w:val="center"/>
              <w:rPr>
                <w:rFonts w:eastAsia="楷体_GB2312"/>
                <w:b/>
              </w:rPr>
            </w:pPr>
            <w:r>
              <w:rPr>
                <w:rFonts w:eastAsia="楷体_GB2312"/>
                <w:b/>
              </w:rPr>
              <w:t>上一报告期末</w:t>
            </w:r>
          </w:p>
        </w:tc>
      </w:tr>
      <w:tr w14:paraId="42C042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vAlign w:val="center"/>
          </w:tcPr>
          <w:p w14:paraId="2ECE07D0">
            <w:pPr>
              <w:jc w:val="center"/>
              <w:rPr>
                <w:rFonts w:eastAsia="楷体_GB2312"/>
                <w:sz w:val="18"/>
              </w:rPr>
            </w:pPr>
            <w:r>
              <w:rPr>
                <w:rFonts w:eastAsia="楷体_GB2312"/>
                <w:sz w:val="18"/>
              </w:rPr>
              <w:t>加权平均年龄</w:t>
            </w:r>
          </w:p>
        </w:tc>
        <w:tc>
          <w:tcPr>
            <w:tcW w:w="1672" w:type="dxa"/>
            <w:tcBorders>
              <w:top w:val="single" w:color="auto" w:sz="4" w:space="0"/>
              <w:left w:val="single" w:color="auto" w:sz="4" w:space="0"/>
              <w:bottom w:val="single" w:color="auto" w:sz="4" w:space="0"/>
              <w:right w:val="single" w:color="auto" w:sz="4" w:space="0"/>
            </w:tcBorders>
          </w:tcPr>
          <w:p w14:paraId="310E7D72">
            <w:pPr>
              <w:jc w:val="center"/>
              <w:rPr>
                <w:rFonts w:eastAsia="楷体_GB2312"/>
                <w:sz w:val="18"/>
              </w:rPr>
            </w:pPr>
          </w:p>
        </w:tc>
        <w:tc>
          <w:tcPr>
            <w:tcW w:w="1701" w:type="dxa"/>
            <w:tcBorders>
              <w:top w:val="single" w:color="auto" w:sz="4" w:space="0"/>
              <w:left w:val="single" w:color="auto" w:sz="4" w:space="0"/>
              <w:bottom w:val="single" w:color="auto" w:sz="4" w:space="0"/>
              <w:right w:val="single" w:color="auto" w:sz="4" w:space="0"/>
            </w:tcBorders>
          </w:tcPr>
          <w:p w14:paraId="13EF51D0">
            <w:pPr>
              <w:jc w:val="center"/>
              <w:rPr>
                <w:rFonts w:eastAsia="楷体_GB2312"/>
                <w:sz w:val="18"/>
              </w:rPr>
            </w:pPr>
          </w:p>
        </w:tc>
        <w:tc>
          <w:tcPr>
            <w:tcW w:w="2268" w:type="dxa"/>
            <w:tcBorders>
              <w:top w:val="single" w:color="auto" w:sz="4" w:space="0"/>
              <w:left w:val="single" w:color="auto" w:sz="4" w:space="0"/>
              <w:bottom w:val="single" w:color="auto" w:sz="4" w:space="0"/>
            </w:tcBorders>
          </w:tcPr>
          <w:p w14:paraId="5F225268">
            <w:pPr>
              <w:jc w:val="center"/>
              <w:rPr>
                <w:rFonts w:eastAsia="楷体_GB2312"/>
                <w:sz w:val="18"/>
              </w:rPr>
            </w:pPr>
          </w:p>
        </w:tc>
      </w:tr>
      <w:tr w14:paraId="2B0A62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vAlign w:val="center"/>
          </w:tcPr>
          <w:p w14:paraId="64BCCB6E">
            <w:pPr>
              <w:jc w:val="center"/>
              <w:rPr>
                <w:rFonts w:eastAsia="楷体_GB2312"/>
                <w:sz w:val="18"/>
              </w:rPr>
            </w:pPr>
            <w:r>
              <w:rPr>
                <w:rFonts w:eastAsia="楷体_GB2312"/>
                <w:sz w:val="18"/>
              </w:rPr>
              <w:t>【】-【】岁借款人贷款的金额占比</w:t>
            </w:r>
          </w:p>
        </w:tc>
        <w:tc>
          <w:tcPr>
            <w:tcW w:w="1672" w:type="dxa"/>
            <w:tcBorders>
              <w:top w:val="single" w:color="auto" w:sz="4" w:space="0"/>
              <w:left w:val="single" w:color="auto" w:sz="4" w:space="0"/>
              <w:bottom w:val="single" w:color="auto" w:sz="4" w:space="0"/>
              <w:right w:val="single" w:color="auto" w:sz="4" w:space="0"/>
            </w:tcBorders>
          </w:tcPr>
          <w:p w14:paraId="39D52908">
            <w:pPr>
              <w:jc w:val="center"/>
              <w:rPr>
                <w:rFonts w:eastAsia="楷体_GB2312"/>
                <w:sz w:val="18"/>
              </w:rPr>
            </w:pPr>
          </w:p>
        </w:tc>
        <w:tc>
          <w:tcPr>
            <w:tcW w:w="1701" w:type="dxa"/>
            <w:tcBorders>
              <w:top w:val="single" w:color="auto" w:sz="4" w:space="0"/>
              <w:left w:val="single" w:color="auto" w:sz="4" w:space="0"/>
              <w:bottom w:val="single" w:color="auto" w:sz="4" w:space="0"/>
              <w:right w:val="single" w:color="auto" w:sz="4" w:space="0"/>
            </w:tcBorders>
          </w:tcPr>
          <w:p w14:paraId="4193EB3A">
            <w:pPr>
              <w:jc w:val="center"/>
              <w:rPr>
                <w:rFonts w:eastAsia="楷体_GB2312"/>
                <w:sz w:val="18"/>
              </w:rPr>
            </w:pPr>
          </w:p>
        </w:tc>
        <w:tc>
          <w:tcPr>
            <w:tcW w:w="2268" w:type="dxa"/>
            <w:tcBorders>
              <w:top w:val="single" w:color="auto" w:sz="4" w:space="0"/>
              <w:left w:val="single" w:color="auto" w:sz="4" w:space="0"/>
              <w:bottom w:val="single" w:color="auto" w:sz="4" w:space="0"/>
            </w:tcBorders>
          </w:tcPr>
          <w:p w14:paraId="62B3E94F">
            <w:pPr>
              <w:jc w:val="center"/>
              <w:rPr>
                <w:rFonts w:eastAsia="楷体_GB2312"/>
                <w:sz w:val="18"/>
              </w:rPr>
            </w:pPr>
          </w:p>
        </w:tc>
      </w:tr>
      <w:tr w14:paraId="56DC0E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vAlign w:val="center"/>
          </w:tcPr>
          <w:p w14:paraId="486BEAB1">
            <w:pPr>
              <w:jc w:val="center"/>
              <w:rPr>
                <w:rFonts w:eastAsia="楷体_GB2312"/>
                <w:sz w:val="18"/>
              </w:rPr>
            </w:pPr>
            <w:r>
              <w:rPr>
                <w:rFonts w:eastAsia="楷体_GB2312"/>
                <w:sz w:val="18"/>
              </w:rPr>
              <w:t>借款人加权平均年收入</w:t>
            </w:r>
          </w:p>
        </w:tc>
        <w:tc>
          <w:tcPr>
            <w:tcW w:w="1672" w:type="dxa"/>
            <w:tcBorders>
              <w:top w:val="single" w:color="auto" w:sz="4" w:space="0"/>
              <w:left w:val="single" w:color="auto" w:sz="4" w:space="0"/>
              <w:bottom w:val="single" w:color="auto" w:sz="4" w:space="0"/>
              <w:right w:val="single" w:color="auto" w:sz="4" w:space="0"/>
            </w:tcBorders>
          </w:tcPr>
          <w:p w14:paraId="6F175387">
            <w:pPr>
              <w:jc w:val="center"/>
              <w:rPr>
                <w:rFonts w:eastAsia="楷体_GB2312"/>
                <w:sz w:val="18"/>
              </w:rPr>
            </w:pPr>
          </w:p>
        </w:tc>
        <w:tc>
          <w:tcPr>
            <w:tcW w:w="1701" w:type="dxa"/>
            <w:tcBorders>
              <w:top w:val="single" w:color="auto" w:sz="4" w:space="0"/>
              <w:left w:val="single" w:color="auto" w:sz="4" w:space="0"/>
              <w:bottom w:val="single" w:color="auto" w:sz="4" w:space="0"/>
              <w:right w:val="single" w:color="auto" w:sz="4" w:space="0"/>
            </w:tcBorders>
          </w:tcPr>
          <w:p w14:paraId="6CEC49F7">
            <w:pPr>
              <w:jc w:val="center"/>
              <w:rPr>
                <w:rFonts w:eastAsia="楷体_GB2312"/>
                <w:sz w:val="18"/>
              </w:rPr>
            </w:pPr>
          </w:p>
        </w:tc>
        <w:tc>
          <w:tcPr>
            <w:tcW w:w="2268" w:type="dxa"/>
            <w:tcBorders>
              <w:top w:val="single" w:color="auto" w:sz="4" w:space="0"/>
              <w:left w:val="single" w:color="auto" w:sz="4" w:space="0"/>
              <w:bottom w:val="single" w:color="auto" w:sz="4" w:space="0"/>
            </w:tcBorders>
          </w:tcPr>
          <w:p w14:paraId="3FDE8689">
            <w:pPr>
              <w:jc w:val="center"/>
              <w:rPr>
                <w:rFonts w:eastAsia="楷体_GB2312"/>
                <w:sz w:val="18"/>
              </w:rPr>
            </w:pPr>
          </w:p>
        </w:tc>
      </w:tr>
      <w:tr w14:paraId="35C9D5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vAlign w:val="center"/>
          </w:tcPr>
          <w:p w14:paraId="532D26E5">
            <w:pPr>
              <w:jc w:val="center"/>
              <w:rPr>
                <w:rFonts w:eastAsia="楷体_GB2312"/>
                <w:sz w:val="18"/>
              </w:rPr>
            </w:pPr>
            <w:r>
              <w:rPr>
                <w:rFonts w:eastAsia="楷体_GB2312"/>
                <w:sz w:val="18"/>
              </w:rPr>
              <w:t>借款人加权平均收入债务比</w:t>
            </w:r>
          </w:p>
        </w:tc>
        <w:tc>
          <w:tcPr>
            <w:tcW w:w="1672" w:type="dxa"/>
            <w:tcBorders>
              <w:top w:val="single" w:color="auto" w:sz="4" w:space="0"/>
              <w:left w:val="single" w:color="auto" w:sz="4" w:space="0"/>
              <w:bottom w:val="single" w:color="auto" w:sz="4" w:space="0"/>
              <w:right w:val="single" w:color="auto" w:sz="4" w:space="0"/>
            </w:tcBorders>
          </w:tcPr>
          <w:p w14:paraId="063A03AD">
            <w:pPr>
              <w:jc w:val="center"/>
              <w:rPr>
                <w:rFonts w:eastAsia="楷体_GB2312"/>
                <w:sz w:val="18"/>
              </w:rPr>
            </w:pPr>
          </w:p>
        </w:tc>
        <w:tc>
          <w:tcPr>
            <w:tcW w:w="1701" w:type="dxa"/>
            <w:tcBorders>
              <w:top w:val="single" w:color="auto" w:sz="4" w:space="0"/>
              <w:left w:val="single" w:color="auto" w:sz="4" w:space="0"/>
              <w:bottom w:val="single" w:color="auto" w:sz="4" w:space="0"/>
              <w:right w:val="single" w:color="auto" w:sz="4" w:space="0"/>
            </w:tcBorders>
          </w:tcPr>
          <w:p w14:paraId="7AABA736">
            <w:pPr>
              <w:jc w:val="center"/>
              <w:rPr>
                <w:rFonts w:eastAsia="楷体_GB2312"/>
                <w:sz w:val="18"/>
              </w:rPr>
            </w:pPr>
          </w:p>
        </w:tc>
        <w:tc>
          <w:tcPr>
            <w:tcW w:w="2268" w:type="dxa"/>
            <w:tcBorders>
              <w:top w:val="single" w:color="auto" w:sz="4" w:space="0"/>
              <w:left w:val="single" w:color="auto" w:sz="4" w:space="0"/>
              <w:bottom w:val="single" w:color="auto" w:sz="4" w:space="0"/>
            </w:tcBorders>
          </w:tcPr>
          <w:p w14:paraId="263AB8A2">
            <w:pPr>
              <w:jc w:val="center"/>
              <w:rPr>
                <w:rFonts w:eastAsia="楷体_GB2312"/>
                <w:sz w:val="18"/>
              </w:rPr>
            </w:pPr>
          </w:p>
        </w:tc>
      </w:tr>
      <w:tr w14:paraId="6BC9C0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3" w:type="dxa"/>
            <w:gridSpan w:val="4"/>
            <w:tcBorders>
              <w:top w:val="single" w:color="auto" w:sz="4" w:space="0"/>
              <w:bottom w:val="single" w:color="auto" w:sz="4" w:space="0"/>
            </w:tcBorders>
            <w:vAlign w:val="center"/>
          </w:tcPr>
          <w:p w14:paraId="1B152C80">
            <w:pPr>
              <w:rPr>
                <w:rFonts w:eastAsia="楷体_GB2312"/>
                <w:b/>
                <w:bCs/>
                <w:sz w:val="18"/>
                <w:lang w:eastAsia="zh-CN"/>
              </w:rPr>
            </w:pPr>
          </w:p>
          <w:p w14:paraId="1658E805">
            <w:pPr>
              <w:rPr>
                <w:rFonts w:eastAsia="楷体_GB2312"/>
                <w:sz w:val="18"/>
                <w:szCs w:val="18"/>
                <w:lang w:eastAsia="zh-CN"/>
              </w:rPr>
            </w:pPr>
            <w:r>
              <w:rPr>
                <w:rFonts w:eastAsia="楷体_GB2312"/>
                <w:b/>
                <w:lang w:eastAsia="zh-CN"/>
              </w:rPr>
              <w:t>（五）入池资产贷款用途</w:t>
            </w:r>
          </w:p>
        </w:tc>
      </w:tr>
      <w:tr w14:paraId="1A54DC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3" w:type="dxa"/>
            <w:gridSpan w:val="4"/>
            <w:tcBorders>
              <w:top w:val="single" w:color="auto" w:sz="4" w:space="0"/>
              <w:bottom w:val="single" w:color="auto" w:sz="4" w:space="0"/>
            </w:tcBorders>
            <w:vAlign w:val="center"/>
          </w:tcPr>
          <w:p w14:paraId="35DDD583">
            <w:pPr>
              <w:rPr>
                <w:rFonts w:eastAsia="楷体_GB2312"/>
                <w:sz w:val="18"/>
                <w:szCs w:val="18"/>
                <w:lang w:eastAsia="zh-CN"/>
              </w:rPr>
            </w:pPr>
            <w:r>
              <w:rPr>
                <w:rFonts w:eastAsia="楷体_GB2312"/>
                <w:sz w:val="18"/>
                <w:lang w:eastAsia="zh-CN"/>
              </w:rPr>
              <w:t>所有个人汽车贷款皆为借款人购车之目的。</w:t>
            </w:r>
          </w:p>
        </w:tc>
      </w:tr>
    </w:tbl>
    <w:p w14:paraId="44A4B91E">
      <w:pPr>
        <w:spacing w:line="360" w:lineRule="auto"/>
        <w:rPr>
          <w:rFonts w:eastAsia="楷体_GB2312"/>
          <w:lang w:eastAsia="zh-CN"/>
        </w:rPr>
      </w:pPr>
    </w:p>
    <w:p w14:paraId="7E5E7CCD">
      <w:pPr>
        <w:spacing w:line="360" w:lineRule="auto"/>
        <w:rPr>
          <w:rFonts w:eastAsia="楷体_GB2312"/>
          <w:lang w:eastAsia="zh-CN"/>
        </w:rPr>
      </w:pPr>
      <w:r>
        <w:rPr>
          <w:rFonts w:eastAsia="楷体_GB2312"/>
          <w:lang w:eastAsia="zh-CN"/>
        </w:rPr>
        <w:br w:type="page"/>
      </w:r>
    </w:p>
    <w:tbl>
      <w:tblPr>
        <w:tblStyle w:val="31"/>
        <w:tblW w:w="861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782"/>
        <w:gridCol w:w="919"/>
        <w:gridCol w:w="47"/>
        <w:gridCol w:w="881"/>
        <w:gridCol w:w="856"/>
        <w:gridCol w:w="852"/>
        <w:gridCol w:w="1134"/>
        <w:gridCol w:w="165"/>
        <w:gridCol w:w="975"/>
      </w:tblGrid>
      <w:tr w14:paraId="7229D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1" w:type="dxa"/>
            <w:gridSpan w:val="9"/>
            <w:tcBorders>
              <w:top w:val="single" w:color="auto" w:sz="4" w:space="0"/>
              <w:left w:val="single" w:color="auto" w:sz="4" w:space="0"/>
              <w:bottom w:val="single" w:color="auto" w:sz="4" w:space="0"/>
              <w:right w:val="single" w:color="auto" w:sz="4" w:space="0"/>
            </w:tcBorders>
          </w:tcPr>
          <w:p w14:paraId="09E6BA90">
            <w:pPr>
              <w:spacing w:line="360" w:lineRule="auto"/>
              <w:jc w:val="center"/>
              <w:rPr>
                <w:rFonts w:eastAsia="楷体_GB2312"/>
                <w:b/>
                <w:sz w:val="28"/>
                <w:lang w:eastAsia="zh-CN"/>
              </w:rPr>
            </w:pPr>
            <w:r>
              <w:rPr>
                <w:rFonts w:eastAsia="楷体_GB2312"/>
                <w:b/>
                <w:sz w:val="28"/>
                <w:lang w:eastAsia="zh-CN"/>
              </w:rPr>
              <w:t>【信托名称】</w:t>
            </w:r>
          </w:p>
          <w:p w14:paraId="738FE3FA">
            <w:pPr>
              <w:spacing w:line="360" w:lineRule="auto"/>
              <w:jc w:val="center"/>
              <w:rPr>
                <w:rFonts w:eastAsia="楷体_GB2312"/>
                <w:b/>
                <w:sz w:val="28"/>
                <w:lang w:eastAsia="zh-CN"/>
              </w:rPr>
            </w:pPr>
            <w:r>
              <w:rPr>
                <w:rFonts w:eastAsia="楷体_GB2312"/>
                <w:b/>
                <w:sz w:val="28"/>
                <w:lang w:eastAsia="zh-CN"/>
              </w:rPr>
              <w:t>受托机构月度/年度报告</w:t>
            </w:r>
          </w:p>
        </w:tc>
      </w:tr>
      <w:tr w14:paraId="39F78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1" w:type="dxa"/>
            <w:gridSpan w:val="9"/>
            <w:tcBorders>
              <w:left w:val="single" w:color="auto" w:sz="4" w:space="0"/>
              <w:bottom w:val="single" w:color="auto" w:sz="4" w:space="0"/>
              <w:right w:val="single" w:color="auto" w:sz="4" w:space="0"/>
            </w:tcBorders>
          </w:tcPr>
          <w:p w14:paraId="4AAEEFC1">
            <w:pPr>
              <w:rPr>
                <w:rFonts w:eastAsia="楷体_GB2312"/>
                <w:b/>
                <w:lang w:eastAsia="zh-CN"/>
              </w:rPr>
            </w:pPr>
            <w:r>
              <w:rPr>
                <w:rFonts w:eastAsia="楷体_GB2312"/>
                <w:b/>
                <w:lang w:eastAsia="zh-CN"/>
              </w:rPr>
              <w:t>五、基础资产存续期分布信息</w:t>
            </w:r>
          </w:p>
          <w:p w14:paraId="3430A7F0">
            <w:pPr>
              <w:rPr>
                <w:rFonts w:eastAsia="楷体_GB2312"/>
                <w:b/>
                <w:lang w:eastAsia="zh-CN"/>
              </w:rPr>
            </w:pPr>
            <w:r>
              <w:rPr>
                <w:rFonts w:eastAsia="楷体_GB2312"/>
                <w:b/>
                <w:lang w:eastAsia="zh-CN"/>
              </w:rPr>
              <w:t>（一）贷款分布</w:t>
            </w:r>
          </w:p>
          <w:p w14:paraId="49A78072">
            <w:pPr>
              <w:rPr>
                <w:rFonts w:eastAsia="楷体_GB2312"/>
                <w:b/>
                <w:sz w:val="28"/>
                <w:lang w:eastAsia="zh-CN"/>
              </w:rPr>
            </w:pPr>
            <w:r>
              <w:rPr>
                <w:rFonts w:eastAsia="楷体_GB2312"/>
                <w:b/>
                <w:lang w:eastAsia="zh-CN"/>
              </w:rPr>
              <w:t>1、未偿本金余额分布</w:t>
            </w:r>
          </w:p>
        </w:tc>
      </w:tr>
      <w:tr w14:paraId="5364DD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restart"/>
            <w:tcBorders>
              <w:top w:val="single" w:color="auto" w:sz="4" w:space="0"/>
              <w:right w:val="single" w:color="auto" w:sz="4" w:space="0"/>
            </w:tcBorders>
            <w:vAlign w:val="center"/>
          </w:tcPr>
          <w:p w14:paraId="675980EB">
            <w:pPr>
              <w:jc w:val="center"/>
              <w:rPr>
                <w:rFonts w:eastAsia="楷体_GB2312"/>
                <w:b/>
                <w:sz w:val="18"/>
                <w:szCs w:val="18"/>
              </w:rPr>
            </w:pPr>
            <w:r>
              <w:rPr>
                <w:rFonts w:eastAsia="楷体_GB2312"/>
                <w:b/>
                <w:sz w:val="18"/>
                <w:szCs w:val="18"/>
              </w:rPr>
              <w:t>未偿本金余额</w:t>
            </w:r>
          </w:p>
        </w:tc>
        <w:tc>
          <w:tcPr>
            <w:tcW w:w="1847" w:type="dxa"/>
            <w:gridSpan w:val="3"/>
            <w:tcBorders>
              <w:top w:val="single" w:color="auto" w:sz="4" w:space="0"/>
              <w:left w:val="single" w:color="auto" w:sz="4" w:space="0"/>
              <w:bottom w:val="single" w:color="auto" w:sz="4" w:space="0"/>
              <w:right w:val="single" w:color="auto" w:sz="4" w:space="0"/>
            </w:tcBorders>
            <w:vAlign w:val="center"/>
          </w:tcPr>
          <w:p w14:paraId="6FB39BB3">
            <w:pPr>
              <w:jc w:val="center"/>
              <w:rPr>
                <w:rFonts w:eastAsia="楷体_GB2312"/>
                <w:b/>
                <w:sz w:val="18"/>
                <w:szCs w:val="18"/>
              </w:rPr>
            </w:pPr>
            <w:r>
              <w:rPr>
                <w:rFonts w:eastAsia="楷体_GB2312"/>
                <w:b/>
                <w:sz w:val="18"/>
                <w:szCs w:val="18"/>
              </w:rPr>
              <w:t>初始起算日</w:t>
            </w:r>
          </w:p>
        </w:tc>
        <w:tc>
          <w:tcPr>
            <w:tcW w:w="1708" w:type="dxa"/>
            <w:gridSpan w:val="2"/>
            <w:tcBorders>
              <w:top w:val="single" w:color="auto" w:sz="4" w:space="0"/>
              <w:left w:val="single" w:color="auto" w:sz="4" w:space="0"/>
              <w:bottom w:val="single" w:color="auto" w:sz="4" w:space="0"/>
              <w:right w:val="single" w:color="auto" w:sz="4" w:space="0"/>
            </w:tcBorders>
            <w:vAlign w:val="center"/>
          </w:tcPr>
          <w:p w14:paraId="5869042F">
            <w:pPr>
              <w:jc w:val="center"/>
              <w:rPr>
                <w:rFonts w:eastAsia="楷体_GB2312"/>
                <w:b/>
                <w:sz w:val="18"/>
                <w:szCs w:val="18"/>
              </w:rPr>
            </w:pPr>
            <w:r>
              <w:rPr>
                <w:rFonts w:eastAsia="楷体_GB2312"/>
                <w:b/>
                <w:sz w:val="18"/>
                <w:szCs w:val="18"/>
              </w:rPr>
              <w:t>本</w:t>
            </w:r>
            <w:r>
              <w:rPr>
                <w:rFonts w:eastAsia="楷体_GB2312"/>
                <w:b/>
                <w:sz w:val="18"/>
                <w:szCs w:val="18"/>
                <w:lang w:eastAsia="zh-CN"/>
              </w:rPr>
              <w:t>报告</w:t>
            </w:r>
            <w:r>
              <w:rPr>
                <w:rFonts w:eastAsia="楷体_GB2312"/>
                <w:b/>
                <w:sz w:val="18"/>
                <w:szCs w:val="18"/>
              </w:rPr>
              <w:t>期末</w:t>
            </w:r>
          </w:p>
        </w:tc>
        <w:tc>
          <w:tcPr>
            <w:tcW w:w="2274" w:type="dxa"/>
            <w:gridSpan w:val="3"/>
            <w:tcBorders>
              <w:top w:val="single" w:color="auto" w:sz="4" w:space="0"/>
              <w:left w:val="single" w:color="auto" w:sz="4" w:space="0"/>
              <w:bottom w:val="single" w:color="auto" w:sz="4" w:space="0"/>
            </w:tcBorders>
            <w:vAlign w:val="center"/>
          </w:tcPr>
          <w:p w14:paraId="4FD2571D">
            <w:pPr>
              <w:jc w:val="center"/>
              <w:rPr>
                <w:rFonts w:eastAsia="楷体_GB2312"/>
                <w:b/>
                <w:sz w:val="18"/>
                <w:szCs w:val="18"/>
              </w:rPr>
            </w:pPr>
            <w:r>
              <w:rPr>
                <w:rFonts w:eastAsia="楷体_GB2312"/>
                <w:b/>
                <w:sz w:val="18"/>
                <w:szCs w:val="18"/>
              </w:rPr>
              <w:t>上一</w:t>
            </w:r>
            <w:r>
              <w:rPr>
                <w:rFonts w:eastAsia="楷体_GB2312"/>
                <w:b/>
                <w:sz w:val="18"/>
                <w:szCs w:val="18"/>
                <w:lang w:eastAsia="zh-CN"/>
              </w:rPr>
              <w:t>报告</w:t>
            </w:r>
            <w:r>
              <w:rPr>
                <w:rFonts w:eastAsia="楷体_GB2312"/>
                <w:b/>
                <w:sz w:val="18"/>
                <w:szCs w:val="18"/>
              </w:rPr>
              <w:t>期末</w:t>
            </w:r>
          </w:p>
        </w:tc>
      </w:tr>
      <w:tr w14:paraId="4B9183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continue"/>
            <w:tcBorders>
              <w:bottom w:val="single" w:color="auto" w:sz="4" w:space="0"/>
              <w:right w:val="single" w:color="auto" w:sz="4" w:space="0"/>
            </w:tcBorders>
            <w:vAlign w:val="center"/>
          </w:tcPr>
          <w:p w14:paraId="5F9D3139">
            <w:pPr>
              <w:jc w:val="center"/>
              <w:rPr>
                <w:rFonts w:eastAsia="楷体_GB2312"/>
                <w:b/>
                <w:sz w:val="18"/>
                <w:szCs w:val="18"/>
              </w:rPr>
            </w:pPr>
          </w:p>
        </w:tc>
        <w:tc>
          <w:tcPr>
            <w:tcW w:w="919" w:type="dxa"/>
            <w:tcBorders>
              <w:top w:val="single" w:color="auto" w:sz="4" w:space="0"/>
              <w:left w:val="single" w:color="auto" w:sz="4" w:space="0"/>
              <w:bottom w:val="single" w:color="auto" w:sz="4" w:space="0"/>
              <w:right w:val="single" w:color="auto" w:sz="4" w:space="0"/>
            </w:tcBorders>
            <w:vAlign w:val="center"/>
          </w:tcPr>
          <w:p w14:paraId="2C76434E">
            <w:pPr>
              <w:jc w:val="center"/>
              <w:rPr>
                <w:rFonts w:eastAsia="楷体_GB2312"/>
                <w:b/>
                <w:sz w:val="18"/>
                <w:szCs w:val="18"/>
              </w:rPr>
            </w:pPr>
            <w:r>
              <w:rPr>
                <w:rFonts w:eastAsia="楷体_GB2312"/>
                <w:b/>
                <w:sz w:val="18"/>
                <w:szCs w:val="18"/>
              </w:rPr>
              <w:t>未偿本金余额</w:t>
            </w:r>
          </w:p>
        </w:tc>
        <w:tc>
          <w:tcPr>
            <w:tcW w:w="928" w:type="dxa"/>
            <w:gridSpan w:val="2"/>
            <w:tcBorders>
              <w:top w:val="single" w:color="auto" w:sz="4" w:space="0"/>
              <w:left w:val="single" w:color="auto" w:sz="4" w:space="0"/>
              <w:bottom w:val="single" w:color="auto" w:sz="4" w:space="0"/>
              <w:right w:val="single" w:color="auto" w:sz="4" w:space="0"/>
            </w:tcBorders>
            <w:vAlign w:val="center"/>
          </w:tcPr>
          <w:p w14:paraId="5000DAE1">
            <w:pPr>
              <w:jc w:val="center"/>
              <w:rPr>
                <w:rFonts w:eastAsia="楷体_GB2312"/>
                <w:b/>
                <w:sz w:val="18"/>
                <w:szCs w:val="18"/>
              </w:rPr>
            </w:pPr>
            <w:r>
              <w:rPr>
                <w:rFonts w:eastAsia="楷体_GB2312"/>
                <w:b/>
                <w:sz w:val="18"/>
                <w:szCs w:val="18"/>
              </w:rPr>
              <w:t>占比</w:t>
            </w:r>
          </w:p>
        </w:tc>
        <w:tc>
          <w:tcPr>
            <w:tcW w:w="856" w:type="dxa"/>
            <w:tcBorders>
              <w:top w:val="single" w:color="auto" w:sz="4" w:space="0"/>
              <w:left w:val="single" w:color="auto" w:sz="4" w:space="0"/>
              <w:bottom w:val="single" w:color="auto" w:sz="4" w:space="0"/>
              <w:right w:val="single" w:color="auto" w:sz="4" w:space="0"/>
            </w:tcBorders>
            <w:vAlign w:val="center"/>
          </w:tcPr>
          <w:p w14:paraId="4BD9D7E2">
            <w:pPr>
              <w:jc w:val="center"/>
              <w:rPr>
                <w:rFonts w:eastAsia="楷体_GB2312"/>
                <w:b/>
                <w:sz w:val="18"/>
                <w:szCs w:val="18"/>
              </w:rPr>
            </w:pPr>
            <w:r>
              <w:rPr>
                <w:rFonts w:eastAsia="楷体_GB2312"/>
                <w:b/>
                <w:sz w:val="18"/>
                <w:szCs w:val="18"/>
              </w:rPr>
              <w:t>未偿本金余额</w:t>
            </w:r>
          </w:p>
        </w:tc>
        <w:tc>
          <w:tcPr>
            <w:tcW w:w="852" w:type="dxa"/>
            <w:tcBorders>
              <w:top w:val="single" w:color="auto" w:sz="4" w:space="0"/>
              <w:left w:val="single" w:color="auto" w:sz="4" w:space="0"/>
              <w:bottom w:val="single" w:color="auto" w:sz="4" w:space="0"/>
              <w:right w:val="single" w:color="auto" w:sz="4" w:space="0"/>
            </w:tcBorders>
            <w:vAlign w:val="center"/>
          </w:tcPr>
          <w:p w14:paraId="7F3BD363">
            <w:pPr>
              <w:jc w:val="center"/>
              <w:rPr>
                <w:rFonts w:eastAsia="楷体_GB2312"/>
                <w:b/>
                <w:sz w:val="18"/>
                <w:szCs w:val="18"/>
              </w:rPr>
            </w:pPr>
            <w:r>
              <w:rPr>
                <w:rFonts w:eastAsia="楷体_GB2312"/>
                <w:b/>
                <w:sz w:val="18"/>
                <w:szCs w:val="18"/>
              </w:rPr>
              <w:t>占比</w:t>
            </w:r>
          </w:p>
        </w:tc>
        <w:tc>
          <w:tcPr>
            <w:tcW w:w="1134" w:type="dxa"/>
            <w:tcBorders>
              <w:top w:val="single" w:color="auto" w:sz="4" w:space="0"/>
              <w:left w:val="single" w:color="auto" w:sz="4" w:space="0"/>
              <w:bottom w:val="single" w:color="auto" w:sz="4" w:space="0"/>
            </w:tcBorders>
            <w:vAlign w:val="center"/>
          </w:tcPr>
          <w:p w14:paraId="35297873">
            <w:pPr>
              <w:jc w:val="center"/>
              <w:rPr>
                <w:rFonts w:eastAsia="楷体_GB2312"/>
                <w:b/>
                <w:sz w:val="18"/>
                <w:szCs w:val="18"/>
              </w:rPr>
            </w:pPr>
            <w:r>
              <w:rPr>
                <w:rFonts w:eastAsia="楷体_GB2312"/>
                <w:b/>
                <w:sz w:val="18"/>
                <w:szCs w:val="18"/>
              </w:rPr>
              <w:t>未偿本金余额</w:t>
            </w:r>
          </w:p>
        </w:tc>
        <w:tc>
          <w:tcPr>
            <w:tcW w:w="1140" w:type="dxa"/>
            <w:gridSpan w:val="2"/>
            <w:tcBorders>
              <w:top w:val="single" w:color="auto" w:sz="4" w:space="0"/>
              <w:left w:val="single" w:color="auto" w:sz="4" w:space="0"/>
              <w:bottom w:val="single" w:color="auto" w:sz="4" w:space="0"/>
            </w:tcBorders>
            <w:vAlign w:val="center"/>
          </w:tcPr>
          <w:p w14:paraId="12FE9472">
            <w:pPr>
              <w:jc w:val="center"/>
              <w:rPr>
                <w:rFonts w:eastAsia="楷体_GB2312"/>
                <w:b/>
                <w:sz w:val="18"/>
                <w:szCs w:val="18"/>
              </w:rPr>
            </w:pPr>
            <w:r>
              <w:rPr>
                <w:rFonts w:eastAsia="楷体_GB2312"/>
                <w:b/>
                <w:sz w:val="18"/>
                <w:szCs w:val="18"/>
              </w:rPr>
              <w:t>占比</w:t>
            </w:r>
          </w:p>
        </w:tc>
      </w:tr>
      <w:tr w14:paraId="755C8B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286F88AB">
            <w:pPr>
              <w:jc w:val="center"/>
              <w:rPr>
                <w:rFonts w:eastAsia="楷体_GB2312"/>
                <w:b/>
                <w:sz w:val="18"/>
                <w:szCs w:val="18"/>
              </w:rPr>
            </w:pPr>
          </w:p>
        </w:tc>
        <w:tc>
          <w:tcPr>
            <w:tcW w:w="919" w:type="dxa"/>
            <w:tcBorders>
              <w:top w:val="single" w:color="auto" w:sz="4" w:space="0"/>
              <w:left w:val="single" w:color="auto" w:sz="4" w:space="0"/>
              <w:bottom w:val="single" w:color="auto" w:sz="4" w:space="0"/>
              <w:right w:val="single" w:color="auto" w:sz="4" w:space="0"/>
            </w:tcBorders>
            <w:vAlign w:val="center"/>
          </w:tcPr>
          <w:p w14:paraId="59DACB8E">
            <w:pPr>
              <w:jc w:val="center"/>
              <w:rPr>
                <w:rFonts w:eastAsia="楷体_GB2312"/>
                <w:sz w:val="18"/>
                <w:szCs w:val="18"/>
              </w:rPr>
            </w:pPr>
          </w:p>
        </w:tc>
        <w:tc>
          <w:tcPr>
            <w:tcW w:w="928" w:type="dxa"/>
            <w:gridSpan w:val="2"/>
            <w:tcBorders>
              <w:top w:val="single" w:color="auto" w:sz="4" w:space="0"/>
              <w:left w:val="single" w:color="auto" w:sz="4" w:space="0"/>
              <w:bottom w:val="single" w:color="auto" w:sz="4" w:space="0"/>
              <w:right w:val="single" w:color="auto" w:sz="4" w:space="0"/>
            </w:tcBorders>
            <w:vAlign w:val="center"/>
          </w:tcPr>
          <w:p w14:paraId="39BFF2B5">
            <w:pPr>
              <w:jc w:val="center"/>
              <w:rPr>
                <w:rFonts w:eastAsia="楷体_GB2312"/>
                <w:sz w:val="18"/>
                <w:szCs w:val="18"/>
              </w:rPr>
            </w:pPr>
          </w:p>
        </w:tc>
        <w:tc>
          <w:tcPr>
            <w:tcW w:w="856" w:type="dxa"/>
            <w:tcBorders>
              <w:top w:val="single" w:color="auto" w:sz="4" w:space="0"/>
              <w:left w:val="single" w:color="auto" w:sz="4" w:space="0"/>
              <w:bottom w:val="single" w:color="auto" w:sz="4" w:space="0"/>
              <w:right w:val="single" w:color="auto" w:sz="4" w:space="0"/>
            </w:tcBorders>
            <w:vAlign w:val="center"/>
          </w:tcPr>
          <w:p w14:paraId="13CEE7B8">
            <w:pPr>
              <w:jc w:val="center"/>
              <w:rPr>
                <w:rFonts w:eastAsia="楷体_GB2312"/>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14:paraId="039C28C8">
            <w:pPr>
              <w:jc w:val="center"/>
              <w:rPr>
                <w:rFonts w:eastAsia="楷体_GB2312"/>
                <w:sz w:val="18"/>
                <w:szCs w:val="18"/>
              </w:rPr>
            </w:pPr>
          </w:p>
        </w:tc>
        <w:tc>
          <w:tcPr>
            <w:tcW w:w="1134" w:type="dxa"/>
            <w:tcBorders>
              <w:top w:val="single" w:color="auto" w:sz="4" w:space="0"/>
              <w:left w:val="single" w:color="auto" w:sz="4" w:space="0"/>
              <w:bottom w:val="single" w:color="auto" w:sz="4" w:space="0"/>
            </w:tcBorders>
            <w:vAlign w:val="center"/>
          </w:tcPr>
          <w:p w14:paraId="18D53735">
            <w:pPr>
              <w:jc w:val="center"/>
              <w:rPr>
                <w:rFonts w:eastAsia="楷体_GB2312"/>
                <w:sz w:val="18"/>
                <w:szCs w:val="18"/>
              </w:rPr>
            </w:pPr>
          </w:p>
        </w:tc>
        <w:tc>
          <w:tcPr>
            <w:tcW w:w="1140" w:type="dxa"/>
            <w:gridSpan w:val="2"/>
            <w:tcBorders>
              <w:top w:val="single" w:color="auto" w:sz="4" w:space="0"/>
              <w:left w:val="single" w:color="auto" w:sz="4" w:space="0"/>
              <w:bottom w:val="single" w:color="auto" w:sz="4" w:space="0"/>
            </w:tcBorders>
            <w:vAlign w:val="center"/>
          </w:tcPr>
          <w:p w14:paraId="46B3A8B9">
            <w:pPr>
              <w:jc w:val="center"/>
              <w:rPr>
                <w:rFonts w:eastAsia="楷体_GB2312"/>
                <w:sz w:val="18"/>
                <w:szCs w:val="18"/>
              </w:rPr>
            </w:pPr>
          </w:p>
        </w:tc>
      </w:tr>
      <w:tr w14:paraId="397637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7A50A893">
            <w:pPr>
              <w:jc w:val="center"/>
              <w:rPr>
                <w:rFonts w:eastAsia="楷体_GB2312"/>
                <w:sz w:val="18"/>
              </w:rPr>
            </w:pPr>
          </w:p>
        </w:tc>
        <w:tc>
          <w:tcPr>
            <w:tcW w:w="919" w:type="dxa"/>
            <w:tcBorders>
              <w:top w:val="single" w:color="auto" w:sz="4" w:space="0"/>
              <w:left w:val="single" w:color="auto" w:sz="4" w:space="0"/>
              <w:bottom w:val="single" w:color="auto" w:sz="4" w:space="0"/>
              <w:right w:val="single" w:color="auto" w:sz="4" w:space="0"/>
            </w:tcBorders>
            <w:vAlign w:val="center"/>
          </w:tcPr>
          <w:p w14:paraId="03600AAA">
            <w:pPr>
              <w:jc w:val="center"/>
              <w:rPr>
                <w:rFonts w:eastAsia="楷体_GB2312"/>
                <w:sz w:val="18"/>
                <w:szCs w:val="18"/>
              </w:rPr>
            </w:pPr>
          </w:p>
        </w:tc>
        <w:tc>
          <w:tcPr>
            <w:tcW w:w="928" w:type="dxa"/>
            <w:gridSpan w:val="2"/>
            <w:tcBorders>
              <w:top w:val="single" w:color="auto" w:sz="4" w:space="0"/>
              <w:left w:val="single" w:color="auto" w:sz="4" w:space="0"/>
              <w:bottom w:val="single" w:color="auto" w:sz="4" w:space="0"/>
              <w:right w:val="single" w:color="auto" w:sz="4" w:space="0"/>
            </w:tcBorders>
            <w:vAlign w:val="center"/>
          </w:tcPr>
          <w:p w14:paraId="1685C798">
            <w:pPr>
              <w:jc w:val="center"/>
              <w:rPr>
                <w:rFonts w:eastAsia="楷体_GB2312"/>
                <w:sz w:val="18"/>
                <w:szCs w:val="18"/>
              </w:rPr>
            </w:pPr>
          </w:p>
        </w:tc>
        <w:tc>
          <w:tcPr>
            <w:tcW w:w="856" w:type="dxa"/>
            <w:tcBorders>
              <w:top w:val="single" w:color="auto" w:sz="4" w:space="0"/>
              <w:left w:val="single" w:color="auto" w:sz="4" w:space="0"/>
              <w:bottom w:val="single" w:color="auto" w:sz="4" w:space="0"/>
              <w:right w:val="single" w:color="auto" w:sz="4" w:space="0"/>
            </w:tcBorders>
            <w:vAlign w:val="center"/>
          </w:tcPr>
          <w:p w14:paraId="2546CFA9">
            <w:pPr>
              <w:jc w:val="center"/>
              <w:rPr>
                <w:rFonts w:eastAsia="楷体_GB2312"/>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14:paraId="28995E23">
            <w:pPr>
              <w:jc w:val="center"/>
              <w:rPr>
                <w:rFonts w:eastAsia="楷体_GB2312"/>
                <w:sz w:val="18"/>
                <w:szCs w:val="18"/>
              </w:rPr>
            </w:pPr>
          </w:p>
        </w:tc>
        <w:tc>
          <w:tcPr>
            <w:tcW w:w="1134" w:type="dxa"/>
            <w:tcBorders>
              <w:top w:val="single" w:color="auto" w:sz="4" w:space="0"/>
              <w:left w:val="single" w:color="auto" w:sz="4" w:space="0"/>
              <w:bottom w:val="single" w:color="auto" w:sz="4" w:space="0"/>
            </w:tcBorders>
            <w:vAlign w:val="center"/>
          </w:tcPr>
          <w:p w14:paraId="1EBD3318">
            <w:pPr>
              <w:jc w:val="center"/>
              <w:rPr>
                <w:rFonts w:eastAsia="楷体_GB2312"/>
                <w:sz w:val="18"/>
                <w:szCs w:val="18"/>
              </w:rPr>
            </w:pPr>
          </w:p>
        </w:tc>
        <w:tc>
          <w:tcPr>
            <w:tcW w:w="1140" w:type="dxa"/>
            <w:gridSpan w:val="2"/>
            <w:tcBorders>
              <w:top w:val="single" w:color="auto" w:sz="4" w:space="0"/>
              <w:left w:val="single" w:color="auto" w:sz="4" w:space="0"/>
              <w:bottom w:val="single" w:color="auto" w:sz="4" w:space="0"/>
            </w:tcBorders>
            <w:vAlign w:val="center"/>
          </w:tcPr>
          <w:p w14:paraId="5B5DD30B">
            <w:pPr>
              <w:jc w:val="center"/>
              <w:rPr>
                <w:rFonts w:eastAsia="楷体_GB2312"/>
                <w:sz w:val="18"/>
                <w:szCs w:val="18"/>
              </w:rPr>
            </w:pPr>
          </w:p>
        </w:tc>
      </w:tr>
      <w:tr w14:paraId="53484A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072C755B">
            <w:pPr>
              <w:jc w:val="center"/>
              <w:rPr>
                <w:rFonts w:eastAsia="楷体_GB2312"/>
                <w:sz w:val="18"/>
                <w:lang w:eastAsia="zh-CN"/>
              </w:rPr>
            </w:pPr>
          </w:p>
        </w:tc>
        <w:tc>
          <w:tcPr>
            <w:tcW w:w="919" w:type="dxa"/>
            <w:tcBorders>
              <w:top w:val="single" w:color="auto" w:sz="4" w:space="0"/>
              <w:left w:val="single" w:color="auto" w:sz="4" w:space="0"/>
              <w:bottom w:val="single" w:color="auto" w:sz="4" w:space="0"/>
              <w:right w:val="single" w:color="auto" w:sz="4" w:space="0"/>
            </w:tcBorders>
            <w:vAlign w:val="center"/>
          </w:tcPr>
          <w:p w14:paraId="4F9ECB2C">
            <w:pPr>
              <w:jc w:val="center"/>
              <w:rPr>
                <w:rFonts w:eastAsia="楷体_GB2312"/>
                <w:sz w:val="18"/>
                <w:szCs w:val="18"/>
                <w:lang w:eastAsia="zh-CN"/>
              </w:rPr>
            </w:pPr>
          </w:p>
        </w:tc>
        <w:tc>
          <w:tcPr>
            <w:tcW w:w="928" w:type="dxa"/>
            <w:gridSpan w:val="2"/>
            <w:tcBorders>
              <w:top w:val="single" w:color="auto" w:sz="4" w:space="0"/>
              <w:left w:val="single" w:color="auto" w:sz="4" w:space="0"/>
              <w:bottom w:val="single" w:color="auto" w:sz="4" w:space="0"/>
              <w:right w:val="single" w:color="auto" w:sz="4" w:space="0"/>
            </w:tcBorders>
            <w:vAlign w:val="center"/>
          </w:tcPr>
          <w:p w14:paraId="19E529C8">
            <w:pPr>
              <w:jc w:val="center"/>
              <w:rPr>
                <w:rFonts w:eastAsia="楷体_GB2312"/>
                <w:sz w:val="18"/>
                <w:szCs w:val="18"/>
                <w:lang w:eastAsia="zh-CN"/>
              </w:rPr>
            </w:pPr>
          </w:p>
        </w:tc>
        <w:tc>
          <w:tcPr>
            <w:tcW w:w="856" w:type="dxa"/>
            <w:tcBorders>
              <w:top w:val="single" w:color="auto" w:sz="4" w:space="0"/>
              <w:left w:val="single" w:color="auto" w:sz="4" w:space="0"/>
              <w:bottom w:val="single" w:color="auto" w:sz="4" w:space="0"/>
              <w:right w:val="single" w:color="auto" w:sz="4" w:space="0"/>
            </w:tcBorders>
            <w:vAlign w:val="center"/>
          </w:tcPr>
          <w:p w14:paraId="0780AC7C">
            <w:pPr>
              <w:jc w:val="center"/>
              <w:rPr>
                <w:rFonts w:eastAsia="楷体_GB2312"/>
                <w:sz w:val="18"/>
                <w:szCs w:val="18"/>
                <w:lang w:eastAsia="zh-CN"/>
              </w:rPr>
            </w:pPr>
          </w:p>
        </w:tc>
        <w:tc>
          <w:tcPr>
            <w:tcW w:w="852" w:type="dxa"/>
            <w:tcBorders>
              <w:top w:val="single" w:color="auto" w:sz="4" w:space="0"/>
              <w:left w:val="single" w:color="auto" w:sz="4" w:space="0"/>
              <w:bottom w:val="single" w:color="auto" w:sz="4" w:space="0"/>
              <w:right w:val="single" w:color="auto" w:sz="4" w:space="0"/>
            </w:tcBorders>
            <w:vAlign w:val="center"/>
          </w:tcPr>
          <w:p w14:paraId="6E65C7D1">
            <w:pPr>
              <w:jc w:val="center"/>
              <w:rPr>
                <w:rFonts w:eastAsia="楷体_GB2312"/>
                <w:sz w:val="18"/>
                <w:szCs w:val="18"/>
                <w:lang w:eastAsia="zh-CN"/>
              </w:rPr>
            </w:pPr>
          </w:p>
        </w:tc>
        <w:tc>
          <w:tcPr>
            <w:tcW w:w="1134" w:type="dxa"/>
            <w:tcBorders>
              <w:top w:val="single" w:color="auto" w:sz="4" w:space="0"/>
              <w:left w:val="single" w:color="auto" w:sz="4" w:space="0"/>
              <w:bottom w:val="single" w:color="auto" w:sz="4" w:space="0"/>
            </w:tcBorders>
            <w:vAlign w:val="center"/>
          </w:tcPr>
          <w:p w14:paraId="51AF94A9">
            <w:pPr>
              <w:jc w:val="center"/>
              <w:rPr>
                <w:rFonts w:eastAsia="楷体_GB2312"/>
                <w:sz w:val="18"/>
                <w:szCs w:val="18"/>
                <w:lang w:eastAsia="zh-CN"/>
              </w:rPr>
            </w:pPr>
          </w:p>
        </w:tc>
        <w:tc>
          <w:tcPr>
            <w:tcW w:w="1140" w:type="dxa"/>
            <w:gridSpan w:val="2"/>
            <w:tcBorders>
              <w:top w:val="single" w:color="auto" w:sz="4" w:space="0"/>
              <w:left w:val="single" w:color="auto" w:sz="4" w:space="0"/>
              <w:bottom w:val="single" w:color="auto" w:sz="4" w:space="0"/>
            </w:tcBorders>
            <w:vAlign w:val="center"/>
          </w:tcPr>
          <w:p w14:paraId="57E6FB6C">
            <w:pPr>
              <w:jc w:val="center"/>
              <w:rPr>
                <w:rFonts w:eastAsia="楷体_GB2312"/>
                <w:sz w:val="18"/>
                <w:szCs w:val="18"/>
                <w:lang w:eastAsia="zh-CN"/>
              </w:rPr>
            </w:pPr>
          </w:p>
        </w:tc>
      </w:tr>
      <w:tr w14:paraId="6E310B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176D821E">
            <w:pPr>
              <w:jc w:val="center"/>
              <w:rPr>
                <w:rFonts w:eastAsia="楷体_GB2312"/>
                <w:sz w:val="18"/>
                <w:lang w:eastAsia="zh-CN"/>
              </w:rPr>
            </w:pPr>
          </w:p>
        </w:tc>
        <w:tc>
          <w:tcPr>
            <w:tcW w:w="919" w:type="dxa"/>
            <w:tcBorders>
              <w:top w:val="single" w:color="auto" w:sz="4" w:space="0"/>
              <w:left w:val="single" w:color="auto" w:sz="4" w:space="0"/>
              <w:bottom w:val="single" w:color="auto" w:sz="4" w:space="0"/>
              <w:right w:val="single" w:color="auto" w:sz="4" w:space="0"/>
            </w:tcBorders>
            <w:vAlign w:val="center"/>
          </w:tcPr>
          <w:p w14:paraId="5F256D59">
            <w:pPr>
              <w:jc w:val="center"/>
              <w:rPr>
                <w:rFonts w:eastAsia="楷体_GB2312"/>
                <w:sz w:val="18"/>
                <w:szCs w:val="18"/>
                <w:lang w:eastAsia="zh-CN"/>
              </w:rPr>
            </w:pPr>
          </w:p>
        </w:tc>
        <w:tc>
          <w:tcPr>
            <w:tcW w:w="928" w:type="dxa"/>
            <w:gridSpan w:val="2"/>
            <w:tcBorders>
              <w:top w:val="single" w:color="auto" w:sz="4" w:space="0"/>
              <w:left w:val="single" w:color="auto" w:sz="4" w:space="0"/>
              <w:bottom w:val="single" w:color="auto" w:sz="4" w:space="0"/>
              <w:right w:val="single" w:color="auto" w:sz="4" w:space="0"/>
            </w:tcBorders>
            <w:vAlign w:val="center"/>
          </w:tcPr>
          <w:p w14:paraId="39E0CEDE">
            <w:pPr>
              <w:jc w:val="center"/>
              <w:rPr>
                <w:rFonts w:eastAsia="楷体_GB2312"/>
                <w:sz w:val="18"/>
                <w:szCs w:val="18"/>
                <w:lang w:eastAsia="zh-CN"/>
              </w:rPr>
            </w:pPr>
          </w:p>
        </w:tc>
        <w:tc>
          <w:tcPr>
            <w:tcW w:w="856" w:type="dxa"/>
            <w:tcBorders>
              <w:top w:val="single" w:color="auto" w:sz="4" w:space="0"/>
              <w:left w:val="single" w:color="auto" w:sz="4" w:space="0"/>
              <w:bottom w:val="single" w:color="auto" w:sz="4" w:space="0"/>
              <w:right w:val="single" w:color="auto" w:sz="4" w:space="0"/>
            </w:tcBorders>
            <w:vAlign w:val="center"/>
          </w:tcPr>
          <w:p w14:paraId="006CE4D5">
            <w:pPr>
              <w:jc w:val="center"/>
              <w:rPr>
                <w:rFonts w:eastAsia="楷体_GB2312"/>
                <w:sz w:val="18"/>
                <w:szCs w:val="18"/>
                <w:lang w:eastAsia="zh-CN"/>
              </w:rPr>
            </w:pPr>
          </w:p>
        </w:tc>
        <w:tc>
          <w:tcPr>
            <w:tcW w:w="852" w:type="dxa"/>
            <w:tcBorders>
              <w:top w:val="single" w:color="auto" w:sz="4" w:space="0"/>
              <w:left w:val="single" w:color="auto" w:sz="4" w:space="0"/>
              <w:bottom w:val="single" w:color="auto" w:sz="4" w:space="0"/>
              <w:right w:val="single" w:color="auto" w:sz="4" w:space="0"/>
            </w:tcBorders>
            <w:vAlign w:val="center"/>
          </w:tcPr>
          <w:p w14:paraId="6C936C1C">
            <w:pPr>
              <w:jc w:val="center"/>
              <w:rPr>
                <w:rFonts w:eastAsia="楷体_GB2312"/>
                <w:sz w:val="18"/>
                <w:szCs w:val="18"/>
                <w:lang w:eastAsia="zh-CN"/>
              </w:rPr>
            </w:pPr>
          </w:p>
        </w:tc>
        <w:tc>
          <w:tcPr>
            <w:tcW w:w="1134" w:type="dxa"/>
            <w:tcBorders>
              <w:top w:val="single" w:color="auto" w:sz="4" w:space="0"/>
              <w:left w:val="single" w:color="auto" w:sz="4" w:space="0"/>
              <w:bottom w:val="single" w:color="auto" w:sz="4" w:space="0"/>
            </w:tcBorders>
            <w:vAlign w:val="center"/>
          </w:tcPr>
          <w:p w14:paraId="6EA758DE">
            <w:pPr>
              <w:jc w:val="center"/>
              <w:rPr>
                <w:rFonts w:eastAsia="楷体_GB2312"/>
                <w:sz w:val="18"/>
                <w:szCs w:val="18"/>
                <w:lang w:eastAsia="zh-CN"/>
              </w:rPr>
            </w:pPr>
          </w:p>
        </w:tc>
        <w:tc>
          <w:tcPr>
            <w:tcW w:w="1140" w:type="dxa"/>
            <w:gridSpan w:val="2"/>
            <w:tcBorders>
              <w:top w:val="single" w:color="auto" w:sz="4" w:space="0"/>
              <w:left w:val="single" w:color="auto" w:sz="4" w:space="0"/>
              <w:bottom w:val="single" w:color="auto" w:sz="4" w:space="0"/>
            </w:tcBorders>
            <w:vAlign w:val="center"/>
          </w:tcPr>
          <w:p w14:paraId="25093B34">
            <w:pPr>
              <w:jc w:val="center"/>
              <w:rPr>
                <w:rFonts w:eastAsia="楷体_GB2312"/>
                <w:sz w:val="18"/>
                <w:szCs w:val="18"/>
                <w:lang w:eastAsia="zh-CN"/>
              </w:rPr>
            </w:pPr>
          </w:p>
        </w:tc>
      </w:tr>
      <w:tr w14:paraId="7FAC88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6A9E0C50">
            <w:pPr>
              <w:jc w:val="center"/>
              <w:rPr>
                <w:rFonts w:eastAsia="楷体_GB2312"/>
                <w:sz w:val="18"/>
              </w:rPr>
            </w:pPr>
          </w:p>
        </w:tc>
        <w:tc>
          <w:tcPr>
            <w:tcW w:w="919" w:type="dxa"/>
            <w:tcBorders>
              <w:top w:val="single" w:color="auto" w:sz="4" w:space="0"/>
              <w:left w:val="single" w:color="auto" w:sz="4" w:space="0"/>
              <w:bottom w:val="single" w:color="auto" w:sz="4" w:space="0"/>
              <w:right w:val="single" w:color="auto" w:sz="4" w:space="0"/>
            </w:tcBorders>
            <w:vAlign w:val="center"/>
          </w:tcPr>
          <w:p w14:paraId="4C4B414A">
            <w:pPr>
              <w:jc w:val="center"/>
              <w:rPr>
                <w:rFonts w:eastAsia="楷体_GB2312"/>
                <w:sz w:val="18"/>
                <w:szCs w:val="18"/>
              </w:rPr>
            </w:pPr>
          </w:p>
        </w:tc>
        <w:tc>
          <w:tcPr>
            <w:tcW w:w="928" w:type="dxa"/>
            <w:gridSpan w:val="2"/>
            <w:tcBorders>
              <w:top w:val="single" w:color="auto" w:sz="4" w:space="0"/>
              <w:left w:val="single" w:color="auto" w:sz="4" w:space="0"/>
              <w:bottom w:val="single" w:color="auto" w:sz="4" w:space="0"/>
              <w:right w:val="single" w:color="auto" w:sz="4" w:space="0"/>
            </w:tcBorders>
            <w:vAlign w:val="center"/>
          </w:tcPr>
          <w:p w14:paraId="7E1480C1">
            <w:pPr>
              <w:jc w:val="center"/>
              <w:rPr>
                <w:rFonts w:eastAsia="楷体_GB2312"/>
                <w:sz w:val="18"/>
                <w:szCs w:val="18"/>
              </w:rPr>
            </w:pPr>
          </w:p>
        </w:tc>
        <w:tc>
          <w:tcPr>
            <w:tcW w:w="856" w:type="dxa"/>
            <w:tcBorders>
              <w:top w:val="single" w:color="auto" w:sz="4" w:space="0"/>
              <w:left w:val="single" w:color="auto" w:sz="4" w:space="0"/>
              <w:bottom w:val="single" w:color="auto" w:sz="4" w:space="0"/>
              <w:right w:val="single" w:color="auto" w:sz="4" w:space="0"/>
            </w:tcBorders>
            <w:vAlign w:val="center"/>
          </w:tcPr>
          <w:p w14:paraId="739C7A40">
            <w:pPr>
              <w:jc w:val="center"/>
              <w:rPr>
                <w:rFonts w:eastAsia="楷体_GB2312"/>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14:paraId="550AD91E">
            <w:pPr>
              <w:jc w:val="center"/>
              <w:rPr>
                <w:rFonts w:eastAsia="楷体_GB2312"/>
                <w:sz w:val="18"/>
                <w:szCs w:val="18"/>
              </w:rPr>
            </w:pPr>
          </w:p>
        </w:tc>
        <w:tc>
          <w:tcPr>
            <w:tcW w:w="1134" w:type="dxa"/>
            <w:tcBorders>
              <w:top w:val="single" w:color="auto" w:sz="4" w:space="0"/>
              <w:left w:val="single" w:color="auto" w:sz="4" w:space="0"/>
              <w:bottom w:val="single" w:color="auto" w:sz="4" w:space="0"/>
            </w:tcBorders>
            <w:vAlign w:val="center"/>
          </w:tcPr>
          <w:p w14:paraId="1C383515">
            <w:pPr>
              <w:jc w:val="center"/>
              <w:rPr>
                <w:rFonts w:eastAsia="楷体_GB2312"/>
                <w:sz w:val="18"/>
                <w:szCs w:val="18"/>
              </w:rPr>
            </w:pPr>
          </w:p>
        </w:tc>
        <w:tc>
          <w:tcPr>
            <w:tcW w:w="1140" w:type="dxa"/>
            <w:gridSpan w:val="2"/>
            <w:tcBorders>
              <w:top w:val="single" w:color="auto" w:sz="4" w:space="0"/>
              <w:left w:val="single" w:color="auto" w:sz="4" w:space="0"/>
              <w:bottom w:val="single" w:color="auto" w:sz="4" w:space="0"/>
            </w:tcBorders>
            <w:vAlign w:val="center"/>
          </w:tcPr>
          <w:p w14:paraId="335930A9">
            <w:pPr>
              <w:jc w:val="center"/>
              <w:rPr>
                <w:rFonts w:eastAsia="楷体_GB2312"/>
                <w:sz w:val="18"/>
                <w:szCs w:val="18"/>
              </w:rPr>
            </w:pPr>
          </w:p>
        </w:tc>
      </w:tr>
      <w:tr w14:paraId="66C213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nil"/>
              <w:right w:val="nil"/>
            </w:tcBorders>
          </w:tcPr>
          <w:p w14:paraId="18FF7C2A">
            <w:pPr>
              <w:rPr>
                <w:rFonts w:eastAsia="楷体_GB2312"/>
                <w:sz w:val="18"/>
              </w:rPr>
            </w:pPr>
          </w:p>
        </w:tc>
        <w:tc>
          <w:tcPr>
            <w:tcW w:w="1847" w:type="dxa"/>
            <w:gridSpan w:val="3"/>
            <w:tcBorders>
              <w:top w:val="single" w:color="auto" w:sz="4" w:space="0"/>
              <w:left w:val="nil"/>
              <w:bottom w:val="nil"/>
              <w:right w:val="nil"/>
            </w:tcBorders>
          </w:tcPr>
          <w:p w14:paraId="1C4B2350">
            <w:pPr>
              <w:rPr>
                <w:rFonts w:eastAsia="楷体_GB2312"/>
                <w:sz w:val="18"/>
                <w:szCs w:val="18"/>
              </w:rPr>
            </w:pPr>
          </w:p>
        </w:tc>
        <w:tc>
          <w:tcPr>
            <w:tcW w:w="1708" w:type="dxa"/>
            <w:gridSpan w:val="2"/>
            <w:tcBorders>
              <w:top w:val="single" w:color="auto" w:sz="4" w:space="0"/>
              <w:left w:val="nil"/>
              <w:bottom w:val="nil"/>
              <w:right w:val="nil"/>
            </w:tcBorders>
          </w:tcPr>
          <w:p w14:paraId="0996758E">
            <w:pPr>
              <w:rPr>
                <w:rFonts w:eastAsia="楷体_GB2312"/>
                <w:sz w:val="18"/>
                <w:szCs w:val="18"/>
              </w:rPr>
            </w:pPr>
          </w:p>
        </w:tc>
        <w:tc>
          <w:tcPr>
            <w:tcW w:w="2274" w:type="dxa"/>
            <w:gridSpan w:val="3"/>
            <w:tcBorders>
              <w:top w:val="single" w:color="auto" w:sz="4" w:space="0"/>
              <w:left w:val="nil"/>
              <w:bottom w:val="nil"/>
            </w:tcBorders>
          </w:tcPr>
          <w:p w14:paraId="6C28729E">
            <w:pPr>
              <w:rPr>
                <w:rFonts w:eastAsia="楷体_GB2312"/>
                <w:sz w:val="18"/>
                <w:szCs w:val="18"/>
              </w:rPr>
            </w:pPr>
          </w:p>
        </w:tc>
      </w:tr>
      <w:tr w14:paraId="7584AE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1" w:type="dxa"/>
            <w:gridSpan w:val="9"/>
            <w:tcBorders>
              <w:top w:val="nil"/>
              <w:bottom w:val="single" w:color="auto" w:sz="4" w:space="0"/>
            </w:tcBorders>
          </w:tcPr>
          <w:p w14:paraId="3E7DA737">
            <w:pPr>
              <w:rPr>
                <w:rFonts w:eastAsia="楷体_GB2312"/>
                <w:sz w:val="18"/>
                <w:szCs w:val="18"/>
                <w:lang w:eastAsia="zh-CN"/>
              </w:rPr>
            </w:pPr>
            <w:r>
              <w:rPr>
                <w:rFonts w:eastAsia="楷体_GB2312"/>
                <w:b/>
                <w:lang w:eastAsia="zh-CN"/>
              </w:rPr>
              <w:t>2、贷款五级分类分布</w:t>
            </w:r>
          </w:p>
        </w:tc>
      </w:tr>
      <w:tr w14:paraId="219AC9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restart"/>
            <w:tcBorders>
              <w:top w:val="single" w:color="auto" w:sz="4" w:space="0"/>
              <w:right w:val="single" w:color="auto" w:sz="4" w:space="0"/>
            </w:tcBorders>
            <w:vAlign w:val="center"/>
          </w:tcPr>
          <w:p w14:paraId="7E220743">
            <w:pPr>
              <w:jc w:val="center"/>
              <w:rPr>
                <w:rFonts w:eastAsia="楷体_GB2312"/>
                <w:sz w:val="18"/>
                <w:lang w:eastAsia="zh-CN"/>
              </w:rPr>
            </w:pPr>
            <w:r>
              <w:rPr>
                <w:rFonts w:eastAsia="楷体_GB2312"/>
                <w:b/>
                <w:sz w:val="18"/>
                <w:szCs w:val="18"/>
              </w:rPr>
              <w:t>五级分类</w:t>
            </w:r>
          </w:p>
        </w:tc>
        <w:tc>
          <w:tcPr>
            <w:tcW w:w="1847" w:type="dxa"/>
            <w:gridSpan w:val="3"/>
            <w:tcBorders>
              <w:top w:val="single" w:color="auto" w:sz="4" w:space="0"/>
              <w:left w:val="single" w:color="auto" w:sz="4" w:space="0"/>
              <w:bottom w:val="single" w:color="auto" w:sz="4" w:space="0"/>
              <w:right w:val="single" w:color="auto" w:sz="4" w:space="0"/>
            </w:tcBorders>
            <w:vAlign w:val="center"/>
          </w:tcPr>
          <w:p w14:paraId="7A7DA1AD">
            <w:pPr>
              <w:jc w:val="center"/>
              <w:rPr>
                <w:rFonts w:eastAsia="楷体_GB2312"/>
                <w:b/>
                <w:sz w:val="18"/>
                <w:szCs w:val="18"/>
              </w:rPr>
            </w:pPr>
            <w:r>
              <w:rPr>
                <w:rFonts w:eastAsia="楷体_GB2312"/>
                <w:b/>
                <w:sz w:val="18"/>
                <w:szCs w:val="18"/>
              </w:rPr>
              <w:t>初始起算日</w:t>
            </w:r>
          </w:p>
        </w:tc>
        <w:tc>
          <w:tcPr>
            <w:tcW w:w="1708" w:type="dxa"/>
            <w:gridSpan w:val="2"/>
            <w:tcBorders>
              <w:top w:val="single" w:color="auto" w:sz="4" w:space="0"/>
              <w:left w:val="single" w:color="auto" w:sz="4" w:space="0"/>
              <w:bottom w:val="single" w:color="auto" w:sz="4" w:space="0"/>
              <w:right w:val="single" w:color="auto" w:sz="4" w:space="0"/>
            </w:tcBorders>
            <w:vAlign w:val="center"/>
          </w:tcPr>
          <w:p w14:paraId="40B0724B">
            <w:pPr>
              <w:jc w:val="center"/>
              <w:rPr>
                <w:rFonts w:eastAsia="楷体_GB2312"/>
                <w:b/>
                <w:sz w:val="18"/>
                <w:szCs w:val="18"/>
              </w:rPr>
            </w:pPr>
            <w:r>
              <w:rPr>
                <w:rFonts w:eastAsia="楷体_GB2312"/>
                <w:b/>
                <w:sz w:val="18"/>
                <w:szCs w:val="18"/>
              </w:rPr>
              <w:t>本</w:t>
            </w:r>
            <w:r>
              <w:rPr>
                <w:rFonts w:eastAsia="楷体_GB2312"/>
                <w:b/>
                <w:sz w:val="18"/>
                <w:szCs w:val="18"/>
                <w:lang w:eastAsia="zh-CN"/>
              </w:rPr>
              <w:t>报告</w:t>
            </w:r>
            <w:r>
              <w:rPr>
                <w:rFonts w:eastAsia="楷体_GB2312"/>
                <w:b/>
                <w:sz w:val="18"/>
                <w:szCs w:val="18"/>
              </w:rPr>
              <w:t>期末</w:t>
            </w:r>
          </w:p>
        </w:tc>
        <w:tc>
          <w:tcPr>
            <w:tcW w:w="2274" w:type="dxa"/>
            <w:gridSpan w:val="3"/>
            <w:tcBorders>
              <w:top w:val="single" w:color="auto" w:sz="4" w:space="0"/>
              <w:left w:val="single" w:color="auto" w:sz="4" w:space="0"/>
              <w:bottom w:val="single" w:color="auto" w:sz="4" w:space="0"/>
            </w:tcBorders>
            <w:vAlign w:val="center"/>
          </w:tcPr>
          <w:p w14:paraId="4C1D783E">
            <w:pPr>
              <w:jc w:val="center"/>
              <w:rPr>
                <w:rFonts w:eastAsia="楷体_GB2312"/>
                <w:b/>
                <w:sz w:val="18"/>
                <w:szCs w:val="18"/>
              </w:rPr>
            </w:pPr>
            <w:r>
              <w:rPr>
                <w:rFonts w:eastAsia="楷体_GB2312"/>
                <w:b/>
                <w:sz w:val="18"/>
                <w:szCs w:val="18"/>
              </w:rPr>
              <w:t>上一</w:t>
            </w:r>
            <w:r>
              <w:rPr>
                <w:rFonts w:eastAsia="楷体_GB2312"/>
                <w:b/>
                <w:sz w:val="18"/>
                <w:szCs w:val="18"/>
                <w:lang w:eastAsia="zh-CN"/>
              </w:rPr>
              <w:t>报告</w:t>
            </w:r>
            <w:r>
              <w:rPr>
                <w:rFonts w:eastAsia="楷体_GB2312"/>
                <w:b/>
                <w:sz w:val="18"/>
                <w:szCs w:val="18"/>
              </w:rPr>
              <w:t>期末</w:t>
            </w:r>
          </w:p>
        </w:tc>
      </w:tr>
      <w:tr w14:paraId="069676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continue"/>
            <w:tcBorders>
              <w:bottom w:val="single" w:color="auto" w:sz="4" w:space="0"/>
              <w:right w:val="single" w:color="auto" w:sz="4" w:space="0"/>
            </w:tcBorders>
            <w:vAlign w:val="center"/>
          </w:tcPr>
          <w:p w14:paraId="4A41560C">
            <w:pPr>
              <w:jc w:val="center"/>
              <w:rPr>
                <w:rFonts w:eastAsia="楷体_GB2312"/>
                <w:sz w:val="18"/>
              </w:rPr>
            </w:pPr>
          </w:p>
        </w:tc>
        <w:tc>
          <w:tcPr>
            <w:tcW w:w="966" w:type="dxa"/>
            <w:gridSpan w:val="2"/>
            <w:tcBorders>
              <w:top w:val="single" w:color="auto" w:sz="4" w:space="0"/>
              <w:left w:val="single" w:color="auto" w:sz="4" w:space="0"/>
              <w:bottom w:val="single" w:color="auto" w:sz="4" w:space="0"/>
            </w:tcBorders>
            <w:vAlign w:val="center"/>
          </w:tcPr>
          <w:p w14:paraId="478EF91A">
            <w:pPr>
              <w:jc w:val="center"/>
              <w:rPr>
                <w:rFonts w:eastAsia="楷体_GB2312"/>
                <w:sz w:val="18"/>
                <w:szCs w:val="18"/>
              </w:rPr>
            </w:pPr>
            <w:r>
              <w:rPr>
                <w:rFonts w:eastAsia="楷体_GB2312"/>
                <w:b/>
                <w:sz w:val="18"/>
                <w:szCs w:val="18"/>
              </w:rPr>
              <w:t>未偿本金余额</w:t>
            </w:r>
          </w:p>
        </w:tc>
        <w:tc>
          <w:tcPr>
            <w:tcW w:w="881" w:type="dxa"/>
            <w:tcBorders>
              <w:top w:val="single" w:color="auto" w:sz="4" w:space="0"/>
              <w:left w:val="single" w:color="auto" w:sz="4" w:space="0"/>
              <w:bottom w:val="single" w:color="auto" w:sz="4" w:space="0"/>
            </w:tcBorders>
            <w:vAlign w:val="center"/>
          </w:tcPr>
          <w:p w14:paraId="52F7461E">
            <w:pPr>
              <w:jc w:val="center"/>
              <w:rPr>
                <w:rFonts w:eastAsia="楷体_GB2312"/>
                <w:sz w:val="18"/>
                <w:szCs w:val="18"/>
              </w:rPr>
            </w:pPr>
            <w:r>
              <w:rPr>
                <w:rFonts w:eastAsia="楷体_GB2312"/>
                <w:b/>
                <w:sz w:val="18"/>
                <w:szCs w:val="18"/>
              </w:rPr>
              <w:t>占比</w:t>
            </w:r>
          </w:p>
        </w:tc>
        <w:tc>
          <w:tcPr>
            <w:tcW w:w="856" w:type="dxa"/>
            <w:tcBorders>
              <w:top w:val="single" w:color="auto" w:sz="4" w:space="0"/>
              <w:left w:val="single" w:color="auto" w:sz="4" w:space="0"/>
              <w:bottom w:val="single" w:color="auto" w:sz="4" w:space="0"/>
            </w:tcBorders>
            <w:vAlign w:val="center"/>
          </w:tcPr>
          <w:p w14:paraId="7349C769">
            <w:pPr>
              <w:jc w:val="center"/>
              <w:rPr>
                <w:rFonts w:eastAsia="楷体_GB2312"/>
                <w:sz w:val="18"/>
                <w:szCs w:val="18"/>
              </w:rPr>
            </w:pPr>
            <w:r>
              <w:rPr>
                <w:rFonts w:eastAsia="楷体_GB2312"/>
                <w:b/>
                <w:sz w:val="18"/>
                <w:szCs w:val="18"/>
              </w:rPr>
              <w:t>未偿本金余额</w:t>
            </w:r>
          </w:p>
        </w:tc>
        <w:tc>
          <w:tcPr>
            <w:tcW w:w="852" w:type="dxa"/>
            <w:tcBorders>
              <w:top w:val="single" w:color="auto" w:sz="4" w:space="0"/>
              <w:left w:val="single" w:color="auto" w:sz="4" w:space="0"/>
              <w:bottom w:val="single" w:color="auto" w:sz="4" w:space="0"/>
            </w:tcBorders>
            <w:vAlign w:val="center"/>
          </w:tcPr>
          <w:p w14:paraId="7073F12A">
            <w:pPr>
              <w:jc w:val="center"/>
              <w:rPr>
                <w:rFonts w:eastAsia="楷体_GB2312"/>
                <w:sz w:val="18"/>
                <w:szCs w:val="18"/>
              </w:rPr>
            </w:pPr>
            <w:r>
              <w:rPr>
                <w:rFonts w:eastAsia="楷体_GB2312"/>
                <w:b/>
                <w:sz w:val="18"/>
                <w:szCs w:val="18"/>
              </w:rPr>
              <w:t>占比</w:t>
            </w:r>
          </w:p>
        </w:tc>
        <w:tc>
          <w:tcPr>
            <w:tcW w:w="1299" w:type="dxa"/>
            <w:gridSpan w:val="2"/>
            <w:tcBorders>
              <w:top w:val="single" w:color="auto" w:sz="4" w:space="0"/>
              <w:left w:val="single" w:color="auto" w:sz="4" w:space="0"/>
              <w:bottom w:val="single" w:color="auto" w:sz="4" w:space="0"/>
            </w:tcBorders>
            <w:vAlign w:val="center"/>
          </w:tcPr>
          <w:p w14:paraId="2AF7D95C">
            <w:pPr>
              <w:jc w:val="center"/>
              <w:rPr>
                <w:rFonts w:eastAsia="楷体_GB2312"/>
                <w:sz w:val="18"/>
                <w:szCs w:val="18"/>
              </w:rPr>
            </w:pPr>
            <w:r>
              <w:rPr>
                <w:rFonts w:eastAsia="楷体_GB2312"/>
                <w:b/>
                <w:sz w:val="18"/>
                <w:szCs w:val="18"/>
              </w:rPr>
              <w:t>未偿本金余额</w:t>
            </w:r>
          </w:p>
        </w:tc>
        <w:tc>
          <w:tcPr>
            <w:tcW w:w="975" w:type="dxa"/>
            <w:tcBorders>
              <w:top w:val="single" w:color="auto" w:sz="4" w:space="0"/>
              <w:left w:val="single" w:color="auto" w:sz="4" w:space="0"/>
              <w:bottom w:val="single" w:color="auto" w:sz="4" w:space="0"/>
            </w:tcBorders>
            <w:vAlign w:val="center"/>
          </w:tcPr>
          <w:p w14:paraId="015A7711">
            <w:pPr>
              <w:jc w:val="center"/>
              <w:rPr>
                <w:rFonts w:eastAsia="楷体_GB2312"/>
                <w:sz w:val="18"/>
                <w:szCs w:val="18"/>
              </w:rPr>
            </w:pPr>
            <w:r>
              <w:rPr>
                <w:rFonts w:eastAsia="楷体_GB2312"/>
                <w:b/>
                <w:sz w:val="18"/>
                <w:szCs w:val="18"/>
              </w:rPr>
              <w:t>占比</w:t>
            </w:r>
          </w:p>
        </w:tc>
      </w:tr>
      <w:tr w14:paraId="64FCAE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553CD23B">
            <w:pPr>
              <w:jc w:val="center"/>
              <w:rPr>
                <w:rFonts w:eastAsia="楷体_GB2312"/>
                <w:sz w:val="18"/>
              </w:rPr>
            </w:pPr>
          </w:p>
        </w:tc>
        <w:tc>
          <w:tcPr>
            <w:tcW w:w="966" w:type="dxa"/>
            <w:gridSpan w:val="2"/>
            <w:tcBorders>
              <w:top w:val="single" w:color="auto" w:sz="4" w:space="0"/>
              <w:left w:val="single" w:color="auto" w:sz="4" w:space="0"/>
              <w:bottom w:val="single" w:color="auto" w:sz="4" w:space="0"/>
            </w:tcBorders>
            <w:vAlign w:val="center"/>
          </w:tcPr>
          <w:p w14:paraId="1959F52A">
            <w:pPr>
              <w:jc w:val="center"/>
              <w:rPr>
                <w:rFonts w:eastAsia="楷体_GB2312"/>
                <w:sz w:val="18"/>
                <w:szCs w:val="18"/>
              </w:rPr>
            </w:pPr>
          </w:p>
        </w:tc>
        <w:tc>
          <w:tcPr>
            <w:tcW w:w="881" w:type="dxa"/>
            <w:tcBorders>
              <w:top w:val="single" w:color="auto" w:sz="4" w:space="0"/>
              <w:left w:val="single" w:color="auto" w:sz="4" w:space="0"/>
              <w:bottom w:val="single" w:color="auto" w:sz="4" w:space="0"/>
            </w:tcBorders>
            <w:vAlign w:val="center"/>
          </w:tcPr>
          <w:p w14:paraId="2B1F0AAD">
            <w:pPr>
              <w:jc w:val="center"/>
              <w:rPr>
                <w:rFonts w:eastAsia="楷体_GB2312"/>
                <w:sz w:val="18"/>
                <w:szCs w:val="18"/>
              </w:rPr>
            </w:pPr>
          </w:p>
        </w:tc>
        <w:tc>
          <w:tcPr>
            <w:tcW w:w="856" w:type="dxa"/>
            <w:tcBorders>
              <w:top w:val="single" w:color="auto" w:sz="4" w:space="0"/>
              <w:left w:val="single" w:color="auto" w:sz="4" w:space="0"/>
              <w:bottom w:val="single" w:color="auto" w:sz="4" w:space="0"/>
            </w:tcBorders>
            <w:vAlign w:val="center"/>
          </w:tcPr>
          <w:p w14:paraId="60E94E16">
            <w:pPr>
              <w:jc w:val="center"/>
              <w:rPr>
                <w:rFonts w:eastAsia="楷体_GB2312"/>
                <w:sz w:val="18"/>
                <w:szCs w:val="18"/>
              </w:rPr>
            </w:pPr>
          </w:p>
        </w:tc>
        <w:tc>
          <w:tcPr>
            <w:tcW w:w="852" w:type="dxa"/>
            <w:tcBorders>
              <w:top w:val="single" w:color="auto" w:sz="4" w:space="0"/>
              <w:left w:val="single" w:color="auto" w:sz="4" w:space="0"/>
              <w:bottom w:val="single" w:color="auto" w:sz="4" w:space="0"/>
            </w:tcBorders>
            <w:vAlign w:val="center"/>
          </w:tcPr>
          <w:p w14:paraId="71658784">
            <w:pPr>
              <w:jc w:val="center"/>
              <w:rPr>
                <w:rFonts w:eastAsia="楷体_GB2312"/>
                <w:sz w:val="18"/>
                <w:szCs w:val="18"/>
              </w:rPr>
            </w:pPr>
          </w:p>
        </w:tc>
        <w:tc>
          <w:tcPr>
            <w:tcW w:w="1299" w:type="dxa"/>
            <w:gridSpan w:val="2"/>
            <w:tcBorders>
              <w:top w:val="single" w:color="auto" w:sz="4" w:space="0"/>
              <w:left w:val="single" w:color="auto" w:sz="4" w:space="0"/>
              <w:bottom w:val="single" w:color="auto" w:sz="4" w:space="0"/>
            </w:tcBorders>
            <w:vAlign w:val="center"/>
          </w:tcPr>
          <w:p w14:paraId="5F0CD7E0">
            <w:pPr>
              <w:jc w:val="center"/>
              <w:rPr>
                <w:rFonts w:eastAsia="楷体_GB2312"/>
                <w:sz w:val="18"/>
                <w:szCs w:val="18"/>
              </w:rPr>
            </w:pPr>
          </w:p>
        </w:tc>
        <w:tc>
          <w:tcPr>
            <w:tcW w:w="975" w:type="dxa"/>
            <w:tcBorders>
              <w:top w:val="single" w:color="auto" w:sz="4" w:space="0"/>
              <w:left w:val="single" w:color="auto" w:sz="4" w:space="0"/>
              <w:bottom w:val="single" w:color="auto" w:sz="4" w:space="0"/>
            </w:tcBorders>
            <w:vAlign w:val="center"/>
          </w:tcPr>
          <w:p w14:paraId="0AC28F36">
            <w:pPr>
              <w:jc w:val="center"/>
              <w:rPr>
                <w:rFonts w:eastAsia="楷体_GB2312"/>
                <w:sz w:val="18"/>
                <w:szCs w:val="18"/>
              </w:rPr>
            </w:pPr>
          </w:p>
        </w:tc>
      </w:tr>
      <w:tr w14:paraId="6A6F5E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4CB12BF0">
            <w:pPr>
              <w:jc w:val="center"/>
              <w:rPr>
                <w:rFonts w:eastAsia="楷体_GB2312"/>
                <w:sz w:val="18"/>
              </w:rPr>
            </w:pPr>
          </w:p>
        </w:tc>
        <w:tc>
          <w:tcPr>
            <w:tcW w:w="966" w:type="dxa"/>
            <w:gridSpan w:val="2"/>
            <w:tcBorders>
              <w:top w:val="single" w:color="auto" w:sz="4" w:space="0"/>
              <w:left w:val="single" w:color="auto" w:sz="4" w:space="0"/>
              <w:bottom w:val="single" w:color="auto" w:sz="4" w:space="0"/>
            </w:tcBorders>
            <w:vAlign w:val="center"/>
          </w:tcPr>
          <w:p w14:paraId="43EF6B02">
            <w:pPr>
              <w:jc w:val="center"/>
              <w:rPr>
                <w:rFonts w:eastAsia="楷体_GB2312"/>
                <w:sz w:val="18"/>
                <w:szCs w:val="18"/>
              </w:rPr>
            </w:pPr>
          </w:p>
        </w:tc>
        <w:tc>
          <w:tcPr>
            <w:tcW w:w="881" w:type="dxa"/>
            <w:tcBorders>
              <w:top w:val="single" w:color="auto" w:sz="4" w:space="0"/>
              <w:left w:val="single" w:color="auto" w:sz="4" w:space="0"/>
              <w:bottom w:val="single" w:color="auto" w:sz="4" w:space="0"/>
            </w:tcBorders>
            <w:vAlign w:val="center"/>
          </w:tcPr>
          <w:p w14:paraId="52E8F6E1">
            <w:pPr>
              <w:jc w:val="center"/>
              <w:rPr>
                <w:rFonts w:eastAsia="楷体_GB2312"/>
                <w:sz w:val="18"/>
                <w:szCs w:val="18"/>
              </w:rPr>
            </w:pPr>
          </w:p>
        </w:tc>
        <w:tc>
          <w:tcPr>
            <w:tcW w:w="856" w:type="dxa"/>
            <w:tcBorders>
              <w:top w:val="single" w:color="auto" w:sz="4" w:space="0"/>
              <w:left w:val="single" w:color="auto" w:sz="4" w:space="0"/>
              <w:bottom w:val="single" w:color="auto" w:sz="4" w:space="0"/>
            </w:tcBorders>
            <w:vAlign w:val="center"/>
          </w:tcPr>
          <w:p w14:paraId="4E53F6B2">
            <w:pPr>
              <w:jc w:val="center"/>
              <w:rPr>
                <w:rFonts w:eastAsia="楷体_GB2312"/>
                <w:sz w:val="18"/>
                <w:szCs w:val="18"/>
              </w:rPr>
            </w:pPr>
          </w:p>
        </w:tc>
        <w:tc>
          <w:tcPr>
            <w:tcW w:w="852" w:type="dxa"/>
            <w:tcBorders>
              <w:top w:val="single" w:color="auto" w:sz="4" w:space="0"/>
              <w:left w:val="single" w:color="auto" w:sz="4" w:space="0"/>
              <w:bottom w:val="single" w:color="auto" w:sz="4" w:space="0"/>
            </w:tcBorders>
            <w:vAlign w:val="center"/>
          </w:tcPr>
          <w:p w14:paraId="062BE628">
            <w:pPr>
              <w:jc w:val="center"/>
              <w:rPr>
                <w:rFonts w:eastAsia="楷体_GB2312"/>
                <w:sz w:val="18"/>
                <w:szCs w:val="18"/>
              </w:rPr>
            </w:pPr>
          </w:p>
        </w:tc>
        <w:tc>
          <w:tcPr>
            <w:tcW w:w="1299" w:type="dxa"/>
            <w:gridSpan w:val="2"/>
            <w:tcBorders>
              <w:top w:val="single" w:color="auto" w:sz="4" w:space="0"/>
              <w:left w:val="single" w:color="auto" w:sz="4" w:space="0"/>
              <w:bottom w:val="single" w:color="auto" w:sz="4" w:space="0"/>
            </w:tcBorders>
            <w:vAlign w:val="center"/>
          </w:tcPr>
          <w:p w14:paraId="5D2937B0">
            <w:pPr>
              <w:jc w:val="center"/>
              <w:rPr>
                <w:rFonts w:eastAsia="楷体_GB2312"/>
                <w:sz w:val="18"/>
                <w:szCs w:val="18"/>
              </w:rPr>
            </w:pPr>
          </w:p>
        </w:tc>
        <w:tc>
          <w:tcPr>
            <w:tcW w:w="975" w:type="dxa"/>
            <w:tcBorders>
              <w:top w:val="single" w:color="auto" w:sz="4" w:space="0"/>
              <w:left w:val="single" w:color="auto" w:sz="4" w:space="0"/>
              <w:bottom w:val="single" w:color="auto" w:sz="4" w:space="0"/>
            </w:tcBorders>
            <w:vAlign w:val="center"/>
          </w:tcPr>
          <w:p w14:paraId="114A4CC2">
            <w:pPr>
              <w:jc w:val="center"/>
              <w:rPr>
                <w:rFonts w:eastAsia="楷体_GB2312"/>
                <w:sz w:val="18"/>
                <w:szCs w:val="18"/>
              </w:rPr>
            </w:pPr>
          </w:p>
        </w:tc>
      </w:tr>
      <w:tr w14:paraId="2A3CE8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4D8C4522">
            <w:pPr>
              <w:jc w:val="center"/>
              <w:rPr>
                <w:rFonts w:eastAsia="楷体_GB2312"/>
                <w:sz w:val="18"/>
              </w:rPr>
            </w:pPr>
          </w:p>
        </w:tc>
        <w:tc>
          <w:tcPr>
            <w:tcW w:w="966" w:type="dxa"/>
            <w:gridSpan w:val="2"/>
            <w:tcBorders>
              <w:top w:val="single" w:color="auto" w:sz="4" w:space="0"/>
              <w:left w:val="single" w:color="auto" w:sz="4" w:space="0"/>
              <w:bottom w:val="single" w:color="auto" w:sz="4" w:space="0"/>
            </w:tcBorders>
            <w:vAlign w:val="center"/>
          </w:tcPr>
          <w:p w14:paraId="1944FC60">
            <w:pPr>
              <w:jc w:val="center"/>
              <w:rPr>
                <w:rFonts w:eastAsia="楷体_GB2312"/>
                <w:sz w:val="18"/>
                <w:szCs w:val="18"/>
              </w:rPr>
            </w:pPr>
          </w:p>
        </w:tc>
        <w:tc>
          <w:tcPr>
            <w:tcW w:w="881" w:type="dxa"/>
            <w:tcBorders>
              <w:top w:val="single" w:color="auto" w:sz="4" w:space="0"/>
              <w:left w:val="single" w:color="auto" w:sz="4" w:space="0"/>
              <w:bottom w:val="single" w:color="auto" w:sz="4" w:space="0"/>
            </w:tcBorders>
            <w:vAlign w:val="center"/>
          </w:tcPr>
          <w:p w14:paraId="0692AC3F">
            <w:pPr>
              <w:jc w:val="center"/>
              <w:rPr>
                <w:rFonts w:eastAsia="楷体_GB2312"/>
                <w:sz w:val="18"/>
                <w:szCs w:val="18"/>
              </w:rPr>
            </w:pPr>
          </w:p>
        </w:tc>
        <w:tc>
          <w:tcPr>
            <w:tcW w:w="856" w:type="dxa"/>
            <w:tcBorders>
              <w:top w:val="single" w:color="auto" w:sz="4" w:space="0"/>
              <w:left w:val="single" w:color="auto" w:sz="4" w:space="0"/>
              <w:bottom w:val="single" w:color="auto" w:sz="4" w:space="0"/>
            </w:tcBorders>
            <w:vAlign w:val="center"/>
          </w:tcPr>
          <w:p w14:paraId="43E6974C">
            <w:pPr>
              <w:jc w:val="center"/>
              <w:rPr>
                <w:rFonts w:eastAsia="楷体_GB2312"/>
                <w:sz w:val="18"/>
                <w:szCs w:val="18"/>
              </w:rPr>
            </w:pPr>
          </w:p>
        </w:tc>
        <w:tc>
          <w:tcPr>
            <w:tcW w:w="852" w:type="dxa"/>
            <w:tcBorders>
              <w:top w:val="single" w:color="auto" w:sz="4" w:space="0"/>
              <w:left w:val="single" w:color="auto" w:sz="4" w:space="0"/>
              <w:bottom w:val="single" w:color="auto" w:sz="4" w:space="0"/>
            </w:tcBorders>
            <w:vAlign w:val="center"/>
          </w:tcPr>
          <w:p w14:paraId="0047111C">
            <w:pPr>
              <w:jc w:val="center"/>
              <w:rPr>
                <w:rFonts w:eastAsia="楷体_GB2312"/>
                <w:sz w:val="18"/>
                <w:szCs w:val="18"/>
              </w:rPr>
            </w:pPr>
          </w:p>
        </w:tc>
        <w:tc>
          <w:tcPr>
            <w:tcW w:w="1299" w:type="dxa"/>
            <w:gridSpan w:val="2"/>
            <w:tcBorders>
              <w:top w:val="single" w:color="auto" w:sz="4" w:space="0"/>
              <w:left w:val="single" w:color="auto" w:sz="4" w:space="0"/>
              <w:bottom w:val="single" w:color="auto" w:sz="4" w:space="0"/>
            </w:tcBorders>
            <w:vAlign w:val="center"/>
          </w:tcPr>
          <w:p w14:paraId="41681220">
            <w:pPr>
              <w:jc w:val="center"/>
              <w:rPr>
                <w:rFonts w:eastAsia="楷体_GB2312"/>
                <w:sz w:val="18"/>
                <w:szCs w:val="18"/>
              </w:rPr>
            </w:pPr>
          </w:p>
        </w:tc>
        <w:tc>
          <w:tcPr>
            <w:tcW w:w="975" w:type="dxa"/>
            <w:tcBorders>
              <w:top w:val="single" w:color="auto" w:sz="4" w:space="0"/>
              <w:left w:val="single" w:color="auto" w:sz="4" w:space="0"/>
              <w:bottom w:val="single" w:color="auto" w:sz="4" w:space="0"/>
            </w:tcBorders>
            <w:vAlign w:val="center"/>
          </w:tcPr>
          <w:p w14:paraId="508C1CE2">
            <w:pPr>
              <w:jc w:val="center"/>
              <w:rPr>
                <w:rFonts w:eastAsia="楷体_GB2312"/>
                <w:sz w:val="18"/>
                <w:szCs w:val="18"/>
              </w:rPr>
            </w:pPr>
          </w:p>
        </w:tc>
      </w:tr>
      <w:tr w14:paraId="69DB6D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7DAAFE97">
            <w:pPr>
              <w:jc w:val="center"/>
              <w:rPr>
                <w:rFonts w:eastAsia="楷体_GB2312"/>
                <w:sz w:val="18"/>
              </w:rPr>
            </w:pPr>
          </w:p>
        </w:tc>
        <w:tc>
          <w:tcPr>
            <w:tcW w:w="966" w:type="dxa"/>
            <w:gridSpan w:val="2"/>
            <w:tcBorders>
              <w:top w:val="single" w:color="auto" w:sz="4" w:space="0"/>
              <w:left w:val="single" w:color="auto" w:sz="4" w:space="0"/>
              <w:bottom w:val="single" w:color="auto" w:sz="4" w:space="0"/>
            </w:tcBorders>
            <w:vAlign w:val="center"/>
          </w:tcPr>
          <w:p w14:paraId="23F5D9A6">
            <w:pPr>
              <w:jc w:val="center"/>
              <w:rPr>
                <w:rFonts w:eastAsia="楷体_GB2312"/>
                <w:sz w:val="18"/>
                <w:szCs w:val="18"/>
              </w:rPr>
            </w:pPr>
          </w:p>
        </w:tc>
        <w:tc>
          <w:tcPr>
            <w:tcW w:w="881" w:type="dxa"/>
            <w:tcBorders>
              <w:top w:val="single" w:color="auto" w:sz="4" w:space="0"/>
              <w:left w:val="single" w:color="auto" w:sz="4" w:space="0"/>
              <w:bottom w:val="single" w:color="auto" w:sz="4" w:space="0"/>
            </w:tcBorders>
            <w:vAlign w:val="center"/>
          </w:tcPr>
          <w:p w14:paraId="29AB7346">
            <w:pPr>
              <w:jc w:val="center"/>
              <w:rPr>
                <w:rFonts w:eastAsia="楷体_GB2312"/>
                <w:sz w:val="18"/>
                <w:szCs w:val="18"/>
              </w:rPr>
            </w:pPr>
          </w:p>
        </w:tc>
        <w:tc>
          <w:tcPr>
            <w:tcW w:w="856" w:type="dxa"/>
            <w:tcBorders>
              <w:top w:val="single" w:color="auto" w:sz="4" w:space="0"/>
              <w:left w:val="single" w:color="auto" w:sz="4" w:space="0"/>
              <w:bottom w:val="single" w:color="auto" w:sz="4" w:space="0"/>
            </w:tcBorders>
            <w:vAlign w:val="center"/>
          </w:tcPr>
          <w:p w14:paraId="31720039">
            <w:pPr>
              <w:jc w:val="center"/>
              <w:rPr>
                <w:rFonts w:eastAsia="楷体_GB2312"/>
                <w:sz w:val="18"/>
                <w:szCs w:val="18"/>
              </w:rPr>
            </w:pPr>
          </w:p>
        </w:tc>
        <w:tc>
          <w:tcPr>
            <w:tcW w:w="852" w:type="dxa"/>
            <w:tcBorders>
              <w:top w:val="single" w:color="auto" w:sz="4" w:space="0"/>
              <w:left w:val="single" w:color="auto" w:sz="4" w:space="0"/>
              <w:bottom w:val="single" w:color="auto" w:sz="4" w:space="0"/>
            </w:tcBorders>
            <w:vAlign w:val="center"/>
          </w:tcPr>
          <w:p w14:paraId="7D7F6298">
            <w:pPr>
              <w:jc w:val="center"/>
              <w:rPr>
                <w:rFonts w:eastAsia="楷体_GB2312"/>
                <w:sz w:val="18"/>
                <w:szCs w:val="18"/>
              </w:rPr>
            </w:pPr>
          </w:p>
        </w:tc>
        <w:tc>
          <w:tcPr>
            <w:tcW w:w="1299" w:type="dxa"/>
            <w:gridSpan w:val="2"/>
            <w:tcBorders>
              <w:top w:val="single" w:color="auto" w:sz="4" w:space="0"/>
              <w:left w:val="single" w:color="auto" w:sz="4" w:space="0"/>
              <w:bottom w:val="single" w:color="auto" w:sz="4" w:space="0"/>
            </w:tcBorders>
            <w:vAlign w:val="center"/>
          </w:tcPr>
          <w:p w14:paraId="1AF663E5">
            <w:pPr>
              <w:jc w:val="center"/>
              <w:rPr>
                <w:rFonts w:eastAsia="楷体_GB2312"/>
                <w:sz w:val="18"/>
                <w:szCs w:val="18"/>
              </w:rPr>
            </w:pPr>
          </w:p>
        </w:tc>
        <w:tc>
          <w:tcPr>
            <w:tcW w:w="975" w:type="dxa"/>
            <w:tcBorders>
              <w:top w:val="single" w:color="auto" w:sz="4" w:space="0"/>
              <w:left w:val="single" w:color="auto" w:sz="4" w:space="0"/>
              <w:bottom w:val="single" w:color="auto" w:sz="4" w:space="0"/>
            </w:tcBorders>
            <w:vAlign w:val="center"/>
          </w:tcPr>
          <w:p w14:paraId="796319A3">
            <w:pPr>
              <w:jc w:val="center"/>
              <w:rPr>
                <w:rFonts w:eastAsia="楷体_GB2312"/>
                <w:sz w:val="18"/>
                <w:szCs w:val="18"/>
              </w:rPr>
            </w:pPr>
          </w:p>
        </w:tc>
      </w:tr>
      <w:tr w14:paraId="1822E9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1" w:type="dxa"/>
            <w:gridSpan w:val="9"/>
            <w:tcBorders>
              <w:top w:val="single" w:color="auto" w:sz="4" w:space="0"/>
              <w:bottom w:val="single" w:color="auto" w:sz="4" w:space="0"/>
            </w:tcBorders>
          </w:tcPr>
          <w:p w14:paraId="21F3D98E">
            <w:pPr>
              <w:rPr>
                <w:rFonts w:eastAsia="楷体_GB2312"/>
                <w:sz w:val="18"/>
                <w:szCs w:val="18"/>
                <w:lang w:eastAsia="zh-CN"/>
              </w:rPr>
            </w:pPr>
          </w:p>
          <w:p w14:paraId="22EDCECA">
            <w:pPr>
              <w:rPr>
                <w:rFonts w:eastAsia="楷体_GB2312"/>
                <w:sz w:val="18"/>
                <w:szCs w:val="18"/>
                <w:lang w:eastAsia="zh-CN"/>
              </w:rPr>
            </w:pPr>
            <w:r>
              <w:rPr>
                <w:rFonts w:eastAsia="楷体_GB2312"/>
                <w:b/>
                <w:lang w:eastAsia="zh-CN"/>
              </w:rPr>
              <w:t>3、贷款利率类型分布</w:t>
            </w:r>
          </w:p>
        </w:tc>
      </w:tr>
      <w:tr w14:paraId="7A0897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restart"/>
            <w:tcBorders>
              <w:top w:val="single" w:color="auto" w:sz="4" w:space="0"/>
              <w:right w:val="single" w:color="auto" w:sz="4" w:space="0"/>
            </w:tcBorders>
            <w:vAlign w:val="center"/>
          </w:tcPr>
          <w:p w14:paraId="0E6BB14C">
            <w:pPr>
              <w:jc w:val="center"/>
              <w:rPr>
                <w:rFonts w:eastAsia="楷体_GB2312"/>
                <w:lang w:eastAsia="zh-CN"/>
              </w:rPr>
            </w:pPr>
            <w:r>
              <w:rPr>
                <w:rFonts w:eastAsia="楷体_GB2312"/>
                <w:b/>
                <w:sz w:val="18"/>
                <w:szCs w:val="18"/>
              </w:rPr>
              <w:t>利率类型</w:t>
            </w:r>
          </w:p>
        </w:tc>
        <w:tc>
          <w:tcPr>
            <w:tcW w:w="1847" w:type="dxa"/>
            <w:gridSpan w:val="3"/>
            <w:tcBorders>
              <w:top w:val="single" w:color="auto" w:sz="4" w:space="0"/>
              <w:left w:val="single" w:color="auto" w:sz="4" w:space="0"/>
              <w:bottom w:val="single" w:color="auto" w:sz="4" w:space="0"/>
              <w:right w:val="single" w:color="auto" w:sz="4" w:space="0"/>
            </w:tcBorders>
            <w:vAlign w:val="center"/>
          </w:tcPr>
          <w:p w14:paraId="547D7877">
            <w:pPr>
              <w:jc w:val="center"/>
              <w:rPr>
                <w:rFonts w:eastAsia="楷体_GB2312"/>
                <w:b/>
                <w:sz w:val="18"/>
                <w:szCs w:val="18"/>
              </w:rPr>
            </w:pPr>
            <w:r>
              <w:rPr>
                <w:rFonts w:eastAsia="楷体_GB2312"/>
                <w:b/>
                <w:sz w:val="18"/>
                <w:szCs w:val="18"/>
              </w:rPr>
              <w:t>初始起算日</w:t>
            </w:r>
          </w:p>
        </w:tc>
        <w:tc>
          <w:tcPr>
            <w:tcW w:w="1708" w:type="dxa"/>
            <w:gridSpan w:val="2"/>
            <w:tcBorders>
              <w:top w:val="single" w:color="auto" w:sz="4" w:space="0"/>
              <w:left w:val="single" w:color="auto" w:sz="4" w:space="0"/>
              <w:bottom w:val="single" w:color="auto" w:sz="4" w:space="0"/>
              <w:right w:val="single" w:color="auto" w:sz="4" w:space="0"/>
            </w:tcBorders>
            <w:vAlign w:val="center"/>
          </w:tcPr>
          <w:p w14:paraId="6C834E7C">
            <w:pPr>
              <w:jc w:val="center"/>
              <w:rPr>
                <w:rFonts w:eastAsia="楷体_GB2312"/>
                <w:b/>
                <w:sz w:val="18"/>
                <w:szCs w:val="18"/>
              </w:rPr>
            </w:pPr>
            <w:r>
              <w:rPr>
                <w:rFonts w:eastAsia="楷体_GB2312"/>
                <w:b/>
                <w:sz w:val="18"/>
                <w:szCs w:val="18"/>
              </w:rPr>
              <w:t>本</w:t>
            </w:r>
            <w:r>
              <w:rPr>
                <w:rFonts w:eastAsia="楷体_GB2312"/>
                <w:b/>
                <w:sz w:val="18"/>
                <w:szCs w:val="18"/>
                <w:lang w:eastAsia="zh-CN"/>
              </w:rPr>
              <w:t>报告</w:t>
            </w:r>
            <w:r>
              <w:rPr>
                <w:rFonts w:eastAsia="楷体_GB2312"/>
                <w:b/>
                <w:sz w:val="18"/>
                <w:szCs w:val="18"/>
              </w:rPr>
              <w:t>期末</w:t>
            </w:r>
          </w:p>
        </w:tc>
        <w:tc>
          <w:tcPr>
            <w:tcW w:w="2274" w:type="dxa"/>
            <w:gridSpan w:val="3"/>
            <w:tcBorders>
              <w:top w:val="single" w:color="auto" w:sz="4" w:space="0"/>
              <w:left w:val="single" w:color="auto" w:sz="4" w:space="0"/>
              <w:bottom w:val="single" w:color="auto" w:sz="4" w:space="0"/>
            </w:tcBorders>
            <w:vAlign w:val="center"/>
          </w:tcPr>
          <w:p w14:paraId="0466E269">
            <w:pPr>
              <w:jc w:val="center"/>
              <w:rPr>
                <w:rFonts w:eastAsia="楷体_GB2312"/>
                <w:b/>
                <w:sz w:val="18"/>
                <w:szCs w:val="18"/>
              </w:rPr>
            </w:pPr>
            <w:r>
              <w:rPr>
                <w:rFonts w:eastAsia="楷体_GB2312"/>
                <w:b/>
                <w:sz w:val="18"/>
                <w:szCs w:val="18"/>
              </w:rPr>
              <w:t>上一</w:t>
            </w:r>
            <w:r>
              <w:rPr>
                <w:rFonts w:eastAsia="楷体_GB2312"/>
                <w:b/>
                <w:sz w:val="18"/>
                <w:szCs w:val="18"/>
                <w:lang w:eastAsia="zh-CN"/>
              </w:rPr>
              <w:t>报告</w:t>
            </w:r>
            <w:r>
              <w:rPr>
                <w:rFonts w:eastAsia="楷体_GB2312"/>
                <w:b/>
                <w:sz w:val="18"/>
                <w:szCs w:val="18"/>
              </w:rPr>
              <w:t>期末</w:t>
            </w:r>
          </w:p>
        </w:tc>
      </w:tr>
      <w:tr w14:paraId="4CDCB8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continue"/>
            <w:tcBorders>
              <w:bottom w:val="single" w:color="auto" w:sz="4" w:space="0"/>
              <w:right w:val="single" w:color="auto" w:sz="4" w:space="0"/>
            </w:tcBorders>
            <w:vAlign w:val="center"/>
          </w:tcPr>
          <w:p w14:paraId="369F92E6">
            <w:pPr>
              <w:jc w:val="center"/>
              <w:rPr>
                <w:rFonts w:eastAsia="楷体_GB2312"/>
                <w:sz w:val="18"/>
              </w:rPr>
            </w:pPr>
          </w:p>
        </w:tc>
        <w:tc>
          <w:tcPr>
            <w:tcW w:w="966" w:type="dxa"/>
            <w:gridSpan w:val="2"/>
            <w:tcBorders>
              <w:top w:val="single" w:color="auto" w:sz="4" w:space="0"/>
              <w:left w:val="single" w:color="auto" w:sz="4" w:space="0"/>
              <w:bottom w:val="single" w:color="auto" w:sz="4" w:space="0"/>
            </w:tcBorders>
            <w:vAlign w:val="center"/>
          </w:tcPr>
          <w:p w14:paraId="22D345D1">
            <w:pPr>
              <w:jc w:val="center"/>
              <w:rPr>
                <w:rFonts w:eastAsia="楷体_GB2312"/>
                <w:sz w:val="18"/>
                <w:szCs w:val="18"/>
              </w:rPr>
            </w:pPr>
            <w:r>
              <w:rPr>
                <w:rFonts w:eastAsia="楷体_GB2312"/>
                <w:b/>
                <w:sz w:val="18"/>
                <w:szCs w:val="18"/>
              </w:rPr>
              <w:t>未偿本金余额</w:t>
            </w:r>
          </w:p>
        </w:tc>
        <w:tc>
          <w:tcPr>
            <w:tcW w:w="881" w:type="dxa"/>
            <w:tcBorders>
              <w:top w:val="single" w:color="auto" w:sz="4" w:space="0"/>
              <w:left w:val="single" w:color="auto" w:sz="4" w:space="0"/>
              <w:bottom w:val="single" w:color="auto" w:sz="4" w:space="0"/>
            </w:tcBorders>
            <w:vAlign w:val="center"/>
          </w:tcPr>
          <w:p w14:paraId="1E2A289D">
            <w:pPr>
              <w:jc w:val="center"/>
              <w:rPr>
                <w:rFonts w:eastAsia="楷体_GB2312"/>
                <w:sz w:val="18"/>
                <w:szCs w:val="18"/>
              </w:rPr>
            </w:pPr>
            <w:r>
              <w:rPr>
                <w:rFonts w:eastAsia="楷体_GB2312"/>
                <w:b/>
                <w:sz w:val="18"/>
                <w:szCs w:val="18"/>
              </w:rPr>
              <w:t>占比</w:t>
            </w:r>
          </w:p>
        </w:tc>
        <w:tc>
          <w:tcPr>
            <w:tcW w:w="856" w:type="dxa"/>
            <w:tcBorders>
              <w:top w:val="single" w:color="auto" w:sz="4" w:space="0"/>
              <w:left w:val="single" w:color="auto" w:sz="4" w:space="0"/>
              <w:bottom w:val="single" w:color="auto" w:sz="4" w:space="0"/>
            </w:tcBorders>
            <w:vAlign w:val="center"/>
          </w:tcPr>
          <w:p w14:paraId="5264BFAA">
            <w:pPr>
              <w:jc w:val="center"/>
              <w:rPr>
                <w:rFonts w:eastAsia="楷体_GB2312"/>
                <w:sz w:val="18"/>
                <w:szCs w:val="18"/>
              </w:rPr>
            </w:pPr>
            <w:r>
              <w:rPr>
                <w:rFonts w:eastAsia="楷体_GB2312"/>
                <w:b/>
                <w:sz w:val="18"/>
                <w:szCs w:val="18"/>
              </w:rPr>
              <w:t>未偿本金余额</w:t>
            </w:r>
          </w:p>
        </w:tc>
        <w:tc>
          <w:tcPr>
            <w:tcW w:w="852" w:type="dxa"/>
            <w:tcBorders>
              <w:top w:val="single" w:color="auto" w:sz="4" w:space="0"/>
              <w:left w:val="single" w:color="auto" w:sz="4" w:space="0"/>
              <w:bottom w:val="single" w:color="auto" w:sz="4" w:space="0"/>
            </w:tcBorders>
            <w:vAlign w:val="center"/>
          </w:tcPr>
          <w:p w14:paraId="7E19B22C">
            <w:pPr>
              <w:jc w:val="center"/>
              <w:rPr>
                <w:rFonts w:eastAsia="楷体_GB2312"/>
                <w:sz w:val="18"/>
                <w:szCs w:val="18"/>
              </w:rPr>
            </w:pPr>
            <w:r>
              <w:rPr>
                <w:rFonts w:eastAsia="楷体_GB2312"/>
                <w:b/>
                <w:sz w:val="18"/>
                <w:szCs w:val="18"/>
              </w:rPr>
              <w:t>占比</w:t>
            </w:r>
          </w:p>
        </w:tc>
        <w:tc>
          <w:tcPr>
            <w:tcW w:w="1299" w:type="dxa"/>
            <w:gridSpan w:val="2"/>
            <w:tcBorders>
              <w:top w:val="single" w:color="auto" w:sz="4" w:space="0"/>
              <w:left w:val="single" w:color="auto" w:sz="4" w:space="0"/>
              <w:bottom w:val="single" w:color="auto" w:sz="4" w:space="0"/>
            </w:tcBorders>
            <w:vAlign w:val="center"/>
          </w:tcPr>
          <w:p w14:paraId="3AD544E2">
            <w:pPr>
              <w:jc w:val="center"/>
              <w:rPr>
                <w:rFonts w:eastAsia="楷体_GB2312"/>
                <w:sz w:val="18"/>
                <w:szCs w:val="18"/>
              </w:rPr>
            </w:pPr>
            <w:r>
              <w:rPr>
                <w:rFonts w:eastAsia="楷体_GB2312"/>
                <w:b/>
                <w:sz w:val="18"/>
                <w:szCs w:val="18"/>
              </w:rPr>
              <w:t>未偿本金余额</w:t>
            </w:r>
          </w:p>
        </w:tc>
        <w:tc>
          <w:tcPr>
            <w:tcW w:w="975" w:type="dxa"/>
            <w:tcBorders>
              <w:top w:val="single" w:color="auto" w:sz="4" w:space="0"/>
              <w:left w:val="single" w:color="auto" w:sz="4" w:space="0"/>
              <w:bottom w:val="single" w:color="auto" w:sz="4" w:space="0"/>
            </w:tcBorders>
            <w:vAlign w:val="center"/>
          </w:tcPr>
          <w:p w14:paraId="22C07888">
            <w:pPr>
              <w:jc w:val="center"/>
              <w:rPr>
                <w:rFonts w:eastAsia="楷体_GB2312"/>
                <w:sz w:val="18"/>
                <w:szCs w:val="18"/>
              </w:rPr>
            </w:pPr>
            <w:r>
              <w:rPr>
                <w:rFonts w:eastAsia="楷体_GB2312"/>
                <w:b/>
                <w:sz w:val="18"/>
                <w:szCs w:val="18"/>
              </w:rPr>
              <w:t>占比</w:t>
            </w:r>
          </w:p>
        </w:tc>
      </w:tr>
      <w:tr w14:paraId="2F8351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tcPr>
          <w:p w14:paraId="4A9EB7BA">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45FB415F">
            <w:pPr>
              <w:rPr>
                <w:rFonts w:eastAsia="楷体_GB2312"/>
                <w:sz w:val="18"/>
                <w:szCs w:val="18"/>
              </w:rPr>
            </w:pPr>
          </w:p>
        </w:tc>
        <w:tc>
          <w:tcPr>
            <w:tcW w:w="881" w:type="dxa"/>
            <w:tcBorders>
              <w:top w:val="single" w:color="auto" w:sz="4" w:space="0"/>
              <w:left w:val="single" w:color="auto" w:sz="4" w:space="0"/>
              <w:bottom w:val="single" w:color="auto" w:sz="4" w:space="0"/>
            </w:tcBorders>
          </w:tcPr>
          <w:p w14:paraId="5307BB71">
            <w:pPr>
              <w:rPr>
                <w:rFonts w:eastAsia="楷体_GB2312"/>
                <w:sz w:val="18"/>
                <w:szCs w:val="18"/>
              </w:rPr>
            </w:pPr>
          </w:p>
        </w:tc>
        <w:tc>
          <w:tcPr>
            <w:tcW w:w="856" w:type="dxa"/>
            <w:tcBorders>
              <w:top w:val="single" w:color="auto" w:sz="4" w:space="0"/>
              <w:left w:val="single" w:color="auto" w:sz="4" w:space="0"/>
              <w:bottom w:val="single" w:color="auto" w:sz="4" w:space="0"/>
            </w:tcBorders>
          </w:tcPr>
          <w:p w14:paraId="6AAEC766">
            <w:pPr>
              <w:rPr>
                <w:rFonts w:eastAsia="楷体_GB2312"/>
                <w:sz w:val="18"/>
                <w:szCs w:val="18"/>
              </w:rPr>
            </w:pPr>
          </w:p>
        </w:tc>
        <w:tc>
          <w:tcPr>
            <w:tcW w:w="852" w:type="dxa"/>
            <w:tcBorders>
              <w:top w:val="single" w:color="auto" w:sz="4" w:space="0"/>
              <w:left w:val="single" w:color="auto" w:sz="4" w:space="0"/>
              <w:bottom w:val="single" w:color="auto" w:sz="4" w:space="0"/>
            </w:tcBorders>
          </w:tcPr>
          <w:p w14:paraId="4E247CBB">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68D1E241">
            <w:pPr>
              <w:rPr>
                <w:rFonts w:eastAsia="楷体_GB2312"/>
                <w:sz w:val="18"/>
                <w:szCs w:val="18"/>
              </w:rPr>
            </w:pPr>
          </w:p>
        </w:tc>
        <w:tc>
          <w:tcPr>
            <w:tcW w:w="975" w:type="dxa"/>
            <w:tcBorders>
              <w:top w:val="single" w:color="auto" w:sz="4" w:space="0"/>
              <w:left w:val="single" w:color="auto" w:sz="4" w:space="0"/>
              <w:bottom w:val="single" w:color="auto" w:sz="4" w:space="0"/>
            </w:tcBorders>
          </w:tcPr>
          <w:p w14:paraId="56E1CD06">
            <w:pPr>
              <w:rPr>
                <w:rFonts w:eastAsia="楷体_GB2312"/>
                <w:sz w:val="18"/>
                <w:szCs w:val="18"/>
              </w:rPr>
            </w:pPr>
          </w:p>
        </w:tc>
      </w:tr>
      <w:tr w14:paraId="32A0C9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tcPr>
          <w:p w14:paraId="5BCFBCB7">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4B879D7C">
            <w:pPr>
              <w:rPr>
                <w:rFonts w:eastAsia="楷体_GB2312"/>
                <w:sz w:val="18"/>
                <w:szCs w:val="18"/>
              </w:rPr>
            </w:pPr>
          </w:p>
        </w:tc>
        <w:tc>
          <w:tcPr>
            <w:tcW w:w="881" w:type="dxa"/>
            <w:tcBorders>
              <w:top w:val="single" w:color="auto" w:sz="4" w:space="0"/>
              <w:left w:val="single" w:color="auto" w:sz="4" w:space="0"/>
              <w:bottom w:val="single" w:color="auto" w:sz="4" w:space="0"/>
            </w:tcBorders>
          </w:tcPr>
          <w:p w14:paraId="2CB17231">
            <w:pPr>
              <w:rPr>
                <w:rFonts w:eastAsia="楷体_GB2312"/>
                <w:sz w:val="18"/>
                <w:szCs w:val="18"/>
              </w:rPr>
            </w:pPr>
          </w:p>
        </w:tc>
        <w:tc>
          <w:tcPr>
            <w:tcW w:w="856" w:type="dxa"/>
            <w:tcBorders>
              <w:top w:val="single" w:color="auto" w:sz="4" w:space="0"/>
              <w:left w:val="single" w:color="auto" w:sz="4" w:space="0"/>
              <w:bottom w:val="single" w:color="auto" w:sz="4" w:space="0"/>
            </w:tcBorders>
          </w:tcPr>
          <w:p w14:paraId="2E769AF8">
            <w:pPr>
              <w:rPr>
                <w:rFonts w:eastAsia="楷体_GB2312"/>
                <w:sz w:val="18"/>
                <w:szCs w:val="18"/>
              </w:rPr>
            </w:pPr>
          </w:p>
        </w:tc>
        <w:tc>
          <w:tcPr>
            <w:tcW w:w="852" w:type="dxa"/>
            <w:tcBorders>
              <w:top w:val="single" w:color="auto" w:sz="4" w:space="0"/>
              <w:left w:val="single" w:color="auto" w:sz="4" w:space="0"/>
              <w:bottom w:val="single" w:color="auto" w:sz="4" w:space="0"/>
            </w:tcBorders>
          </w:tcPr>
          <w:p w14:paraId="1723D56B">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54BF1B9F">
            <w:pPr>
              <w:rPr>
                <w:rFonts w:eastAsia="楷体_GB2312"/>
                <w:sz w:val="18"/>
                <w:szCs w:val="18"/>
              </w:rPr>
            </w:pPr>
          </w:p>
        </w:tc>
        <w:tc>
          <w:tcPr>
            <w:tcW w:w="975" w:type="dxa"/>
            <w:tcBorders>
              <w:top w:val="single" w:color="auto" w:sz="4" w:space="0"/>
              <w:left w:val="single" w:color="auto" w:sz="4" w:space="0"/>
              <w:bottom w:val="single" w:color="auto" w:sz="4" w:space="0"/>
            </w:tcBorders>
          </w:tcPr>
          <w:p w14:paraId="429393FB">
            <w:pPr>
              <w:rPr>
                <w:rFonts w:eastAsia="楷体_GB2312"/>
                <w:sz w:val="18"/>
                <w:szCs w:val="18"/>
              </w:rPr>
            </w:pPr>
          </w:p>
        </w:tc>
      </w:tr>
      <w:tr w14:paraId="0E1CD0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tcPr>
          <w:p w14:paraId="5D5621AC">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4C56B9DF">
            <w:pPr>
              <w:rPr>
                <w:rFonts w:eastAsia="楷体_GB2312"/>
                <w:sz w:val="18"/>
                <w:szCs w:val="18"/>
              </w:rPr>
            </w:pPr>
          </w:p>
        </w:tc>
        <w:tc>
          <w:tcPr>
            <w:tcW w:w="881" w:type="dxa"/>
            <w:tcBorders>
              <w:top w:val="single" w:color="auto" w:sz="4" w:space="0"/>
              <w:left w:val="single" w:color="auto" w:sz="4" w:space="0"/>
              <w:bottom w:val="single" w:color="auto" w:sz="4" w:space="0"/>
            </w:tcBorders>
          </w:tcPr>
          <w:p w14:paraId="3625798D">
            <w:pPr>
              <w:rPr>
                <w:rFonts w:eastAsia="楷体_GB2312"/>
                <w:sz w:val="18"/>
                <w:szCs w:val="18"/>
              </w:rPr>
            </w:pPr>
          </w:p>
        </w:tc>
        <w:tc>
          <w:tcPr>
            <w:tcW w:w="856" w:type="dxa"/>
            <w:tcBorders>
              <w:top w:val="single" w:color="auto" w:sz="4" w:space="0"/>
              <w:left w:val="single" w:color="auto" w:sz="4" w:space="0"/>
              <w:bottom w:val="single" w:color="auto" w:sz="4" w:space="0"/>
            </w:tcBorders>
          </w:tcPr>
          <w:p w14:paraId="56B4F262">
            <w:pPr>
              <w:rPr>
                <w:rFonts w:eastAsia="楷体_GB2312"/>
                <w:sz w:val="18"/>
                <w:szCs w:val="18"/>
              </w:rPr>
            </w:pPr>
          </w:p>
        </w:tc>
        <w:tc>
          <w:tcPr>
            <w:tcW w:w="852" w:type="dxa"/>
            <w:tcBorders>
              <w:top w:val="single" w:color="auto" w:sz="4" w:space="0"/>
              <w:left w:val="single" w:color="auto" w:sz="4" w:space="0"/>
              <w:bottom w:val="single" w:color="auto" w:sz="4" w:space="0"/>
            </w:tcBorders>
          </w:tcPr>
          <w:p w14:paraId="76C38379">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4597AC0C">
            <w:pPr>
              <w:rPr>
                <w:rFonts w:eastAsia="楷体_GB2312"/>
                <w:sz w:val="18"/>
                <w:szCs w:val="18"/>
              </w:rPr>
            </w:pPr>
          </w:p>
        </w:tc>
        <w:tc>
          <w:tcPr>
            <w:tcW w:w="975" w:type="dxa"/>
            <w:tcBorders>
              <w:top w:val="single" w:color="auto" w:sz="4" w:space="0"/>
              <w:left w:val="single" w:color="auto" w:sz="4" w:space="0"/>
              <w:bottom w:val="single" w:color="auto" w:sz="4" w:space="0"/>
            </w:tcBorders>
          </w:tcPr>
          <w:p w14:paraId="66B02232">
            <w:pPr>
              <w:rPr>
                <w:rFonts w:eastAsia="楷体_GB2312"/>
                <w:sz w:val="18"/>
                <w:szCs w:val="18"/>
              </w:rPr>
            </w:pPr>
          </w:p>
        </w:tc>
      </w:tr>
      <w:tr w14:paraId="7BC2BF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1" w:type="dxa"/>
            <w:gridSpan w:val="9"/>
            <w:tcBorders>
              <w:top w:val="single" w:color="auto" w:sz="4" w:space="0"/>
              <w:bottom w:val="single" w:color="auto" w:sz="4" w:space="0"/>
            </w:tcBorders>
          </w:tcPr>
          <w:p w14:paraId="026C0DEC">
            <w:pPr>
              <w:rPr>
                <w:rFonts w:eastAsia="楷体_GB2312"/>
                <w:sz w:val="18"/>
              </w:rPr>
            </w:pPr>
          </w:p>
          <w:p w14:paraId="065EBE9A">
            <w:pPr>
              <w:rPr>
                <w:rFonts w:eastAsia="楷体_GB2312"/>
                <w:sz w:val="18"/>
                <w:szCs w:val="18"/>
              </w:rPr>
            </w:pPr>
            <w:r>
              <w:rPr>
                <w:rFonts w:eastAsia="楷体_GB2312"/>
                <w:b/>
                <w:lang w:eastAsia="zh-CN"/>
              </w:rPr>
              <w:t>4、贷款利率分布</w:t>
            </w:r>
          </w:p>
        </w:tc>
      </w:tr>
      <w:tr w14:paraId="724296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restart"/>
            <w:tcBorders>
              <w:top w:val="single" w:color="auto" w:sz="4" w:space="0"/>
              <w:right w:val="single" w:color="auto" w:sz="4" w:space="0"/>
            </w:tcBorders>
            <w:vAlign w:val="center"/>
          </w:tcPr>
          <w:p w14:paraId="79332936">
            <w:pPr>
              <w:jc w:val="center"/>
              <w:rPr>
                <w:rFonts w:eastAsia="楷体_GB2312"/>
                <w:sz w:val="18"/>
              </w:rPr>
            </w:pPr>
            <w:r>
              <w:rPr>
                <w:rFonts w:eastAsia="楷体_GB2312"/>
                <w:b/>
                <w:sz w:val="18"/>
                <w:szCs w:val="18"/>
              </w:rPr>
              <w:t>贷款利率</w:t>
            </w:r>
          </w:p>
        </w:tc>
        <w:tc>
          <w:tcPr>
            <w:tcW w:w="1847" w:type="dxa"/>
            <w:gridSpan w:val="3"/>
            <w:tcBorders>
              <w:top w:val="single" w:color="auto" w:sz="4" w:space="0"/>
              <w:left w:val="single" w:color="auto" w:sz="4" w:space="0"/>
              <w:bottom w:val="single" w:color="auto" w:sz="4" w:space="0"/>
              <w:right w:val="single" w:color="auto" w:sz="4" w:space="0"/>
            </w:tcBorders>
            <w:vAlign w:val="center"/>
          </w:tcPr>
          <w:p w14:paraId="3AC0EB96">
            <w:pPr>
              <w:jc w:val="center"/>
              <w:rPr>
                <w:rFonts w:eastAsia="楷体_GB2312"/>
                <w:sz w:val="18"/>
                <w:szCs w:val="18"/>
              </w:rPr>
            </w:pPr>
            <w:r>
              <w:rPr>
                <w:rFonts w:eastAsia="楷体_GB2312"/>
                <w:b/>
                <w:sz w:val="18"/>
                <w:szCs w:val="18"/>
              </w:rPr>
              <w:t>初始起算日</w:t>
            </w:r>
          </w:p>
        </w:tc>
        <w:tc>
          <w:tcPr>
            <w:tcW w:w="1708" w:type="dxa"/>
            <w:gridSpan w:val="2"/>
            <w:tcBorders>
              <w:top w:val="single" w:color="auto" w:sz="4" w:space="0"/>
              <w:left w:val="single" w:color="auto" w:sz="4" w:space="0"/>
              <w:bottom w:val="single" w:color="auto" w:sz="4" w:space="0"/>
              <w:right w:val="single" w:color="auto" w:sz="4" w:space="0"/>
            </w:tcBorders>
            <w:vAlign w:val="center"/>
          </w:tcPr>
          <w:p w14:paraId="161AB3C9">
            <w:pPr>
              <w:jc w:val="center"/>
              <w:rPr>
                <w:rFonts w:eastAsia="楷体_GB2312"/>
                <w:sz w:val="18"/>
                <w:szCs w:val="18"/>
              </w:rPr>
            </w:pPr>
            <w:r>
              <w:rPr>
                <w:rFonts w:eastAsia="楷体_GB2312"/>
                <w:b/>
                <w:sz w:val="18"/>
                <w:szCs w:val="18"/>
              </w:rPr>
              <w:t>本</w:t>
            </w:r>
            <w:r>
              <w:rPr>
                <w:rFonts w:eastAsia="楷体_GB2312"/>
                <w:b/>
                <w:sz w:val="18"/>
                <w:szCs w:val="18"/>
                <w:lang w:eastAsia="zh-CN"/>
              </w:rPr>
              <w:t>报告</w:t>
            </w:r>
            <w:r>
              <w:rPr>
                <w:rFonts w:eastAsia="楷体_GB2312"/>
                <w:b/>
                <w:sz w:val="18"/>
                <w:szCs w:val="18"/>
              </w:rPr>
              <w:t>期末</w:t>
            </w:r>
          </w:p>
        </w:tc>
        <w:tc>
          <w:tcPr>
            <w:tcW w:w="2274" w:type="dxa"/>
            <w:gridSpan w:val="3"/>
            <w:tcBorders>
              <w:top w:val="single" w:color="auto" w:sz="4" w:space="0"/>
              <w:left w:val="single" w:color="auto" w:sz="4" w:space="0"/>
              <w:bottom w:val="single" w:color="auto" w:sz="4" w:space="0"/>
            </w:tcBorders>
            <w:vAlign w:val="center"/>
          </w:tcPr>
          <w:p w14:paraId="196FD4C7">
            <w:pPr>
              <w:jc w:val="center"/>
              <w:rPr>
                <w:rFonts w:eastAsia="楷体_GB2312"/>
                <w:sz w:val="18"/>
                <w:szCs w:val="18"/>
              </w:rPr>
            </w:pPr>
            <w:r>
              <w:rPr>
                <w:rFonts w:eastAsia="楷体_GB2312"/>
                <w:b/>
                <w:sz w:val="18"/>
                <w:szCs w:val="18"/>
              </w:rPr>
              <w:t>上一</w:t>
            </w:r>
            <w:r>
              <w:rPr>
                <w:rFonts w:eastAsia="楷体_GB2312"/>
                <w:b/>
                <w:sz w:val="18"/>
                <w:szCs w:val="18"/>
                <w:lang w:eastAsia="zh-CN"/>
              </w:rPr>
              <w:t>报告</w:t>
            </w:r>
            <w:r>
              <w:rPr>
                <w:rFonts w:eastAsia="楷体_GB2312"/>
                <w:b/>
                <w:sz w:val="18"/>
                <w:szCs w:val="18"/>
              </w:rPr>
              <w:t>期末</w:t>
            </w:r>
          </w:p>
        </w:tc>
      </w:tr>
      <w:tr w14:paraId="2D0C60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continue"/>
            <w:tcBorders>
              <w:bottom w:val="single" w:color="auto" w:sz="4" w:space="0"/>
              <w:right w:val="single" w:color="auto" w:sz="4" w:space="0"/>
            </w:tcBorders>
            <w:vAlign w:val="center"/>
          </w:tcPr>
          <w:p w14:paraId="7FA60579">
            <w:pPr>
              <w:jc w:val="center"/>
              <w:rPr>
                <w:rFonts w:eastAsia="楷体_GB2312"/>
                <w:sz w:val="18"/>
              </w:rPr>
            </w:pPr>
          </w:p>
        </w:tc>
        <w:tc>
          <w:tcPr>
            <w:tcW w:w="966" w:type="dxa"/>
            <w:gridSpan w:val="2"/>
            <w:tcBorders>
              <w:top w:val="single" w:color="auto" w:sz="4" w:space="0"/>
              <w:left w:val="single" w:color="auto" w:sz="4" w:space="0"/>
              <w:bottom w:val="single" w:color="auto" w:sz="4" w:space="0"/>
            </w:tcBorders>
            <w:vAlign w:val="center"/>
          </w:tcPr>
          <w:p w14:paraId="1F2CF675">
            <w:pPr>
              <w:jc w:val="center"/>
              <w:rPr>
                <w:rFonts w:eastAsia="楷体_GB2312"/>
                <w:sz w:val="18"/>
                <w:szCs w:val="18"/>
              </w:rPr>
            </w:pPr>
            <w:r>
              <w:rPr>
                <w:rFonts w:eastAsia="楷体_GB2312"/>
                <w:b/>
                <w:sz w:val="18"/>
                <w:szCs w:val="18"/>
              </w:rPr>
              <w:t>未偿本金余额</w:t>
            </w:r>
          </w:p>
        </w:tc>
        <w:tc>
          <w:tcPr>
            <w:tcW w:w="881" w:type="dxa"/>
            <w:tcBorders>
              <w:top w:val="single" w:color="auto" w:sz="4" w:space="0"/>
              <w:left w:val="single" w:color="auto" w:sz="4" w:space="0"/>
              <w:bottom w:val="single" w:color="auto" w:sz="4" w:space="0"/>
            </w:tcBorders>
            <w:vAlign w:val="center"/>
          </w:tcPr>
          <w:p w14:paraId="1AF7B7F4">
            <w:pPr>
              <w:jc w:val="center"/>
              <w:rPr>
                <w:rFonts w:eastAsia="楷体_GB2312"/>
                <w:sz w:val="18"/>
                <w:szCs w:val="18"/>
              </w:rPr>
            </w:pPr>
            <w:r>
              <w:rPr>
                <w:rFonts w:eastAsia="楷体_GB2312"/>
                <w:b/>
                <w:sz w:val="18"/>
                <w:szCs w:val="18"/>
              </w:rPr>
              <w:t>占比</w:t>
            </w:r>
          </w:p>
        </w:tc>
        <w:tc>
          <w:tcPr>
            <w:tcW w:w="856" w:type="dxa"/>
            <w:tcBorders>
              <w:top w:val="single" w:color="auto" w:sz="4" w:space="0"/>
              <w:left w:val="single" w:color="auto" w:sz="4" w:space="0"/>
              <w:bottom w:val="single" w:color="auto" w:sz="4" w:space="0"/>
            </w:tcBorders>
            <w:vAlign w:val="center"/>
          </w:tcPr>
          <w:p w14:paraId="2C58D020">
            <w:pPr>
              <w:jc w:val="center"/>
              <w:rPr>
                <w:rFonts w:eastAsia="楷体_GB2312"/>
                <w:sz w:val="18"/>
                <w:szCs w:val="18"/>
              </w:rPr>
            </w:pPr>
            <w:r>
              <w:rPr>
                <w:rFonts w:eastAsia="楷体_GB2312"/>
                <w:b/>
                <w:sz w:val="18"/>
                <w:szCs w:val="18"/>
              </w:rPr>
              <w:t>未偿本金余额</w:t>
            </w:r>
          </w:p>
        </w:tc>
        <w:tc>
          <w:tcPr>
            <w:tcW w:w="852" w:type="dxa"/>
            <w:tcBorders>
              <w:top w:val="single" w:color="auto" w:sz="4" w:space="0"/>
              <w:left w:val="single" w:color="auto" w:sz="4" w:space="0"/>
              <w:bottom w:val="single" w:color="auto" w:sz="4" w:space="0"/>
            </w:tcBorders>
            <w:vAlign w:val="center"/>
          </w:tcPr>
          <w:p w14:paraId="66353636">
            <w:pPr>
              <w:jc w:val="center"/>
              <w:rPr>
                <w:rFonts w:eastAsia="楷体_GB2312"/>
                <w:sz w:val="18"/>
                <w:szCs w:val="18"/>
              </w:rPr>
            </w:pPr>
            <w:r>
              <w:rPr>
                <w:rFonts w:eastAsia="楷体_GB2312"/>
                <w:b/>
                <w:sz w:val="18"/>
                <w:szCs w:val="18"/>
              </w:rPr>
              <w:t>占比</w:t>
            </w:r>
          </w:p>
        </w:tc>
        <w:tc>
          <w:tcPr>
            <w:tcW w:w="1299" w:type="dxa"/>
            <w:gridSpan w:val="2"/>
            <w:tcBorders>
              <w:top w:val="single" w:color="auto" w:sz="4" w:space="0"/>
              <w:left w:val="single" w:color="auto" w:sz="4" w:space="0"/>
              <w:bottom w:val="single" w:color="auto" w:sz="4" w:space="0"/>
            </w:tcBorders>
            <w:vAlign w:val="center"/>
          </w:tcPr>
          <w:p w14:paraId="226DA69C">
            <w:pPr>
              <w:jc w:val="center"/>
              <w:rPr>
                <w:rFonts w:eastAsia="楷体_GB2312"/>
                <w:sz w:val="18"/>
                <w:szCs w:val="18"/>
              </w:rPr>
            </w:pPr>
            <w:r>
              <w:rPr>
                <w:rFonts w:eastAsia="楷体_GB2312"/>
                <w:b/>
                <w:sz w:val="18"/>
                <w:szCs w:val="18"/>
              </w:rPr>
              <w:t>未偿本金余额</w:t>
            </w:r>
          </w:p>
        </w:tc>
        <w:tc>
          <w:tcPr>
            <w:tcW w:w="975" w:type="dxa"/>
            <w:tcBorders>
              <w:top w:val="single" w:color="auto" w:sz="4" w:space="0"/>
              <w:left w:val="single" w:color="auto" w:sz="4" w:space="0"/>
              <w:bottom w:val="single" w:color="auto" w:sz="4" w:space="0"/>
            </w:tcBorders>
            <w:vAlign w:val="center"/>
          </w:tcPr>
          <w:p w14:paraId="639D8536">
            <w:pPr>
              <w:jc w:val="center"/>
              <w:rPr>
                <w:rFonts w:eastAsia="楷体_GB2312"/>
                <w:sz w:val="18"/>
                <w:szCs w:val="18"/>
              </w:rPr>
            </w:pPr>
            <w:r>
              <w:rPr>
                <w:rFonts w:eastAsia="楷体_GB2312"/>
                <w:b/>
                <w:sz w:val="18"/>
                <w:szCs w:val="18"/>
              </w:rPr>
              <w:t>占比</w:t>
            </w:r>
          </w:p>
        </w:tc>
      </w:tr>
      <w:tr w14:paraId="22D277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tcPr>
          <w:p w14:paraId="4EF03F8A">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71C2753C">
            <w:pPr>
              <w:rPr>
                <w:rFonts w:eastAsia="楷体_GB2312"/>
                <w:sz w:val="18"/>
                <w:szCs w:val="18"/>
              </w:rPr>
            </w:pPr>
          </w:p>
        </w:tc>
        <w:tc>
          <w:tcPr>
            <w:tcW w:w="881" w:type="dxa"/>
            <w:tcBorders>
              <w:top w:val="single" w:color="auto" w:sz="4" w:space="0"/>
              <w:left w:val="single" w:color="auto" w:sz="4" w:space="0"/>
              <w:bottom w:val="single" w:color="auto" w:sz="4" w:space="0"/>
            </w:tcBorders>
          </w:tcPr>
          <w:p w14:paraId="4C187269">
            <w:pPr>
              <w:rPr>
                <w:rFonts w:eastAsia="楷体_GB2312"/>
                <w:sz w:val="18"/>
                <w:szCs w:val="18"/>
              </w:rPr>
            </w:pPr>
          </w:p>
        </w:tc>
        <w:tc>
          <w:tcPr>
            <w:tcW w:w="856" w:type="dxa"/>
            <w:tcBorders>
              <w:top w:val="single" w:color="auto" w:sz="4" w:space="0"/>
              <w:left w:val="single" w:color="auto" w:sz="4" w:space="0"/>
              <w:bottom w:val="single" w:color="auto" w:sz="4" w:space="0"/>
            </w:tcBorders>
          </w:tcPr>
          <w:p w14:paraId="60EA0A79">
            <w:pPr>
              <w:rPr>
                <w:rFonts w:eastAsia="楷体_GB2312"/>
                <w:sz w:val="18"/>
                <w:szCs w:val="18"/>
              </w:rPr>
            </w:pPr>
          </w:p>
        </w:tc>
        <w:tc>
          <w:tcPr>
            <w:tcW w:w="852" w:type="dxa"/>
            <w:tcBorders>
              <w:top w:val="single" w:color="auto" w:sz="4" w:space="0"/>
              <w:left w:val="single" w:color="auto" w:sz="4" w:space="0"/>
              <w:bottom w:val="single" w:color="auto" w:sz="4" w:space="0"/>
            </w:tcBorders>
          </w:tcPr>
          <w:p w14:paraId="0DA0A61E">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67117E6D">
            <w:pPr>
              <w:rPr>
                <w:rFonts w:eastAsia="楷体_GB2312"/>
                <w:sz w:val="18"/>
                <w:szCs w:val="18"/>
              </w:rPr>
            </w:pPr>
          </w:p>
        </w:tc>
        <w:tc>
          <w:tcPr>
            <w:tcW w:w="975" w:type="dxa"/>
            <w:tcBorders>
              <w:top w:val="single" w:color="auto" w:sz="4" w:space="0"/>
              <w:left w:val="single" w:color="auto" w:sz="4" w:space="0"/>
              <w:bottom w:val="single" w:color="auto" w:sz="4" w:space="0"/>
            </w:tcBorders>
          </w:tcPr>
          <w:p w14:paraId="252BF7E9">
            <w:pPr>
              <w:rPr>
                <w:rFonts w:eastAsia="楷体_GB2312"/>
                <w:sz w:val="18"/>
                <w:szCs w:val="18"/>
              </w:rPr>
            </w:pPr>
          </w:p>
        </w:tc>
      </w:tr>
      <w:tr w14:paraId="65DB4A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tcPr>
          <w:p w14:paraId="7F2F9833">
            <w:pPr>
              <w:rPr>
                <w:rFonts w:eastAsia="楷体_GB2312"/>
                <w:sz w:val="18"/>
              </w:rPr>
            </w:pPr>
          </w:p>
        </w:tc>
        <w:tc>
          <w:tcPr>
            <w:tcW w:w="966" w:type="dxa"/>
            <w:gridSpan w:val="2"/>
            <w:tcBorders>
              <w:left w:val="single" w:color="auto" w:sz="4" w:space="0"/>
              <w:bottom w:val="single" w:color="auto" w:sz="4" w:space="0"/>
            </w:tcBorders>
          </w:tcPr>
          <w:p w14:paraId="5FEEDD7A">
            <w:pPr>
              <w:rPr>
                <w:rFonts w:eastAsia="楷体_GB2312"/>
                <w:sz w:val="18"/>
                <w:szCs w:val="18"/>
              </w:rPr>
            </w:pPr>
          </w:p>
        </w:tc>
        <w:tc>
          <w:tcPr>
            <w:tcW w:w="881" w:type="dxa"/>
            <w:tcBorders>
              <w:left w:val="single" w:color="auto" w:sz="4" w:space="0"/>
              <w:bottom w:val="single" w:color="auto" w:sz="4" w:space="0"/>
            </w:tcBorders>
          </w:tcPr>
          <w:p w14:paraId="69B38263">
            <w:pPr>
              <w:rPr>
                <w:rFonts w:eastAsia="楷体_GB2312"/>
                <w:sz w:val="18"/>
                <w:szCs w:val="18"/>
              </w:rPr>
            </w:pPr>
          </w:p>
        </w:tc>
        <w:tc>
          <w:tcPr>
            <w:tcW w:w="856" w:type="dxa"/>
            <w:tcBorders>
              <w:left w:val="single" w:color="auto" w:sz="4" w:space="0"/>
              <w:bottom w:val="single" w:color="auto" w:sz="4" w:space="0"/>
            </w:tcBorders>
          </w:tcPr>
          <w:p w14:paraId="269DED7A">
            <w:pPr>
              <w:rPr>
                <w:rFonts w:eastAsia="楷体_GB2312"/>
                <w:sz w:val="18"/>
                <w:szCs w:val="18"/>
              </w:rPr>
            </w:pPr>
          </w:p>
        </w:tc>
        <w:tc>
          <w:tcPr>
            <w:tcW w:w="852" w:type="dxa"/>
            <w:tcBorders>
              <w:left w:val="single" w:color="auto" w:sz="4" w:space="0"/>
              <w:bottom w:val="single" w:color="auto" w:sz="4" w:space="0"/>
            </w:tcBorders>
          </w:tcPr>
          <w:p w14:paraId="13AC2F2D">
            <w:pPr>
              <w:rPr>
                <w:rFonts w:eastAsia="楷体_GB2312"/>
                <w:sz w:val="18"/>
                <w:szCs w:val="18"/>
              </w:rPr>
            </w:pPr>
          </w:p>
        </w:tc>
        <w:tc>
          <w:tcPr>
            <w:tcW w:w="1299" w:type="dxa"/>
            <w:gridSpan w:val="2"/>
            <w:tcBorders>
              <w:left w:val="single" w:color="auto" w:sz="4" w:space="0"/>
              <w:bottom w:val="single" w:color="auto" w:sz="4" w:space="0"/>
            </w:tcBorders>
          </w:tcPr>
          <w:p w14:paraId="4F9A7A42">
            <w:pPr>
              <w:rPr>
                <w:rFonts w:eastAsia="楷体_GB2312"/>
                <w:sz w:val="18"/>
                <w:szCs w:val="18"/>
              </w:rPr>
            </w:pPr>
          </w:p>
        </w:tc>
        <w:tc>
          <w:tcPr>
            <w:tcW w:w="975" w:type="dxa"/>
            <w:tcBorders>
              <w:left w:val="single" w:color="auto" w:sz="4" w:space="0"/>
              <w:bottom w:val="single" w:color="auto" w:sz="4" w:space="0"/>
            </w:tcBorders>
          </w:tcPr>
          <w:p w14:paraId="7451168E">
            <w:pPr>
              <w:rPr>
                <w:rFonts w:eastAsia="楷体_GB2312"/>
                <w:sz w:val="18"/>
                <w:szCs w:val="18"/>
              </w:rPr>
            </w:pPr>
          </w:p>
        </w:tc>
      </w:tr>
      <w:tr w14:paraId="030B06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1" w:type="dxa"/>
            <w:gridSpan w:val="9"/>
            <w:tcBorders>
              <w:top w:val="single" w:color="auto" w:sz="4" w:space="0"/>
              <w:bottom w:val="single" w:color="auto" w:sz="4" w:space="0"/>
            </w:tcBorders>
          </w:tcPr>
          <w:p w14:paraId="28D77F22">
            <w:pPr>
              <w:rPr>
                <w:rFonts w:eastAsia="楷体_GB2312"/>
                <w:b/>
                <w:lang w:eastAsia="zh-CN"/>
              </w:rPr>
            </w:pPr>
          </w:p>
          <w:p w14:paraId="6E3504EE">
            <w:pPr>
              <w:rPr>
                <w:rFonts w:eastAsia="楷体_GB2312"/>
                <w:b/>
                <w:bCs/>
                <w:sz w:val="18"/>
                <w:szCs w:val="18"/>
              </w:rPr>
            </w:pPr>
            <w:r>
              <w:rPr>
                <w:rFonts w:eastAsia="楷体_GB2312"/>
                <w:b/>
                <w:lang w:eastAsia="zh-CN"/>
              </w:rPr>
              <w:t>5、担保情况分布</w:t>
            </w:r>
          </w:p>
        </w:tc>
      </w:tr>
      <w:tr w14:paraId="0F2F9C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restart"/>
            <w:tcBorders>
              <w:top w:val="single" w:color="auto" w:sz="4" w:space="0"/>
              <w:right w:val="single" w:color="auto" w:sz="4" w:space="0"/>
            </w:tcBorders>
            <w:vAlign w:val="center"/>
          </w:tcPr>
          <w:p w14:paraId="59069B25">
            <w:pPr>
              <w:jc w:val="center"/>
              <w:rPr>
                <w:rFonts w:eastAsia="楷体_GB2312"/>
                <w:sz w:val="18"/>
              </w:rPr>
            </w:pPr>
            <w:r>
              <w:rPr>
                <w:rFonts w:eastAsia="楷体_GB2312"/>
                <w:b/>
                <w:sz w:val="18"/>
                <w:szCs w:val="18"/>
              </w:rPr>
              <w:t>担保情况</w:t>
            </w:r>
          </w:p>
        </w:tc>
        <w:tc>
          <w:tcPr>
            <w:tcW w:w="1847" w:type="dxa"/>
            <w:gridSpan w:val="3"/>
            <w:tcBorders>
              <w:top w:val="single" w:color="auto" w:sz="4" w:space="0"/>
              <w:left w:val="single" w:color="auto" w:sz="4" w:space="0"/>
              <w:bottom w:val="single" w:color="auto" w:sz="4" w:space="0"/>
              <w:right w:val="single" w:color="auto" w:sz="4" w:space="0"/>
            </w:tcBorders>
            <w:vAlign w:val="center"/>
          </w:tcPr>
          <w:p w14:paraId="6D7AD16D">
            <w:pPr>
              <w:jc w:val="center"/>
              <w:rPr>
                <w:rFonts w:eastAsia="楷体_GB2312"/>
                <w:sz w:val="18"/>
                <w:szCs w:val="18"/>
              </w:rPr>
            </w:pPr>
            <w:r>
              <w:rPr>
                <w:rFonts w:eastAsia="楷体_GB2312"/>
                <w:b/>
                <w:sz w:val="18"/>
                <w:szCs w:val="18"/>
              </w:rPr>
              <w:t>初始起算日</w:t>
            </w:r>
          </w:p>
        </w:tc>
        <w:tc>
          <w:tcPr>
            <w:tcW w:w="1708" w:type="dxa"/>
            <w:gridSpan w:val="2"/>
            <w:tcBorders>
              <w:top w:val="single" w:color="auto" w:sz="4" w:space="0"/>
              <w:left w:val="single" w:color="auto" w:sz="4" w:space="0"/>
              <w:bottom w:val="single" w:color="auto" w:sz="4" w:space="0"/>
              <w:right w:val="single" w:color="auto" w:sz="4" w:space="0"/>
            </w:tcBorders>
            <w:vAlign w:val="center"/>
          </w:tcPr>
          <w:p w14:paraId="1BC14487">
            <w:pPr>
              <w:jc w:val="center"/>
              <w:rPr>
                <w:rFonts w:eastAsia="楷体_GB2312"/>
                <w:sz w:val="18"/>
                <w:szCs w:val="18"/>
              </w:rPr>
            </w:pPr>
            <w:r>
              <w:rPr>
                <w:rFonts w:eastAsia="楷体_GB2312"/>
                <w:b/>
                <w:sz w:val="18"/>
                <w:szCs w:val="18"/>
              </w:rPr>
              <w:t>本</w:t>
            </w:r>
            <w:r>
              <w:rPr>
                <w:rFonts w:eastAsia="楷体_GB2312"/>
                <w:b/>
                <w:sz w:val="18"/>
                <w:szCs w:val="18"/>
                <w:lang w:eastAsia="zh-CN"/>
              </w:rPr>
              <w:t>报告</w:t>
            </w:r>
            <w:r>
              <w:rPr>
                <w:rFonts w:eastAsia="楷体_GB2312"/>
                <w:b/>
                <w:sz w:val="18"/>
                <w:szCs w:val="18"/>
              </w:rPr>
              <w:t>期末</w:t>
            </w:r>
          </w:p>
        </w:tc>
        <w:tc>
          <w:tcPr>
            <w:tcW w:w="2274" w:type="dxa"/>
            <w:gridSpan w:val="3"/>
            <w:tcBorders>
              <w:top w:val="single" w:color="auto" w:sz="4" w:space="0"/>
              <w:left w:val="single" w:color="auto" w:sz="4" w:space="0"/>
              <w:bottom w:val="single" w:color="auto" w:sz="4" w:space="0"/>
            </w:tcBorders>
            <w:vAlign w:val="center"/>
          </w:tcPr>
          <w:p w14:paraId="606EA151">
            <w:pPr>
              <w:jc w:val="center"/>
              <w:rPr>
                <w:rFonts w:eastAsia="楷体_GB2312"/>
                <w:sz w:val="18"/>
                <w:szCs w:val="18"/>
              </w:rPr>
            </w:pPr>
            <w:r>
              <w:rPr>
                <w:rFonts w:eastAsia="楷体_GB2312"/>
                <w:b/>
                <w:sz w:val="18"/>
                <w:szCs w:val="18"/>
              </w:rPr>
              <w:t>上一</w:t>
            </w:r>
            <w:r>
              <w:rPr>
                <w:rFonts w:eastAsia="楷体_GB2312"/>
                <w:b/>
                <w:sz w:val="18"/>
                <w:szCs w:val="18"/>
                <w:lang w:eastAsia="zh-CN"/>
              </w:rPr>
              <w:t>报告</w:t>
            </w:r>
            <w:r>
              <w:rPr>
                <w:rFonts w:eastAsia="楷体_GB2312"/>
                <w:b/>
                <w:sz w:val="18"/>
                <w:szCs w:val="18"/>
              </w:rPr>
              <w:t>期末</w:t>
            </w:r>
          </w:p>
        </w:tc>
      </w:tr>
      <w:tr w14:paraId="39F580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continue"/>
            <w:tcBorders>
              <w:bottom w:val="single" w:color="auto" w:sz="4" w:space="0"/>
              <w:right w:val="single" w:color="auto" w:sz="4" w:space="0"/>
            </w:tcBorders>
            <w:vAlign w:val="center"/>
          </w:tcPr>
          <w:p w14:paraId="3082BA0D">
            <w:pPr>
              <w:jc w:val="center"/>
              <w:rPr>
                <w:rFonts w:eastAsia="楷体_GB2312"/>
                <w:sz w:val="18"/>
              </w:rPr>
            </w:pPr>
          </w:p>
        </w:tc>
        <w:tc>
          <w:tcPr>
            <w:tcW w:w="966" w:type="dxa"/>
            <w:gridSpan w:val="2"/>
            <w:tcBorders>
              <w:top w:val="single" w:color="auto" w:sz="4" w:space="0"/>
              <w:left w:val="single" w:color="auto" w:sz="4" w:space="0"/>
              <w:bottom w:val="single" w:color="auto" w:sz="4" w:space="0"/>
            </w:tcBorders>
            <w:vAlign w:val="center"/>
          </w:tcPr>
          <w:p w14:paraId="22284CF5">
            <w:pPr>
              <w:jc w:val="center"/>
              <w:rPr>
                <w:rFonts w:eastAsia="楷体_GB2312"/>
                <w:sz w:val="18"/>
                <w:szCs w:val="18"/>
              </w:rPr>
            </w:pPr>
            <w:r>
              <w:rPr>
                <w:rFonts w:eastAsia="楷体_GB2312"/>
                <w:b/>
                <w:sz w:val="18"/>
                <w:szCs w:val="18"/>
              </w:rPr>
              <w:t>未偿本金余额</w:t>
            </w:r>
          </w:p>
        </w:tc>
        <w:tc>
          <w:tcPr>
            <w:tcW w:w="881" w:type="dxa"/>
            <w:tcBorders>
              <w:top w:val="single" w:color="auto" w:sz="4" w:space="0"/>
              <w:left w:val="single" w:color="auto" w:sz="4" w:space="0"/>
              <w:bottom w:val="single" w:color="auto" w:sz="4" w:space="0"/>
            </w:tcBorders>
            <w:vAlign w:val="center"/>
          </w:tcPr>
          <w:p w14:paraId="7F1D0A5F">
            <w:pPr>
              <w:jc w:val="center"/>
              <w:rPr>
                <w:rFonts w:eastAsia="楷体_GB2312"/>
                <w:sz w:val="18"/>
                <w:szCs w:val="18"/>
              </w:rPr>
            </w:pPr>
            <w:r>
              <w:rPr>
                <w:rFonts w:eastAsia="楷体_GB2312"/>
                <w:b/>
                <w:sz w:val="18"/>
                <w:szCs w:val="18"/>
              </w:rPr>
              <w:t>占比</w:t>
            </w:r>
          </w:p>
        </w:tc>
        <w:tc>
          <w:tcPr>
            <w:tcW w:w="856" w:type="dxa"/>
            <w:tcBorders>
              <w:top w:val="single" w:color="auto" w:sz="4" w:space="0"/>
              <w:left w:val="single" w:color="auto" w:sz="4" w:space="0"/>
              <w:bottom w:val="single" w:color="auto" w:sz="4" w:space="0"/>
            </w:tcBorders>
            <w:vAlign w:val="center"/>
          </w:tcPr>
          <w:p w14:paraId="1823E7A2">
            <w:pPr>
              <w:jc w:val="center"/>
              <w:rPr>
                <w:rFonts w:eastAsia="楷体_GB2312"/>
                <w:sz w:val="18"/>
                <w:szCs w:val="18"/>
              </w:rPr>
            </w:pPr>
            <w:r>
              <w:rPr>
                <w:rFonts w:eastAsia="楷体_GB2312"/>
                <w:b/>
                <w:sz w:val="18"/>
                <w:szCs w:val="18"/>
              </w:rPr>
              <w:t>未偿本金余额</w:t>
            </w:r>
          </w:p>
        </w:tc>
        <w:tc>
          <w:tcPr>
            <w:tcW w:w="852" w:type="dxa"/>
            <w:tcBorders>
              <w:top w:val="single" w:color="auto" w:sz="4" w:space="0"/>
              <w:left w:val="single" w:color="auto" w:sz="4" w:space="0"/>
              <w:bottom w:val="single" w:color="auto" w:sz="4" w:space="0"/>
            </w:tcBorders>
            <w:vAlign w:val="center"/>
          </w:tcPr>
          <w:p w14:paraId="3479F4EA">
            <w:pPr>
              <w:jc w:val="center"/>
              <w:rPr>
                <w:rFonts w:eastAsia="楷体_GB2312"/>
                <w:sz w:val="18"/>
                <w:szCs w:val="18"/>
              </w:rPr>
            </w:pPr>
            <w:r>
              <w:rPr>
                <w:rFonts w:eastAsia="楷体_GB2312"/>
                <w:b/>
                <w:sz w:val="18"/>
                <w:szCs w:val="18"/>
              </w:rPr>
              <w:t>占比</w:t>
            </w:r>
          </w:p>
        </w:tc>
        <w:tc>
          <w:tcPr>
            <w:tcW w:w="1299" w:type="dxa"/>
            <w:gridSpan w:val="2"/>
            <w:tcBorders>
              <w:top w:val="single" w:color="auto" w:sz="4" w:space="0"/>
              <w:left w:val="single" w:color="auto" w:sz="4" w:space="0"/>
              <w:bottom w:val="single" w:color="auto" w:sz="4" w:space="0"/>
            </w:tcBorders>
            <w:vAlign w:val="center"/>
          </w:tcPr>
          <w:p w14:paraId="45B57E4A">
            <w:pPr>
              <w:jc w:val="center"/>
              <w:rPr>
                <w:rFonts w:eastAsia="楷体_GB2312"/>
                <w:sz w:val="18"/>
                <w:szCs w:val="18"/>
              </w:rPr>
            </w:pPr>
            <w:r>
              <w:rPr>
                <w:rFonts w:eastAsia="楷体_GB2312"/>
                <w:b/>
                <w:sz w:val="18"/>
                <w:szCs w:val="18"/>
              </w:rPr>
              <w:t>未偿本金余额</w:t>
            </w:r>
          </w:p>
        </w:tc>
        <w:tc>
          <w:tcPr>
            <w:tcW w:w="975" w:type="dxa"/>
            <w:tcBorders>
              <w:top w:val="single" w:color="auto" w:sz="4" w:space="0"/>
              <w:left w:val="single" w:color="auto" w:sz="4" w:space="0"/>
              <w:bottom w:val="single" w:color="auto" w:sz="4" w:space="0"/>
            </w:tcBorders>
            <w:vAlign w:val="center"/>
          </w:tcPr>
          <w:p w14:paraId="5EBAA915">
            <w:pPr>
              <w:jc w:val="center"/>
              <w:rPr>
                <w:rFonts w:eastAsia="楷体_GB2312"/>
                <w:sz w:val="18"/>
                <w:szCs w:val="18"/>
              </w:rPr>
            </w:pPr>
            <w:r>
              <w:rPr>
                <w:rFonts w:eastAsia="楷体_GB2312"/>
                <w:b/>
                <w:sz w:val="18"/>
                <w:szCs w:val="18"/>
              </w:rPr>
              <w:t>占比</w:t>
            </w:r>
          </w:p>
        </w:tc>
      </w:tr>
      <w:tr w14:paraId="6D242E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1A4C5108">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7CCD504E">
            <w:pPr>
              <w:rPr>
                <w:rFonts w:eastAsia="楷体_GB2312"/>
                <w:sz w:val="18"/>
                <w:szCs w:val="18"/>
              </w:rPr>
            </w:pPr>
          </w:p>
        </w:tc>
        <w:tc>
          <w:tcPr>
            <w:tcW w:w="881" w:type="dxa"/>
            <w:tcBorders>
              <w:top w:val="single" w:color="auto" w:sz="4" w:space="0"/>
              <w:left w:val="single" w:color="auto" w:sz="4" w:space="0"/>
              <w:bottom w:val="single" w:color="auto" w:sz="4" w:space="0"/>
            </w:tcBorders>
          </w:tcPr>
          <w:p w14:paraId="6B8ECD93">
            <w:pPr>
              <w:rPr>
                <w:rFonts w:eastAsia="楷体_GB2312"/>
                <w:sz w:val="18"/>
                <w:szCs w:val="18"/>
              </w:rPr>
            </w:pPr>
          </w:p>
        </w:tc>
        <w:tc>
          <w:tcPr>
            <w:tcW w:w="856" w:type="dxa"/>
            <w:tcBorders>
              <w:top w:val="single" w:color="auto" w:sz="4" w:space="0"/>
              <w:left w:val="single" w:color="auto" w:sz="4" w:space="0"/>
              <w:bottom w:val="single" w:color="auto" w:sz="4" w:space="0"/>
            </w:tcBorders>
          </w:tcPr>
          <w:p w14:paraId="60716960">
            <w:pPr>
              <w:rPr>
                <w:rFonts w:eastAsia="楷体_GB2312"/>
                <w:sz w:val="18"/>
                <w:szCs w:val="18"/>
              </w:rPr>
            </w:pPr>
          </w:p>
        </w:tc>
        <w:tc>
          <w:tcPr>
            <w:tcW w:w="852" w:type="dxa"/>
            <w:tcBorders>
              <w:top w:val="single" w:color="auto" w:sz="4" w:space="0"/>
              <w:left w:val="single" w:color="auto" w:sz="4" w:space="0"/>
              <w:bottom w:val="single" w:color="auto" w:sz="4" w:space="0"/>
            </w:tcBorders>
          </w:tcPr>
          <w:p w14:paraId="79E47425">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4C489B56">
            <w:pPr>
              <w:rPr>
                <w:rFonts w:eastAsia="楷体_GB2312"/>
                <w:sz w:val="18"/>
                <w:szCs w:val="18"/>
              </w:rPr>
            </w:pPr>
          </w:p>
        </w:tc>
        <w:tc>
          <w:tcPr>
            <w:tcW w:w="975" w:type="dxa"/>
            <w:tcBorders>
              <w:top w:val="single" w:color="auto" w:sz="4" w:space="0"/>
              <w:left w:val="single" w:color="auto" w:sz="4" w:space="0"/>
              <w:bottom w:val="single" w:color="auto" w:sz="4" w:space="0"/>
            </w:tcBorders>
          </w:tcPr>
          <w:p w14:paraId="187C21AA">
            <w:pPr>
              <w:rPr>
                <w:rFonts w:eastAsia="楷体_GB2312"/>
                <w:sz w:val="18"/>
                <w:szCs w:val="18"/>
              </w:rPr>
            </w:pPr>
          </w:p>
        </w:tc>
      </w:tr>
      <w:tr w14:paraId="7D186A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2007AAE0">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61331A7B">
            <w:pPr>
              <w:rPr>
                <w:rFonts w:eastAsia="楷体_GB2312"/>
                <w:sz w:val="18"/>
                <w:szCs w:val="18"/>
              </w:rPr>
            </w:pPr>
          </w:p>
        </w:tc>
        <w:tc>
          <w:tcPr>
            <w:tcW w:w="881" w:type="dxa"/>
            <w:tcBorders>
              <w:top w:val="single" w:color="auto" w:sz="4" w:space="0"/>
              <w:left w:val="single" w:color="auto" w:sz="4" w:space="0"/>
              <w:bottom w:val="single" w:color="auto" w:sz="4" w:space="0"/>
            </w:tcBorders>
          </w:tcPr>
          <w:p w14:paraId="008BC8FD">
            <w:pPr>
              <w:rPr>
                <w:rFonts w:eastAsia="楷体_GB2312"/>
                <w:sz w:val="18"/>
                <w:szCs w:val="18"/>
              </w:rPr>
            </w:pPr>
          </w:p>
        </w:tc>
        <w:tc>
          <w:tcPr>
            <w:tcW w:w="856" w:type="dxa"/>
            <w:tcBorders>
              <w:top w:val="single" w:color="auto" w:sz="4" w:space="0"/>
              <w:left w:val="single" w:color="auto" w:sz="4" w:space="0"/>
              <w:bottom w:val="single" w:color="auto" w:sz="4" w:space="0"/>
            </w:tcBorders>
          </w:tcPr>
          <w:p w14:paraId="0DAA3F65">
            <w:pPr>
              <w:rPr>
                <w:rFonts w:eastAsia="楷体_GB2312"/>
                <w:sz w:val="18"/>
                <w:szCs w:val="18"/>
              </w:rPr>
            </w:pPr>
          </w:p>
        </w:tc>
        <w:tc>
          <w:tcPr>
            <w:tcW w:w="852" w:type="dxa"/>
            <w:tcBorders>
              <w:top w:val="single" w:color="auto" w:sz="4" w:space="0"/>
              <w:left w:val="single" w:color="auto" w:sz="4" w:space="0"/>
              <w:bottom w:val="single" w:color="auto" w:sz="4" w:space="0"/>
            </w:tcBorders>
          </w:tcPr>
          <w:p w14:paraId="574EC2FC">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039B12DB">
            <w:pPr>
              <w:rPr>
                <w:rFonts w:eastAsia="楷体_GB2312"/>
                <w:sz w:val="18"/>
                <w:szCs w:val="18"/>
              </w:rPr>
            </w:pPr>
          </w:p>
        </w:tc>
        <w:tc>
          <w:tcPr>
            <w:tcW w:w="975" w:type="dxa"/>
            <w:tcBorders>
              <w:top w:val="single" w:color="auto" w:sz="4" w:space="0"/>
              <w:left w:val="single" w:color="auto" w:sz="4" w:space="0"/>
              <w:bottom w:val="single" w:color="auto" w:sz="4" w:space="0"/>
            </w:tcBorders>
          </w:tcPr>
          <w:p w14:paraId="6F2F1A7F">
            <w:pPr>
              <w:rPr>
                <w:rFonts w:eastAsia="楷体_GB2312"/>
                <w:sz w:val="18"/>
                <w:szCs w:val="18"/>
              </w:rPr>
            </w:pPr>
          </w:p>
        </w:tc>
      </w:tr>
      <w:tr w14:paraId="0DF6F6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2CAD494A">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0EE15DC0">
            <w:pPr>
              <w:rPr>
                <w:rFonts w:eastAsia="楷体_GB2312"/>
                <w:sz w:val="18"/>
                <w:szCs w:val="18"/>
              </w:rPr>
            </w:pPr>
          </w:p>
        </w:tc>
        <w:tc>
          <w:tcPr>
            <w:tcW w:w="881" w:type="dxa"/>
            <w:tcBorders>
              <w:top w:val="single" w:color="auto" w:sz="4" w:space="0"/>
              <w:left w:val="single" w:color="auto" w:sz="4" w:space="0"/>
              <w:bottom w:val="single" w:color="auto" w:sz="4" w:space="0"/>
            </w:tcBorders>
          </w:tcPr>
          <w:p w14:paraId="76D63543">
            <w:pPr>
              <w:rPr>
                <w:rFonts w:eastAsia="楷体_GB2312"/>
                <w:sz w:val="18"/>
                <w:szCs w:val="18"/>
              </w:rPr>
            </w:pPr>
          </w:p>
        </w:tc>
        <w:tc>
          <w:tcPr>
            <w:tcW w:w="856" w:type="dxa"/>
            <w:tcBorders>
              <w:top w:val="single" w:color="auto" w:sz="4" w:space="0"/>
              <w:left w:val="single" w:color="auto" w:sz="4" w:space="0"/>
              <w:bottom w:val="single" w:color="auto" w:sz="4" w:space="0"/>
            </w:tcBorders>
          </w:tcPr>
          <w:p w14:paraId="12C6331E">
            <w:pPr>
              <w:rPr>
                <w:rFonts w:eastAsia="楷体_GB2312"/>
                <w:sz w:val="18"/>
                <w:szCs w:val="18"/>
              </w:rPr>
            </w:pPr>
          </w:p>
        </w:tc>
        <w:tc>
          <w:tcPr>
            <w:tcW w:w="852" w:type="dxa"/>
            <w:tcBorders>
              <w:top w:val="single" w:color="auto" w:sz="4" w:space="0"/>
              <w:left w:val="single" w:color="auto" w:sz="4" w:space="0"/>
              <w:bottom w:val="single" w:color="auto" w:sz="4" w:space="0"/>
            </w:tcBorders>
          </w:tcPr>
          <w:p w14:paraId="58A3CF67">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1F588387">
            <w:pPr>
              <w:rPr>
                <w:rFonts w:eastAsia="楷体_GB2312"/>
                <w:sz w:val="18"/>
                <w:szCs w:val="18"/>
              </w:rPr>
            </w:pPr>
          </w:p>
        </w:tc>
        <w:tc>
          <w:tcPr>
            <w:tcW w:w="975" w:type="dxa"/>
            <w:tcBorders>
              <w:top w:val="single" w:color="auto" w:sz="4" w:space="0"/>
              <w:left w:val="single" w:color="auto" w:sz="4" w:space="0"/>
              <w:bottom w:val="single" w:color="auto" w:sz="4" w:space="0"/>
            </w:tcBorders>
          </w:tcPr>
          <w:p w14:paraId="21BA951B">
            <w:pPr>
              <w:rPr>
                <w:rFonts w:eastAsia="楷体_GB2312"/>
                <w:sz w:val="18"/>
                <w:szCs w:val="18"/>
              </w:rPr>
            </w:pPr>
          </w:p>
        </w:tc>
      </w:tr>
      <w:tr w14:paraId="0322D0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1" w:type="dxa"/>
            <w:gridSpan w:val="9"/>
            <w:tcBorders>
              <w:top w:val="single" w:color="auto" w:sz="4" w:space="0"/>
              <w:bottom w:val="single" w:color="auto" w:sz="4" w:space="0"/>
            </w:tcBorders>
            <w:vAlign w:val="center"/>
          </w:tcPr>
          <w:p w14:paraId="564B9C8E">
            <w:pPr>
              <w:rPr>
                <w:rFonts w:eastAsia="楷体_GB2312"/>
                <w:sz w:val="18"/>
                <w:szCs w:val="18"/>
              </w:rPr>
            </w:pPr>
          </w:p>
          <w:p w14:paraId="2DC1E960">
            <w:pPr>
              <w:rPr>
                <w:rFonts w:eastAsia="楷体_GB2312"/>
                <w:sz w:val="18"/>
                <w:szCs w:val="18"/>
                <w:lang w:eastAsia="zh-CN"/>
              </w:rPr>
            </w:pPr>
            <w:r>
              <w:rPr>
                <w:rFonts w:eastAsia="楷体_GB2312"/>
                <w:b/>
                <w:lang w:eastAsia="zh-CN"/>
              </w:rPr>
              <w:t>6、贷款合同期限分布</w:t>
            </w:r>
          </w:p>
        </w:tc>
      </w:tr>
      <w:tr w14:paraId="43F69D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restart"/>
            <w:tcBorders>
              <w:top w:val="single" w:color="auto" w:sz="4" w:space="0"/>
              <w:right w:val="single" w:color="auto" w:sz="4" w:space="0"/>
            </w:tcBorders>
            <w:vAlign w:val="center"/>
          </w:tcPr>
          <w:p w14:paraId="699399AC">
            <w:pPr>
              <w:jc w:val="center"/>
              <w:rPr>
                <w:rFonts w:eastAsia="楷体_GB2312"/>
                <w:sz w:val="18"/>
              </w:rPr>
            </w:pPr>
            <w:r>
              <w:rPr>
                <w:rFonts w:eastAsia="楷体_GB2312"/>
                <w:b/>
                <w:sz w:val="18"/>
                <w:szCs w:val="18"/>
              </w:rPr>
              <w:t>合同期限</w:t>
            </w:r>
          </w:p>
        </w:tc>
        <w:tc>
          <w:tcPr>
            <w:tcW w:w="1847" w:type="dxa"/>
            <w:gridSpan w:val="3"/>
            <w:tcBorders>
              <w:top w:val="single" w:color="auto" w:sz="4" w:space="0"/>
              <w:left w:val="single" w:color="auto" w:sz="4" w:space="0"/>
              <w:bottom w:val="single" w:color="auto" w:sz="4" w:space="0"/>
            </w:tcBorders>
            <w:vAlign w:val="center"/>
          </w:tcPr>
          <w:p w14:paraId="5E7B425D">
            <w:pPr>
              <w:jc w:val="center"/>
              <w:rPr>
                <w:rFonts w:eastAsia="楷体_GB2312"/>
                <w:sz w:val="18"/>
                <w:szCs w:val="18"/>
              </w:rPr>
            </w:pPr>
            <w:r>
              <w:rPr>
                <w:rFonts w:eastAsia="楷体_GB2312"/>
                <w:b/>
                <w:sz w:val="18"/>
                <w:szCs w:val="18"/>
              </w:rPr>
              <w:t>初始起算日</w:t>
            </w:r>
          </w:p>
        </w:tc>
        <w:tc>
          <w:tcPr>
            <w:tcW w:w="1708" w:type="dxa"/>
            <w:gridSpan w:val="2"/>
            <w:tcBorders>
              <w:top w:val="single" w:color="auto" w:sz="4" w:space="0"/>
              <w:left w:val="single" w:color="auto" w:sz="4" w:space="0"/>
              <w:bottom w:val="single" w:color="auto" w:sz="4" w:space="0"/>
            </w:tcBorders>
            <w:vAlign w:val="center"/>
          </w:tcPr>
          <w:p w14:paraId="39ADC353">
            <w:pPr>
              <w:jc w:val="center"/>
              <w:rPr>
                <w:rFonts w:eastAsia="楷体_GB2312"/>
                <w:sz w:val="18"/>
                <w:szCs w:val="18"/>
              </w:rPr>
            </w:pPr>
            <w:r>
              <w:rPr>
                <w:rFonts w:eastAsia="楷体_GB2312"/>
                <w:b/>
                <w:sz w:val="18"/>
                <w:szCs w:val="18"/>
              </w:rPr>
              <w:t>上一</w:t>
            </w:r>
            <w:r>
              <w:rPr>
                <w:rFonts w:eastAsia="楷体_GB2312"/>
                <w:b/>
                <w:sz w:val="18"/>
                <w:szCs w:val="18"/>
                <w:lang w:eastAsia="zh-CN"/>
              </w:rPr>
              <w:t>报告</w:t>
            </w:r>
            <w:r>
              <w:rPr>
                <w:rFonts w:eastAsia="楷体_GB2312"/>
                <w:b/>
                <w:sz w:val="18"/>
                <w:szCs w:val="18"/>
              </w:rPr>
              <w:t>期末</w:t>
            </w:r>
          </w:p>
        </w:tc>
        <w:tc>
          <w:tcPr>
            <w:tcW w:w="2274" w:type="dxa"/>
            <w:gridSpan w:val="3"/>
            <w:tcBorders>
              <w:top w:val="single" w:color="auto" w:sz="4" w:space="0"/>
              <w:left w:val="single" w:color="auto" w:sz="4" w:space="0"/>
              <w:bottom w:val="single" w:color="auto" w:sz="4" w:space="0"/>
            </w:tcBorders>
            <w:vAlign w:val="center"/>
          </w:tcPr>
          <w:p w14:paraId="5A2B2350">
            <w:pPr>
              <w:jc w:val="center"/>
              <w:rPr>
                <w:rFonts w:eastAsia="楷体_GB2312"/>
                <w:sz w:val="18"/>
                <w:szCs w:val="18"/>
              </w:rPr>
            </w:pPr>
            <w:r>
              <w:rPr>
                <w:rFonts w:eastAsia="楷体_GB2312"/>
                <w:b/>
                <w:sz w:val="18"/>
                <w:szCs w:val="18"/>
              </w:rPr>
              <w:t>本</w:t>
            </w:r>
            <w:r>
              <w:rPr>
                <w:rFonts w:eastAsia="楷体_GB2312"/>
                <w:b/>
                <w:sz w:val="18"/>
                <w:szCs w:val="18"/>
                <w:lang w:eastAsia="zh-CN"/>
              </w:rPr>
              <w:t>报告</w:t>
            </w:r>
            <w:r>
              <w:rPr>
                <w:rFonts w:eastAsia="楷体_GB2312"/>
                <w:b/>
                <w:sz w:val="18"/>
                <w:szCs w:val="18"/>
              </w:rPr>
              <w:t>期末</w:t>
            </w:r>
          </w:p>
        </w:tc>
      </w:tr>
      <w:tr w14:paraId="5FCEE3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continue"/>
            <w:tcBorders>
              <w:bottom w:val="single" w:color="auto" w:sz="4" w:space="0"/>
              <w:right w:val="single" w:color="auto" w:sz="4" w:space="0"/>
            </w:tcBorders>
            <w:vAlign w:val="center"/>
          </w:tcPr>
          <w:p w14:paraId="6715CCE9">
            <w:pPr>
              <w:jc w:val="center"/>
              <w:rPr>
                <w:rFonts w:eastAsia="楷体_GB2312"/>
                <w:sz w:val="18"/>
              </w:rPr>
            </w:pPr>
          </w:p>
        </w:tc>
        <w:tc>
          <w:tcPr>
            <w:tcW w:w="966" w:type="dxa"/>
            <w:gridSpan w:val="2"/>
            <w:tcBorders>
              <w:top w:val="single" w:color="auto" w:sz="4" w:space="0"/>
              <w:left w:val="single" w:color="auto" w:sz="4" w:space="0"/>
              <w:bottom w:val="single" w:color="auto" w:sz="4" w:space="0"/>
            </w:tcBorders>
            <w:vAlign w:val="center"/>
          </w:tcPr>
          <w:p w14:paraId="4A6306D9">
            <w:pPr>
              <w:jc w:val="center"/>
              <w:rPr>
                <w:rFonts w:eastAsia="楷体_GB2312"/>
                <w:sz w:val="18"/>
                <w:szCs w:val="18"/>
              </w:rPr>
            </w:pPr>
            <w:r>
              <w:rPr>
                <w:rFonts w:eastAsia="楷体_GB2312"/>
                <w:b/>
                <w:sz w:val="18"/>
                <w:szCs w:val="18"/>
              </w:rPr>
              <w:t>未偿本金余额</w:t>
            </w:r>
          </w:p>
        </w:tc>
        <w:tc>
          <w:tcPr>
            <w:tcW w:w="881" w:type="dxa"/>
            <w:tcBorders>
              <w:top w:val="single" w:color="auto" w:sz="4" w:space="0"/>
              <w:left w:val="single" w:color="auto" w:sz="4" w:space="0"/>
              <w:bottom w:val="single" w:color="auto" w:sz="4" w:space="0"/>
            </w:tcBorders>
            <w:vAlign w:val="center"/>
          </w:tcPr>
          <w:p w14:paraId="540A8481">
            <w:pPr>
              <w:jc w:val="center"/>
              <w:rPr>
                <w:rFonts w:eastAsia="楷体_GB2312"/>
                <w:sz w:val="18"/>
                <w:szCs w:val="18"/>
              </w:rPr>
            </w:pPr>
            <w:r>
              <w:rPr>
                <w:rFonts w:eastAsia="楷体_GB2312"/>
                <w:b/>
                <w:sz w:val="18"/>
                <w:szCs w:val="18"/>
              </w:rPr>
              <w:t>占比</w:t>
            </w:r>
          </w:p>
        </w:tc>
        <w:tc>
          <w:tcPr>
            <w:tcW w:w="856" w:type="dxa"/>
            <w:tcBorders>
              <w:top w:val="single" w:color="auto" w:sz="4" w:space="0"/>
              <w:left w:val="single" w:color="auto" w:sz="4" w:space="0"/>
              <w:bottom w:val="single" w:color="auto" w:sz="4" w:space="0"/>
            </w:tcBorders>
            <w:vAlign w:val="center"/>
          </w:tcPr>
          <w:p w14:paraId="328A2241">
            <w:pPr>
              <w:jc w:val="center"/>
              <w:rPr>
                <w:rFonts w:eastAsia="楷体_GB2312"/>
                <w:sz w:val="18"/>
                <w:szCs w:val="18"/>
              </w:rPr>
            </w:pPr>
            <w:r>
              <w:rPr>
                <w:rFonts w:eastAsia="楷体_GB2312"/>
                <w:b/>
                <w:sz w:val="18"/>
                <w:szCs w:val="18"/>
              </w:rPr>
              <w:t>未偿本金余额</w:t>
            </w:r>
          </w:p>
        </w:tc>
        <w:tc>
          <w:tcPr>
            <w:tcW w:w="852" w:type="dxa"/>
            <w:tcBorders>
              <w:top w:val="single" w:color="auto" w:sz="4" w:space="0"/>
              <w:left w:val="single" w:color="auto" w:sz="4" w:space="0"/>
              <w:bottom w:val="single" w:color="auto" w:sz="4" w:space="0"/>
            </w:tcBorders>
            <w:vAlign w:val="center"/>
          </w:tcPr>
          <w:p w14:paraId="7850E5D6">
            <w:pPr>
              <w:jc w:val="center"/>
              <w:rPr>
                <w:rFonts w:eastAsia="楷体_GB2312"/>
                <w:sz w:val="18"/>
                <w:szCs w:val="18"/>
              </w:rPr>
            </w:pPr>
            <w:r>
              <w:rPr>
                <w:rFonts w:eastAsia="楷体_GB2312"/>
                <w:b/>
                <w:sz w:val="18"/>
                <w:szCs w:val="18"/>
              </w:rPr>
              <w:t>占比</w:t>
            </w:r>
          </w:p>
        </w:tc>
        <w:tc>
          <w:tcPr>
            <w:tcW w:w="1299" w:type="dxa"/>
            <w:gridSpan w:val="2"/>
            <w:tcBorders>
              <w:top w:val="single" w:color="auto" w:sz="4" w:space="0"/>
              <w:left w:val="single" w:color="auto" w:sz="4" w:space="0"/>
              <w:bottom w:val="single" w:color="auto" w:sz="4" w:space="0"/>
            </w:tcBorders>
            <w:vAlign w:val="center"/>
          </w:tcPr>
          <w:p w14:paraId="528E34DB">
            <w:pPr>
              <w:jc w:val="center"/>
              <w:rPr>
                <w:rFonts w:eastAsia="楷体_GB2312"/>
                <w:sz w:val="18"/>
                <w:szCs w:val="18"/>
              </w:rPr>
            </w:pPr>
            <w:r>
              <w:rPr>
                <w:rFonts w:eastAsia="楷体_GB2312"/>
                <w:b/>
                <w:sz w:val="18"/>
                <w:szCs w:val="18"/>
              </w:rPr>
              <w:t>未偿本金余额</w:t>
            </w:r>
          </w:p>
        </w:tc>
        <w:tc>
          <w:tcPr>
            <w:tcW w:w="975" w:type="dxa"/>
            <w:tcBorders>
              <w:top w:val="single" w:color="auto" w:sz="4" w:space="0"/>
              <w:left w:val="single" w:color="auto" w:sz="4" w:space="0"/>
              <w:bottom w:val="single" w:color="auto" w:sz="4" w:space="0"/>
            </w:tcBorders>
            <w:vAlign w:val="center"/>
          </w:tcPr>
          <w:p w14:paraId="348EA7FA">
            <w:pPr>
              <w:jc w:val="center"/>
              <w:rPr>
                <w:rFonts w:eastAsia="楷体_GB2312"/>
                <w:sz w:val="18"/>
                <w:szCs w:val="18"/>
              </w:rPr>
            </w:pPr>
            <w:r>
              <w:rPr>
                <w:rFonts w:eastAsia="楷体_GB2312"/>
                <w:b/>
                <w:sz w:val="18"/>
                <w:szCs w:val="18"/>
              </w:rPr>
              <w:t>占比</w:t>
            </w:r>
          </w:p>
        </w:tc>
      </w:tr>
      <w:tr w14:paraId="60FFBC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1EF31E1A">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6FD67B19">
            <w:pPr>
              <w:rPr>
                <w:rFonts w:eastAsia="楷体_GB2312"/>
                <w:sz w:val="18"/>
                <w:szCs w:val="18"/>
              </w:rPr>
            </w:pPr>
          </w:p>
        </w:tc>
        <w:tc>
          <w:tcPr>
            <w:tcW w:w="881" w:type="dxa"/>
            <w:tcBorders>
              <w:top w:val="single" w:color="auto" w:sz="4" w:space="0"/>
              <w:left w:val="single" w:color="auto" w:sz="4" w:space="0"/>
              <w:bottom w:val="single" w:color="auto" w:sz="4" w:space="0"/>
            </w:tcBorders>
          </w:tcPr>
          <w:p w14:paraId="123D5C01">
            <w:pPr>
              <w:rPr>
                <w:rFonts w:eastAsia="楷体_GB2312"/>
                <w:sz w:val="18"/>
                <w:szCs w:val="18"/>
              </w:rPr>
            </w:pPr>
          </w:p>
        </w:tc>
        <w:tc>
          <w:tcPr>
            <w:tcW w:w="856" w:type="dxa"/>
            <w:tcBorders>
              <w:top w:val="single" w:color="auto" w:sz="4" w:space="0"/>
              <w:left w:val="single" w:color="auto" w:sz="4" w:space="0"/>
              <w:bottom w:val="single" w:color="auto" w:sz="4" w:space="0"/>
            </w:tcBorders>
          </w:tcPr>
          <w:p w14:paraId="56FF57D2">
            <w:pPr>
              <w:rPr>
                <w:rFonts w:eastAsia="楷体_GB2312"/>
                <w:sz w:val="18"/>
                <w:szCs w:val="18"/>
              </w:rPr>
            </w:pPr>
          </w:p>
        </w:tc>
        <w:tc>
          <w:tcPr>
            <w:tcW w:w="852" w:type="dxa"/>
            <w:tcBorders>
              <w:top w:val="single" w:color="auto" w:sz="4" w:space="0"/>
              <w:left w:val="single" w:color="auto" w:sz="4" w:space="0"/>
              <w:bottom w:val="single" w:color="auto" w:sz="4" w:space="0"/>
            </w:tcBorders>
          </w:tcPr>
          <w:p w14:paraId="1CD8FBBE">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4B3E6371">
            <w:pPr>
              <w:rPr>
                <w:rFonts w:eastAsia="楷体_GB2312"/>
                <w:sz w:val="18"/>
                <w:szCs w:val="18"/>
              </w:rPr>
            </w:pPr>
          </w:p>
        </w:tc>
        <w:tc>
          <w:tcPr>
            <w:tcW w:w="975" w:type="dxa"/>
            <w:tcBorders>
              <w:top w:val="single" w:color="auto" w:sz="4" w:space="0"/>
              <w:left w:val="single" w:color="auto" w:sz="4" w:space="0"/>
              <w:bottom w:val="single" w:color="auto" w:sz="4" w:space="0"/>
            </w:tcBorders>
          </w:tcPr>
          <w:p w14:paraId="3379C177">
            <w:pPr>
              <w:rPr>
                <w:rFonts w:eastAsia="楷体_GB2312"/>
                <w:sz w:val="18"/>
                <w:szCs w:val="18"/>
              </w:rPr>
            </w:pPr>
          </w:p>
        </w:tc>
      </w:tr>
      <w:tr w14:paraId="7CA07D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4DFA3A98">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13A6AF50">
            <w:pPr>
              <w:rPr>
                <w:rFonts w:eastAsia="楷体_GB2312"/>
                <w:sz w:val="18"/>
                <w:szCs w:val="18"/>
              </w:rPr>
            </w:pPr>
          </w:p>
        </w:tc>
        <w:tc>
          <w:tcPr>
            <w:tcW w:w="881" w:type="dxa"/>
            <w:tcBorders>
              <w:top w:val="single" w:color="auto" w:sz="4" w:space="0"/>
              <w:left w:val="single" w:color="auto" w:sz="4" w:space="0"/>
              <w:bottom w:val="single" w:color="auto" w:sz="4" w:space="0"/>
            </w:tcBorders>
          </w:tcPr>
          <w:p w14:paraId="7CA05E95">
            <w:pPr>
              <w:rPr>
                <w:rFonts w:eastAsia="楷体_GB2312"/>
                <w:sz w:val="18"/>
                <w:szCs w:val="18"/>
              </w:rPr>
            </w:pPr>
          </w:p>
        </w:tc>
        <w:tc>
          <w:tcPr>
            <w:tcW w:w="856" w:type="dxa"/>
            <w:tcBorders>
              <w:top w:val="single" w:color="auto" w:sz="4" w:space="0"/>
              <w:left w:val="single" w:color="auto" w:sz="4" w:space="0"/>
              <w:bottom w:val="single" w:color="auto" w:sz="4" w:space="0"/>
            </w:tcBorders>
          </w:tcPr>
          <w:p w14:paraId="2F59881F">
            <w:pPr>
              <w:rPr>
                <w:rFonts w:eastAsia="楷体_GB2312"/>
                <w:sz w:val="18"/>
                <w:szCs w:val="18"/>
              </w:rPr>
            </w:pPr>
          </w:p>
        </w:tc>
        <w:tc>
          <w:tcPr>
            <w:tcW w:w="852" w:type="dxa"/>
            <w:tcBorders>
              <w:top w:val="single" w:color="auto" w:sz="4" w:space="0"/>
              <w:left w:val="single" w:color="auto" w:sz="4" w:space="0"/>
              <w:bottom w:val="single" w:color="auto" w:sz="4" w:space="0"/>
            </w:tcBorders>
          </w:tcPr>
          <w:p w14:paraId="18C7C8D5">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4370565D">
            <w:pPr>
              <w:rPr>
                <w:rFonts w:eastAsia="楷体_GB2312"/>
                <w:sz w:val="18"/>
                <w:szCs w:val="18"/>
              </w:rPr>
            </w:pPr>
          </w:p>
        </w:tc>
        <w:tc>
          <w:tcPr>
            <w:tcW w:w="975" w:type="dxa"/>
            <w:tcBorders>
              <w:top w:val="single" w:color="auto" w:sz="4" w:space="0"/>
              <w:left w:val="single" w:color="auto" w:sz="4" w:space="0"/>
              <w:bottom w:val="single" w:color="auto" w:sz="4" w:space="0"/>
            </w:tcBorders>
          </w:tcPr>
          <w:p w14:paraId="47AE1676">
            <w:pPr>
              <w:rPr>
                <w:rFonts w:eastAsia="楷体_GB2312"/>
                <w:sz w:val="18"/>
                <w:szCs w:val="18"/>
              </w:rPr>
            </w:pPr>
          </w:p>
        </w:tc>
      </w:tr>
      <w:tr w14:paraId="6593F4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33EF8FDA">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086E69F4">
            <w:pPr>
              <w:rPr>
                <w:rFonts w:eastAsia="楷体_GB2312"/>
                <w:sz w:val="18"/>
                <w:szCs w:val="18"/>
              </w:rPr>
            </w:pPr>
          </w:p>
        </w:tc>
        <w:tc>
          <w:tcPr>
            <w:tcW w:w="881" w:type="dxa"/>
            <w:tcBorders>
              <w:top w:val="single" w:color="auto" w:sz="4" w:space="0"/>
              <w:left w:val="single" w:color="auto" w:sz="4" w:space="0"/>
              <w:bottom w:val="single" w:color="auto" w:sz="4" w:space="0"/>
            </w:tcBorders>
          </w:tcPr>
          <w:p w14:paraId="0EE35B42">
            <w:pPr>
              <w:rPr>
                <w:rFonts w:eastAsia="楷体_GB2312"/>
                <w:sz w:val="18"/>
                <w:szCs w:val="18"/>
              </w:rPr>
            </w:pPr>
          </w:p>
        </w:tc>
        <w:tc>
          <w:tcPr>
            <w:tcW w:w="856" w:type="dxa"/>
            <w:tcBorders>
              <w:top w:val="single" w:color="auto" w:sz="4" w:space="0"/>
              <w:left w:val="single" w:color="auto" w:sz="4" w:space="0"/>
              <w:bottom w:val="single" w:color="auto" w:sz="4" w:space="0"/>
            </w:tcBorders>
          </w:tcPr>
          <w:p w14:paraId="4330AD7F">
            <w:pPr>
              <w:rPr>
                <w:rFonts w:eastAsia="楷体_GB2312"/>
                <w:sz w:val="18"/>
                <w:szCs w:val="18"/>
              </w:rPr>
            </w:pPr>
          </w:p>
        </w:tc>
        <w:tc>
          <w:tcPr>
            <w:tcW w:w="852" w:type="dxa"/>
            <w:tcBorders>
              <w:top w:val="single" w:color="auto" w:sz="4" w:space="0"/>
              <w:left w:val="single" w:color="auto" w:sz="4" w:space="0"/>
              <w:bottom w:val="single" w:color="auto" w:sz="4" w:space="0"/>
            </w:tcBorders>
          </w:tcPr>
          <w:p w14:paraId="3D7CB5A8">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7451C3AC">
            <w:pPr>
              <w:rPr>
                <w:rFonts w:eastAsia="楷体_GB2312"/>
                <w:sz w:val="18"/>
                <w:szCs w:val="18"/>
              </w:rPr>
            </w:pPr>
          </w:p>
        </w:tc>
        <w:tc>
          <w:tcPr>
            <w:tcW w:w="975" w:type="dxa"/>
            <w:tcBorders>
              <w:top w:val="single" w:color="auto" w:sz="4" w:space="0"/>
              <w:left w:val="single" w:color="auto" w:sz="4" w:space="0"/>
              <w:bottom w:val="single" w:color="auto" w:sz="4" w:space="0"/>
            </w:tcBorders>
          </w:tcPr>
          <w:p w14:paraId="7FCC8EEC">
            <w:pPr>
              <w:rPr>
                <w:rFonts w:eastAsia="楷体_GB2312"/>
                <w:sz w:val="18"/>
                <w:szCs w:val="18"/>
              </w:rPr>
            </w:pPr>
          </w:p>
        </w:tc>
      </w:tr>
      <w:tr w14:paraId="32EC2A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1" w:type="dxa"/>
            <w:gridSpan w:val="9"/>
            <w:tcBorders>
              <w:top w:val="single" w:color="auto" w:sz="4" w:space="0"/>
              <w:bottom w:val="single" w:color="auto" w:sz="4" w:space="0"/>
            </w:tcBorders>
            <w:vAlign w:val="center"/>
          </w:tcPr>
          <w:p w14:paraId="780D8F6A">
            <w:pPr>
              <w:rPr>
                <w:rFonts w:eastAsia="楷体_GB2312"/>
                <w:sz w:val="18"/>
                <w:szCs w:val="18"/>
              </w:rPr>
            </w:pPr>
          </w:p>
          <w:p w14:paraId="3B43CBBF">
            <w:pPr>
              <w:rPr>
                <w:rFonts w:eastAsia="楷体_GB2312"/>
                <w:sz w:val="18"/>
                <w:szCs w:val="18"/>
                <w:lang w:eastAsia="zh-CN"/>
              </w:rPr>
            </w:pPr>
            <w:r>
              <w:rPr>
                <w:rFonts w:eastAsia="楷体_GB2312"/>
                <w:b/>
                <w:lang w:eastAsia="zh-CN"/>
              </w:rPr>
              <w:t>7、贷款账龄分布</w:t>
            </w:r>
          </w:p>
        </w:tc>
      </w:tr>
      <w:tr w14:paraId="41A978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restart"/>
            <w:tcBorders>
              <w:top w:val="single" w:color="auto" w:sz="4" w:space="0"/>
              <w:right w:val="single" w:color="auto" w:sz="4" w:space="0"/>
            </w:tcBorders>
            <w:vAlign w:val="center"/>
          </w:tcPr>
          <w:p w14:paraId="2919730F">
            <w:pPr>
              <w:jc w:val="center"/>
              <w:rPr>
                <w:rFonts w:eastAsia="楷体_GB2312"/>
                <w:sz w:val="18"/>
              </w:rPr>
            </w:pPr>
            <w:r>
              <w:rPr>
                <w:rFonts w:eastAsia="楷体_GB2312"/>
                <w:b/>
                <w:sz w:val="18"/>
                <w:szCs w:val="18"/>
              </w:rPr>
              <w:t>账龄</w:t>
            </w:r>
          </w:p>
        </w:tc>
        <w:tc>
          <w:tcPr>
            <w:tcW w:w="1847" w:type="dxa"/>
            <w:gridSpan w:val="3"/>
            <w:tcBorders>
              <w:top w:val="single" w:color="auto" w:sz="4" w:space="0"/>
              <w:left w:val="single" w:color="auto" w:sz="4" w:space="0"/>
              <w:bottom w:val="single" w:color="auto" w:sz="4" w:space="0"/>
            </w:tcBorders>
            <w:vAlign w:val="center"/>
          </w:tcPr>
          <w:p w14:paraId="505FC0F8">
            <w:pPr>
              <w:jc w:val="center"/>
              <w:rPr>
                <w:rFonts w:eastAsia="楷体_GB2312"/>
                <w:sz w:val="18"/>
                <w:szCs w:val="18"/>
              </w:rPr>
            </w:pPr>
            <w:r>
              <w:rPr>
                <w:rFonts w:eastAsia="楷体_GB2312"/>
                <w:b/>
                <w:sz w:val="18"/>
                <w:szCs w:val="18"/>
              </w:rPr>
              <w:t>初始起算日</w:t>
            </w:r>
          </w:p>
        </w:tc>
        <w:tc>
          <w:tcPr>
            <w:tcW w:w="1708" w:type="dxa"/>
            <w:gridSpan w:val="2"/>
            <w:tcBorders>
              <w:top w:val="single" w:color="auto" w:sz="4" w:space="0"/>
              <w:left w:val="single" w:color="auto" w:sz="4" w:space="0"/>
              <w:bottom w:val="single" w:color="auto" w:sz="4" w:space="0"/>
            </w:tcBorders>
            <w:vAlign w:val="center"/>
          </w:tcPr>
          <w:p w14:paraId="047ABE9E">
            <w:pPr>
              <w:jc w:val="center"/>
              <w:rPr>
                <w:rFonts w:eastAsia="楷体_GB2312"/>
                <w:sz w:val="18"/>
                <w:szCs w:val="18"/>
              </w:rPr>
            </w:pPr>
            <w:r>
              <w:rPr>
                <w:rFonts w:eastAsia="楷体_GB2312"/>
                <w:b/>
                <w:sz w:val="18"/>
                <w:szCs w:val="18"/>
              </w:rPr>
              <w:t>本</w:t>
            </w:r>
            <w:r>
              <w:rPr>
                <w:rFonts w:eastAsia="楷体_GB2312"/>
                <w:b/>
                <w:sz w:val="18"/>
                <w:szCs w:val="18"/>
                <w:lang w:eastAsia="zh-CN"/>
              </w:rPr>
              <w:t>报告</w:t>
            </w:r>
            <w:r>
              <w:rPr>
                <w:rFonts w:eastAsia="楷体_GB2312"/>
                <w:b/>
                <w:sz w:val="18"/>
                <w:szCs w:val="18"/>
              </w:rPr>
              <w:t>期末</w:t>
            </w:r>
          </w:p>
        </w:tc>
        <w:tc>
          <w:tcPr>
            <w:tcW w:w="2274" w:type="dxa"/>
            <w:gridSpan w:val="3"/>
            <w:tcBorders>
              <w:top w:val="single" w:color="auto" w:sz="4" w:space="0"/>
              <w:left w:val="single" w:color="auto" w:sz="4" w:space="0"/>
              <w:bottom w:val="single" w:color="auto" w:sz="4" w:space="0"/>
            </w:tcBorders>
            <w:vAlign w:val="center"/>
          </w:tcPr>
          <w:p w14:paraId="73EF62AD">
            <w:pPr>
              <w:jc w:val="center"/>
              <w:rPr>
                <w:rFonts w:eastAsia="楷体_GB2312"/>
                <w:sz w:val="18"/>
                <w:szCs w:val="18"/>
              </w:rPr>
            </w:pPr>
            <w:r>
              <w:rPr>
                <w:rFonts w:eastAsia="楷体_GB2312"/>
                <w:b/>
                <w:sz w:val="18"/>
                <w:szCs w:val="18"/>
              </w:rPr>
              <w:t>上一</w:t>
            </w:r>
            <w:r>
              <w:rPr>
                <w:rFonts w:eastAsia="楷体_GB2312"/>
                <w:b/>
                <w:sz w:val="18"/>
                <w:szCs w:val="18"/>
                <w:lang w:eastAsia="zh-CN"/>
              </w:rPr>
              <w:t>报告</w:t>
            </w:r>
            <w:r>
              <w:rPr>
                <w:rFonts w:eastAsia="楷体_GB2312"/>
                <w:b/>
                <w:sz w:val="18"/>
                <w:szCs w:val="18"/>
              </w:rPr>
              <w:t>期末</w:t>
            </w:r>
          </w:p>
        </w:tc>
      </w:tr>
      <w:tr w14:paraId="0F0999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continue"/>
            <w:tcBorders>
              <w:bottom w:val="single" w:color="auto" w:sz="4" w:space="0"/>
              <w:right w:val="single" w:color="auto" w:sz="4" w:space="0"/>
            </w:tcBorders>
            <w:vAlign w:val="center"/>
          </w:tcPr>
          <w:p w14:paraId="1D788906">
            <w:pPr>
              <w:jc w:val="center"/>
              <w:rPr>
                <w:rFonts w:eastAsia="楷体_GB2312"/>
                <w:sz w:val="18"/>
              </w:rPr>
            </w:pPr>
          </w:p>
        </w:tc>
        <w:tc>
          <w:tcPr>
            <w:tcW w:w="966" w:type="dxa"/>
            <w:gridSpan w:val="2"/>
            <w:tcBorders>
              <w:top w:val="single" w:color="auto" w:sz="4" w:space="0"/>
              <w:left w:val="single" w:color="auto" w:sz="4" w:space="0"/>
              <w:bottom w:val="single" w:color="auto" w:sz="4" w:space="0"/>
            </w:tcBorders>
            <w:vAlign w:val="center"/>
          </w:tcPr>
          <w:p w14:paraId="342D725D">
            <w:pPr>
              <w:jc w:val="center"/>
              <w:rPr>
                <w:rFonts w:eastAsia="楷体_GB2312"/>
                <w:sz w:val="18"/>
                <w:szCs w:val="18"/>
              </w:rPr>
            </w:pPr>
            <w:r>
              <w:rPr>
                <w:rFonts w:eastAsia="楷体_GB2312"/>
                <w:b/>
                <w:sz w:val="18"/>
                <w:szCs w:val="18"/>
              </w:rPr>
              <w:t>未偿本金余额</w:t>
            </w:r>
          </w:p>
        </w:tc>
        <w:tc>
          <w:tcPr>
            <w:tcW w:w="881" w:type="dxa"/>
            <w:tcBorders>
              <w:top w:val="single" w:color="auto" w:sz="4" w:space="0"/>
              <w:left w:val="single" w:color="auto" w:sz="4" w:space="0"/>
              <w:bottom w:val="single" w:color="auto" w:sz="4" w:space="0"/>
            </w:tcBorders>
            <w:vAlign w:val="center"/>
          </w:tcPr>
          <w:p w14:paraId="4E8922B1">
            <w:pPr>
              <w:jc w:val="center"/>
              <w:rPr>
                <w:rFonts w:eastAsia="楷体_GB2312"/>
                <w:sz w:val="18"/>
                <w:szCs w:val="18"/>
              </w:rPr>
            </w:pPr>
            <w:r>
              <w:rPr>
                <w:rFonts w:eastAsia="楷体_GB2312"/>
                <w:b/>
                <w:sz w:val="18"/>
                <w:szCs w:val="18"/>
              </w:rPr>
              <w:t>占比</w:t>
            </w:r>
          </w:p>
        </w:tc>
        <w:tc>
          <w:tcPr>
            <w:tcW w:w="856" w:type="dxa"/>
            <w:tcBorders>
              <w:top w:val="single" w:color="auto" w:sz="4" w:space="0"/>
              <w:left w:val="single" w:color="auto" w:sz="4" w:space="0"/>
              <w:bottom w:val="single" w:color="auto" w:sz="4" w:space="0"/>
            </w:tcBorders>
            <w:vAlign w:val="center"/>
          </w:tcPr>
          <w:p w14:paraId="7E04B005">
            <w:pPr>
              <w:jc w:val="center"/>
              <w:rPr>
                <w:rFonts w:eastAsia="楷体_GB2312"/>
                <w:sz w:val="18"/>
                <w:szCs w:val="18"/>
              </w:rPr>
            </w:pPr>
            <w:r>
              <w:rPr>
                <w:rFonts w:eastAsia="楷体_GB2312"/>
                <w:b/>
                <w:sz w:val="18"/>
                <w:szCs w:val="18"/>
              </w:rPr>
              <w:t>未偿本金余额</w:t>
            </w:r>
          </w:p>
        </w:tc>
        <w:tc>
          <w:tcPr>
            <w:tcW w:w="852" w:type="dxa"/>
            <w:tcBorders>
              <w:top w:val="single" w:color="auto" w:sz="4" w:space="0"/>
              <w:left w:val="single" w:color="auto" w:sz="4" w:space="0"/>
              <w:bottom w:val="single" w:color="auto" w:sz="4" w:space="0"/>
            </w:tcBorders>
            <w:vAlign w:val="center"/>
          </w:tcPr>
          <w:p w14:paraId="14E1BA36">
            <w:pPr>
              <w:jc w:val="center"/>
              <w:rPr>
                <w:rFonts w:eastAsia="楷体_GB2312"/>
                <w:sz w:val="18"/>
                <w:szCs w:val="18"/>
              </w:rPr>
            </w:pPr>
            <w:r>
              <w:rPr>
                <w:rFonts w:eastAsia="楷体_GB2312"/>
                <w:b/>
                <w:sz w:val="18"/>
                <w:szCs w:val="18"/>
              </w:rPr>
              <w:t>占比</w:t>
            </w:r>
          </w:p>
        </w:tc>
        <w:tc>
          <w:tcPr>
            <w:tcW w:w="1299" w:type="dxa"/>
            <w:gridSpan w:val="2"/>
            <w:tcBorders>
              <w:top w:val="single" w:color="auto" w:sz="4" w:space="0"/>
              <w:left w:val="single" w:color="auto" w:sz="4" w:space="0"/>
              <w:bottom w:val="single" w:color="auto" w:sz="4" w:space="0"/>
            </w:tcBorders>
            <w:vAlign w:val="center"/>
          </w:tcPr>
          <w:p w14:paraId="32B16FFA">
            <w:pPr>
              <w:jc w:val="center"/>
              <w:rPr>
                <w:rFonts w:eastAsia="楷体_GB2312"/>
                <w:sz w:val="18"/>
                <w:szCs w:val="18"/>
              </w:rPr>
            </w:pPr>
            <w:r>
              <w:rPr>
                <w:rFonts w:eastAsia="楷体_GB2312"/>
                <w:b/>
                <w:sz w:val="18"/>
                <w:szCs w:val="18"/>
              </w:rPr>
              <w:t>未偿本金余额</w:t>
            </w:r>
          </w:p>
        </w:tc>
        <w:tc>
          <w:tcPr>
            <w:tcW w:w="975" w:type="dxa"/>
            <w:tcBorders>
              <w:top w:val="single" w:color="auto" w:sz="4" w:space="0"/>
              <w:left w:val="single" w:color="auto" w:sz="4" w:space="0"/>
              <w:bottom w:val="single" w:color="auto" w:sz="4" w:space="0"/>
            </w:tcBorders>
            <w:vAlign w:val="center"/>
          </w:tcPr>
          <w:p w14:paraId="5C2192CD">
            <w:pPr>
              <w:jc w:val="center"/>
              <w:rPr>
                <w:rFonts w:eastAsia="楷体_GB2312"/>
                <w:sz w:val="18"/>
                <w:szCs w:val="18"/>
              </w:rPr>
            </w:pPr>
            <w:r>
              <w:rPr>
                <w:rFonts w:eastAsia="楷体_GB2312"/>
                <w:b/>
                <w:sz w:val="18"/>
                <w:szCs w:val="18"/>
              </w:rPr>
              <w:t>占比</w:t>
            </w:r>
          </w:p>
        </w:tc>
      </w:tr>
      <w:tr w14:paraId="4FF222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7E45C02A">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54E9F847">
            <w:pPr>
              <w:rPr>
                <w:rFonts w:eastAsia="楷体_GB2312"/>
                <w:sz w:val="18"/>
                <w:szCs w:val="18"/>
              </w:rPr>
            </w:pPr>
          </w:p>
        </w:tc>
        <w:tc>
          <w:tcPr>
            <w:tcW w:w="881" w:type="dxa"/>
            <w:tcBorders>
              <w:top w:val="single" w:color="auto" w:sz="4" w:space="0"/>
              <w:left w:val="single" w:color="auto" w:sz="4" w:space="0"/>
              <w:bottom w:val="single" w:color="auto" w:sz="4" w:space="0"/>
            </w:tcBorders>
          </w:tcPr>
          <w:p w14:paraId="2EE6A0B9">
            <w:pPr>
              <w:rPr>
                <w:rFonts w:eastAsia="楷体_GB2312"/>
                <w:sz w:val="18"/>
                <w:szCs w:val="18"/>
              </w:rPr>
            </w:pPr>
          </w:p>
        </w:tc>
        <w:tc>
          <w:tcPr>
            <w:tcW w:w="856" w:type="dxa"/>
            <w:tcBorders>
              <w:top w:val="single" w:color="auto" w:sz="4" w:space="0"/>
              <w:left w:val="single" w:color="auto" w:sz="4" w:space="0"/>
              <w:bottom w:val="single" w:color="auto" w:sz="4" w:space="0"/>
            </w:tcBorders>
          </w:tcPr>
          <w:p w14:paraId="60B0A662">
            <w:pPr>
              <w:rPr>
                <w:rFonts w:eastAsia="楷体_GB2312"/>
                <w:sz w:val="18"/>
                <w:szCs w:val="18"/>
              </w:rPr>
            </w:pPr>
          </w:p>
        </w:tc>
        <w:tc>
          <w:tcPr>
            <w:tcW w:w="852" w:type="dxa"/>
            <w:tcBorders>
              <w:top w:val="single" w:color="auto" w:sz="4" w:space="0"/>
              <w:left w:val="single" w:color="auto" w:sz="4" w:space="0"/>
              <w:bottom w:val="single" w:color="auto" w:sz="4" w:space="0"/>
            </w:tcBorders>
          </w:tcPr>
          <w:p w14:paraId="73EBDAE2">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3A3915C6">
            <w:pPr>
              <w:rPr>
                <w:rFonts w:eastAsia="楷体_GB2312"/>
                <w:sz w:val="18"/>
                <w:szCs w:val="18"/>
              </w:rPr>
            </w:pPr>
          </w:p>
        </w:tc>
        <w:tc>
          <w:tcPr>
            <w:tcW w:w="975" w:type="dxa"/>
            <w:tcBorders>
              <w:top w:val="single" w:color="auto" w:sz="4" w:space="0"/>
              <w:left w:val="single" w:color="auto" w:sz="4" w:space="0"/>
              <w:bottom w:val="single" w:color="auto" w:sz="4" w:space="0"/>
            </w:tcBorders>
          </w:tcPr>
          <w:p w14:paraId="3B052891">
            <w:pPr>
              <w:rPr>
                <w:rFonts w:eastAsia="楷体_GB2312"/>
                <w:sz w:val="18"/>
                <w:szCs w:val="18"/>
              </w:rPr>
            </w:pPr>
          </w:p>
        </w:tc>
      </w:tr>
      <w:tr w14:paraId="7AFD94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17145BEE">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03176A51">
            <w:pPr>
              <w:rPr>
                <w:rFonts w:eastAsia="楷体_GB2312"/>
                <w:sz w:val="18"/>
                <w:szCs w:val="18"/>
              </w:rPr>
            </w:pPr>
          </w:p>
        </w:tc>
        <w:tc>
          <w:tcPr>
            <w:tcW w:w="881" w:type="dxa"/>
            <w:tcBorders>
              <w:top w:val="single" w:color="auto" w:sz="4" w:space="0"/>
              <w:left w:val="single" w:color="auto" w:sz="4" w:space="0"/>
              <w:bottom w:val="single" w:color="auto" w:sz="4" w:space="0"/>
            </w:tcBorders>
          </w:tcPr>
          <w:p w14:paraId="34566963">
            <w:pPr>
              <w:rPr>
                <w:rFonts w:eastAsia="楷体_GB2312"/>
                <w:sz w:val="18"/>
                <w:szCs w:val="18"/>
              </w:rPr>
            </w:pPr>
          </w:p>
        </w:tc>
        <w:tc>
          <w:tcPr>
            <w:tcW w:w="856" w:type="dxa"/>
            <w:tcBorders>
              <w:top w:val="single" w:color="auto" w:sz="4" w:space="0"/>
              <w:left w:val="single" w:color="auto" w:sz="4" w:space="0"/>
              <w:bottom w:val="single" w:color="auto" w:sz="4" w:space="0"/>
            </w:tcBorders>
          </w:tcPr>
          <w:p w14:paraId="7215CB23">
            <w:pPr>
              <w:rPr>
                <w:rFonts w:eastAsia="楷体_GB2312"/>
                <w:sz w:val="18"/>
                <w:szCs w:val="18"/>
              </w:rPr>
            </w:pPr>
          </w:p>
        </w:tc>
        <w:tc>
          <w:tcPr>
            <w:tcW w:w="852" w:type="dxa"/>
            <w:tcBorders>
              <w:top w:val="single" w:color="auto" w:sz="4" w:space="0"/>
              <w:left w:val="single" w:color="auto" w:sz="4" w:space="0"/>
              <w:bottom w:val="single" w:color="auto" w:sz="4" w:space="0"/>
            </w:tcBorders>
          </w:tcPr>
          <w:p w14:paraId="491EFC32">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44BDD504">
            <w:pPr>
              <w:rPr>
                <w:rFonts w:eastAsia="楷体_GB2312"/>
                <w:sz w:val="18"/>
                <w:szCs w:val="18"/>
              </w:rPr>
            </w:pPr>
          </w:p>
        </w:tc>
        <w:tc>
          <w:tcPr>
            <w:tcW w:w="975" w:type="dxa"/>
            <w:tcBorders>
              <w:top w:val="single" w:color="auto" w:sz="4" w:space="0"/>
              <w:left w:val="single" w:color="auto" w:sz="4" w:space="0"/>
              <w:bottom w:val="single" w:color="auto" w:sz="4" w:space="0"/>
            </w:tcBorders>
          </w:tcPr>
          <w:p w14:paraId="41A1E5E7">
            <w:pPr>
              <w:rPr>
                <w:rFonts w:eastAsia="楷体_GB2312"/>
                <w:sz w:val="18"/>
                <w:szCs w:val="18"/>
              </w:rPr>
            </w:pPr>
          </w:p>
        </w:tc>
      </w:tr>
      <w:tr w14:paraId="0DD37B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6D37CF10">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110F98B8">
            <w:pPr>
              <w:rPr>
                <w:rFonts w:eastAsia="楷体_GB2312"/>
                <w:sz w:val="18"/>
                <w:szCs w:val="18"/>
              </w:rPr>
            </w:pPr>
          </w:p>
        </w:tc>
        <w:tc>
          <w:tcPr>
            <w:tcW w:w="881" w:type="dxa"/>
            <w:tcBorders>
              <w:top w:val="single" w:color="auto" w:sz="4" w:space="0"/>
              <w:left w:val="single" w:color="auto" w:sz="4" w:space="0"/>
              <w:bottom w:val="single" w:color="auto" w:sz="4" w:space="0"/>
            </w:tcBorders>
          </w:tcPr>
          <w:p w14:paraId="1E6280B8">
            <w:pPr>
              <w:rPr>
                <w:rFonts w:eastAsia="楷体_GB2312"/>
                <w:sz w:val="18"/>
                <w:szCs w:val="18"/>
              </w:rPr>
            </w:pPr>
          </w:p>
        </w:tc>
        <w:tc>
          <w:tcPr>
            <w:tcW w:w="856" w:type="dxa"/>
            <w:tcBorders>
              <w:top w:val="single" w:color="auto" w:sz="4" w:space="0"/>
              <w:left w:val="single" w:color="auto" w:sz="4" w:space="0"/>
              <w:bottom w:val="single" w:color="auto" w:sz="4" w:space="0"/>
            </w:tcBorders>
          </w:tcPr>
          <w:p w14:paraId="43F0DD53">
            <w:pPr>
              <w:rPr>
                <w:rFonts w:eastAsia="楷体_GB2312"/>
                <w:sz w:val="18"/>
                <w:szCs w:val="18"/>
              </w:rPr>
            </w:pPr>
          </w:p>
        </w:tc>
        <w:tc>
          <w:tcPr>
            <w:tcW w:w="852" w:type="dxa"/>
            <w:tcBorders>
              <w:top w:val="single" w:color="auto" w:sz="4" w:space="0"/>
              <w:left w:val="single" w:color="auto" w:sz="4" w:space="0"/>
              <w:bottom w:val="single" w:color="auto" w:sz="4" w:space="0"/>
            </w:tcBorders>
          </w:tcPr>
          <w:p w14:paraId="0A6781C3">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3FE9C9B1">
            <w:pPr>
              <w:rPr>
                <w:rFonts w:eastAsia="楷体_GB2312"/>
                <w:sz w:val="18"/>
                <w:szCs w:val="18"/>
              </w:rPr>
            </w:pPr>
          </w:p>
        </w:tc>
        <w:tc>
          <w:tcPr>
            <w:tcW w:w="975" w:type="dxa"/>
            <w:tcBorders>
              <w:top w:val="single" w:color="auto" w:sz="4" w:space="0"/>
              <w:left w:val="single" w:color="auto" w:sz="4" w:space="0"/>
              <w:bottom w:val="single" w:color="auto" w:sz="4" w:space="0"/>
            </w:tcBorders>
          </w:tcPr>
          <w:p w14:paraId="06EB5974">
            <w:pPr>
              <w:rPr>
                <w:rFonts w:eastAsia="楷体_GB2312"/>
                <w:sz w:val="18"/>
                <w:szCs w:val="18"/>
              </w:rPr>
            </w:pPr>
          </w:p>
        </w:tc>
      </w:tr>
      <w:tr w14:paraId="08B01F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1" w:type="dxa"/>
            <w:gridSpan w:val="9"/>
            <w:tcBorders>
              <w:top w:val="single" w:color="auto" w:sz="4" w:space="0"/>
              <w:bottom w:val="single" w:color="auto" w:sz="4" w:space="0"/>
            </w:tcBorders>
            <w:vAlign w:val="center"/>
          </w:tcPr>
          <w:p w14:paraId="05460333">
            <w:pPr>
              <w:rPr>
                <w:rFonts w:eastAsia="楷体_GB2312"/>
                <w:b/>
                <w:lang w:eastAsia="zh-CN"/>
              </w:rPr>
            </w:pPr>
          </w:p>
          <w:p w14:paraId="69F575AB">
            <w:pPr>
              <w:rPr>
                <w:rFonts w:eastAsia="楷体_GB2312"/>
                <w:sz w:val="18"/>
                <w:szCs w:val="18"/>
              </w:rPr>
            </w:pPr>
            <w:r>
              <w:rPr>
                <w:rFonts w:eastAsia="楷体_GB2312"/>
                <w:b/>
                <w:lang w:eastAsia="zh-CN"/>
              </w:rPr>
              <w:t>8、贷款剩余期限分布</w:t>
            </w:r>
          </w:p>
        </w:tc>
      </w:tr>
      <w:tr w14:paraId="30B77D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restart"/>
            <w:tcBorders>
              <w:top w:val="single" w:color="auto" w:sz="4" w:space="0"/>
              <w:right w:val="single" w:color="auto" w:sz="4" w:space="0"/>
            </w:tcBorders>
            <w:vAlign w:val="center"/>
          </w:tcPr>
          <w:p w14:paraId="67B641ED">
            <w:pPr>
              <w:jc w:val="center"/>
              <w:rPr>
                <w:rFonts w:eastAsia="楷体_GB2312"/>
                <w:b/>
                <w:bCs/>
                <w:sz w:val="18"/>
              </w:rPr>
            </w:pPr>
            <w:r>
              <w:rPr>
                <w:rFonts w:eastAsia="楷体_GB2312"/>
                <w:b/>
                <w:bCs/>
                <w:sz w:val="18"/>
              </w:rPr>
              <w:t>剩余期限</w:t>
            </w:r>
          </w:p>
        </w:tc>
        <w:tc>
          <w:tcPr>
            <w:tcW w:w="1847" w:type="dxa"/>
            <w:gridSpan w:val="3"/>
            <w:tcBorders>
              <w:top w:val="single" w:color="auto" w:sz="4" w:space="0"/>
              <w:left w:val="single" w:color="auto" w:sz="4" w:space="0"/>
              <w:bottom w:val="single" w:color="auto" w:sz="4" w:space="0"/>
            </w:tcBorders>
            <w:vAlign w:val="center"/>
          </w:tcPr>
          <w:p w14:paraId="560C10AA">
            <w:pPr>
              <w:jc w:val="center"/>
              <w:rPr>
                <w:rFonts w:eastAsia="楷体_GB2312"/>
                <w:sz w:val="18"/>
                <w:szCs w:val="18"/>
              </w:rPr>
            </w:pPr>
            <w:r>
              <w:rPr>
                <w:rFonts w:eastAsia="楷体_GB2312"/>
                <w:b/>
                <w:sz w:val="18"/>
                <w:szCs w:val="18"/>
              </w:rPr>
              <w:t>初始起算日</w:t>
            </w:r>
          </w:p>
        </w:tc>
        <w:tc>
          <w:tcPr>
            <w:tcW w:w="1708" w:type="dxa"/>
            <w:gridSpan w:val="2"/>
            <w:tcBorders>
              <w:top w:val="single" w:color="auto" w:sz="4" w:space="0"/>
              <w:left w:val="single" w:color="auto" w:sz="4" w:space="0"/>
              <w:bottom w:val="single" w:color="auto" w:sz="4" w:space="0"/>
            </w:tcBorders>
            <w:vAlign w:val="center"/>
          </w:tcPr>
          <w:p w14:paraId="27E8355B">
            <w:pPr>
              <w:jc w:val="center"/>
              <w:rPr>
                <w:rFonts w:eastAsia="楷体_GB2312"/>
                <w:sz w:val="18"/>
                <w:szCs w:val="18"/>
              </w:rPr>
            </w:pPr>
            <w:r>
              <w:rPr>
                <w:rFonts w:eastAsia="楷体_GB2312"/>
                <w:b/>
                <w:sz w:val="18"/>
                <w:szCs w:val="18"/>
              </w:rPr>
              <w:t>上一</w:t>
            </w:r>
            <w:r>
              <w:rPr>
                <w:rFonts w:eastAsia="楷体_GB2312"/>
                <w:b/>
                <w:sz w:val="18"/>
                <w:szCs w:val="18"/>
                <w:lang w:eastAsia="zh-CN"/>
              </w:rPr>
              <w:t>报告</w:t>
            </w:r>
            <w:r>
              <w:rPr>
                <w:rFonts w:eastAsia="楷体_GB2312"/>
                <w:b/>
                <w:sz w:val="18"/>
                <w:szCs w:val="18"/>
              </w:rPr>
              <w:t>期末</w:t>
            </w:r>
          </w:p>
        </w:tc>
        <w:tc>
          <w:tcPr>
            <w:tcW w:w="2274" w:type="dxa"/>
            <w:gridSpan w:val="3"/>
            <w:tcBorders>
              <w:top w:val="single" w:color="auto" w:sz="4" w:space="0"/>
              <w:left w:val="single" w:color="auto" w:sz="4" w:space="0"/>
              <w:bottom w:val="single" w:color="auto" w:sz="4" w:space="0"/>
            </w:tcBorders>
            <w:vAlign w:val="center"/>
          </w:tcPr>
          <w:p w14:paraId="1253B79B">
            <w:pPr>
              <w:jc w:val="center"/>
              <w:rPr>
                <w:rFonts w:eastAsia="楷体_GB2312"/>
                <w:sz w:val="18"/>
                <w:szCs w:val="18"/>
              </w:rPr>
            </w:pPr>
            <w:r>
              <w:rPr>
                <w:rFonts w:eastAsia="楷体_GB2312"/>
                <w:b/>
                <w:sz w:val="18"/>
                <w:szCs w:val="18"/>
              </w:rPr>
              <w:t>本</w:t>
            </w:r>
            <w:r>
              <w:rPr>
                <w:rFonts w:eastAsia="楷体_GB2312"/>
                <w:b/>
                <w:sz w:val="18"/>
                <w:szCs w:val="18"/>
                <w:lang w:eastAsia="zh-CN"/>
              </w:rPr>
              <w:t>报告</w:t>
            </w:r>
            <w:r>
              <w:rPr>
                <w:rFonts w:eastAsia="楷体_GB2312"/>
                <w:b/>
                <w:sz w:val="18"/>
                <w:szCs w:val="18"/>
              </w:rPr>
              <w:t>期末</w:t>
            </w:r>
          </w:p>
        </w:tc>
      </w:tr>
      <w:tr w14:paraId="610586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continue"/>
            <w:tcBorders>
              <w:bottom w:val="single" w:color="auto" w:sz="4" w:space="0"/>
              <w:right w:val="single" w:color="auto" w:sz="4" w:space="0"/>
            </w:tcBorders>
            <w:vAlign w:val="center"/>
          </w:tcPr>
          <w:p w14:paraId="0A46B5A6">
            <w:pPr>
              <w:jc w:val="center"/>
              <w:rPr>
                <w:rFonts w:eastAsia="楷体_GB2312"/>
                <w:sz w:val="18"/>
              </w:rPr>
            </w:pPr>
          </w:p>
        </w:tc>
        <w:tc>
          <w:tcPr>
            <w:tcW w:w="966" w:type="dxa"/>
            <w:gridSpan w:val="2"/>
            <w:tcBorders>
              <w:top w:val="single" w:color="auto" w:sz="4" w:space="0"/>
              <w:left w:val="single" w:color="auto" w:sz="4" w:space="0"/>
              <w:bottom w:val="single" w:color="auto" w:sz="4" w:space="0"/>
            </w:tcBorders>
            <w:vAlign w:val="center"/>
          </w:tcPr>
          <w:p w14:paraId="55B3500F">
            <w:pPr>
              <w:jc w:val="center"/>
              <w:rPr>
                <w:rFonts w:eastAsia="楷体_GB2312"/>
                <w:sz w:val="18"/>
                <w:szCs w:val="18"/>
              </w:rPr>
            </w:pPr>
            <w:r>
              <w:rPr>
                <w:rFonts w:eastAsia="楷体_GB2312"/>
                <w:b/>
                <w:sz w:val="18"/>
                <w:szCs w:val="18"/>
              </w:rPr>
              <w:t>未偿本金余额</w:t>
            </w:r>
          </w:p>
        </w:tc>
        <w:tc>
          <w:tcPr>
            <w:tcW w:w="881" w:type="dxa"/>
            <w:tcBorders>
              <w:top w:val="single" w:color="auto" w:sz="4" w:space="0"/>
              <w:left w:val="single" w:color="auto" w:sz="4" w:space="0"/>
              <w:bottom w:val="single" w:color="auto" w:sz="4" w:space="0"/>
            </w:tcBorders>
            <w:vAlign w:val="center"/>
          </w:tcPr>
          <w:p w14:paraId="5B133679">
            <w:pPr>
              <w:jc w:val="center"/>
              <w:rPr>
                <w:rFonts w:eastAsia="楷体_GB2312"/>
                <w:sz w:val="18"/>
                <w:szCs w:val="18"/>
              </w:rPr>
            </w:pPr>
            <w:r>
              <w:rPr>
                <w:rFonts w:eastAsia="楷体_GB2312"/>
                <w:b/>
                <w:sz w:val="18"/>
                <w:szCs w:val="18"/>
              </w:rPr>
              <w:t>占比</w:t>
            </w:r>
          </w:p>
        </w:tc>
        <w:tc>
          <w:tcPr>
            <w:tcW w:w="856" w:type="dxa"/>
            <w:tcBorders>
              <w:top w:val="single" w:color="auto" w:sz="4" w:space="0"/>
              <w:left w:val="single" w:color="auto" w:sz="4" w:space="0"/>
              <w:bottom w:val="single" w:color="auto" w:sz="4" w:space="0"/>
            </w:tcBorders>
            <w:vAlign w:val="center"/>
          </w:tcPr>
          <w:p w14:paraId="0B1DB6CC">
            <w:pPr>
              <w:jc w:val="center"/>
              <w:rPr>
                <w:rFonts w:eastAsia="楷体_GB2312"/>
                <w:sz w:val="18"/>
                <w:szCs w:val="18"/>
              </w:rPr>
            </w:pPr>
            <w:r>
              <w:rPr>
                <w:rFonts w:eastAsia="楷体_GB2312"/>
                <w:b/>
                <w:sz w:val="18"/>
                <w:szCs w:val="18"/>
              </w:rPr>
              <w:t>未偿本金余额</w:t>
            </w:r>
          </w:p>
        </w:tc>
        <w:tc>
          <w:tcPr>
            <w:tcW w:w="852" w:type="dxa"/>
            <w:tcBorders>
              <w:top w:val="single" w:color="auto" w:sz="4" w:space="0"/>
              <w:left w:val="single" w:color="auto" w:sz="4" w:space="0"/>
              <w:bottom w:val="single" w:color="auto" w:sz="4" w:space="0"/>
            </w:tcBorders>
            <w:vAlign w:val="center"/>
          </w:tcPr>
          <w:p w14:paraId="0DFA66BC">
            <w:pPr>
              <w:jc w:val="center"/>
              <w:rPr>
                <w:rFonts w:eastAsia="楷体_GB2312"/>
                <w:sz w:val="18"/>
                <w:szCs w:val="18"/>
              </w:rPr>
            </w:pPr>
            <w:r>
              <w:rPr>
                <w:rFonts w:eastAsia="楷体_GB2312"/>
                <w:b/>
                <w:sz w:val="18"/>
                <w:szCs w:val="18"/>
              </w:rPr>
              <w:t>占比</w:t>
            </w:r>
          </w:p>
        </w:tc>
        <w:tc>
          <w:tcPr>
            <w:tcW w:w="1299" w:type="dxa"/>
            <w:gridSpan w:val="2"/>
            <w:tcBorders>
              <w:top w:val="single" w:color="auto" w:sz="4" w:space="0"/>
              <w:left w:val="single" w:color="auto" w:sz="4" w:space="0"/>
              <w:bottom w:val="single" w:color="auto" w:sz="4" w:space="0"/>
            </w:tcBorders>
            <w:vAlign w:val="center"/>
          </w:tcPr>
          <w:p w14:paraId="5A43FDBB">
            <w:pPr>
              <w:jc w:val="center"/>
              <w:rPr>
                <w:rFonts w:eastAsia="楷体_GB2312"/>
                <w:sz w:val="18"/>
                <w:szCs w:val="18"/>
              </w:rPr>
            </w:pPr>
            <w:r>
              <w:rPr>
                <w:rFonts w:eastAsia="楷体_GB2312"/>
                <w:b/>
                <w:sz w:val="18"/>
                <w:szCs w:val="18"/>
              </w:rPr>
              <w:t>未偿本金余额</w:t>
            </w:r>
          </w:p>
        </w:tc>
        <w:tc>
          <w:tcPr>
            <w:tcW w:w="975" w:type="dxa"/>
            <w:tcBorders>
              <w:top w:val="single" w:color="auto" w:sz="4" w:space="0"/>
              <w:left w:val="single" w:color="auto" w:sz="4" w:space="0"/>
              <w:bottom w:val="single" w:color="auto" w:sz="4" w:space="0"/>
            </w:tcBorders>
            <w:vAlign w:val="center"/>
          </w:tcPr>
          <w:p w14:paraId="7D69DB0D">
            <w:pPr>
              <w:jc w:val="center"/>
              <w:rPr>
                <w:rFonts w:eastAsia="楷体_GB2312"/>
                <w:sz w:val="18"/>
                <w:szCs w:val="18"/>
              </w:rPr>
            </w:pPr>
            <w:r>
              <w:rPr>
                <w:rFonts w:eastAsia="楷体_GB2312"/>
                <w:b/>
                <w:sz w:val="18"/>
                <w:szCs w:val="18"/>
              </w:rPr>
              <w:t>占比</w:t>
            </w:r>
          </w:p>
        </w:tc>
      </w:tr>
      <w:tr w14:paraId="36E195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2BF44BCF">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560D08AF">
            <w:pPr>
              <w:rPr>
                <w:rFonts w:eastAsia="楷体_GB2312"/>
                <w:sz w:val="18"/>
                <w:szCs w:val="18"/>
              </w:rPr>
            </w:pPr>
          </w:p>
        </w:tc>
        <w:tc>
          <w:tcPr>
            <w:tcW w:w="881" w:type="dxa"/>
            <w:tcBorders>
              <w:top w:val="single" w:color="auto" w:sz="4" w:space="0"/>
              <w:left w:val="single" w:color="auto" w:sz="4" w:space="0"/>
              <w:bottom w:val="single" w:color="auto" w:sz="4" w:space="0"/>
            </w:tcBorders>
          </w:tcPr>
          <w:p w14:paraId="4D12FC29">
            <w:pPr>
              <w:rPr>
                <w:rFonts w:eastAsia="楷体_GB2312"/>
                <w:sz w:val="18"/>
                <w:szCs w:val="18"/>
              </w:rPr>
            </w:pPr>
          </w:p>
        </w:tc>
        <w:tc>
          <w:tcPr>
            <w:tcW w:w="856" w:type="dxa"/>
            <w:tcBorders>
              <w:top w:val="single" w:color="auto" w:sz="4" w:space="0"/>
              <w:left w:val="single" w:color="auto" w:sz="4" w:space="0"/>
              <w:bottom w:val="single" w:color="auto" w:sz="4" w:space="0"/>
            </w:tcBorders>
          </w:tcPr>
          <w:p w14:paraId="6C60A1E2">
            <w:pPr>
              <w:rPr>
                <w:rFonts w:eastAsia="楷体_GB2312"/>
                <w:sz w:val="18"/>
                <w:szCs w:val="18"/>
              </w:rPr>
            </w:pPr>
          </w:p>
        </w:tc>
        <w:tc>
          <w:tcPr>
            <w:tcW w:w="852" w:type="dxa"/>
            <w:tcBorders>
              <w:top w:val="single" w:color="auto" w:sz="4" w:space="0"/>
              <w:left w:val="single" w:color="auto" w:sz="4" w:space="0"/>
              <w:bottom w:val="single" w:color="auto" w:sz="4" w:space="0"/>
            </w:tcBorders>
          </w:tcPr>
          <w:p w14:paraId="522F5802">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7D5016C5">
            <w:pPr>
              <w:rPr>
                <w:rFonts w:eastAsia="楷体_GB2312"/>
                <w:sz w:val="18"/>
                <w:szCs w:val="18"/>
              </w:rPr>
            </w:pPr>
          </w:p>
        </w:tc>
        <w:tc>
          <w:tcPr>
            <w:tcW w:w="975" w:type="dxa"/>
            <w:tcBorders>
              <w:top w:val="single" w:color="auto" w:sz="4" w:space="0"/>
              <w:left w:val="single" w:color="auto" w:sz="4" w:space="0"/>
              <w:bottom w:val="single" w:color="auto" w:sz="4" w:space="0"/>
            </w:tcBorders>
          </w:tcPr>
          <w:p w14:paraId="04867FCD">
            <w:pPr>
              <w:rPr>
                <w:rFonts w:eastAsia="楷体_GB2312"/>
                <w:sz w:val="18"/>
                <w:szCs w:val="18"/>
              </w:rPr>
            </w:pPr>
          </w:p>
        </w:tc>
      </w:tr>
      <w:tr w14:paraId="520EB4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07274717">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08DEEF7C">
            <w:pPr>
              <w:rPr>
                <w:rFonts w:eastAsia="楷体_GB2312"/>
                <w:sz w:val="18"/>
                <w:szCs w:val="18"/>
              </w:rPr>
            </w:pPr>
          </w:p>
        </w:tc>
        <w:tc>
          <w:tcPr>
            <w:tcW w:w="881" w:type="dxa"/>
            <w:tcBorders>
              <w:top w:val="single" w:color="auto" w:sz="4" w:space="0"/>
              <w:left w:val="single" w:color="auto" w:sz="4" w:space="0"/>
              <w:bottom w:val="single" w:color="auto" w:sz="4" w:space="0"/>
            </w:tcBorders>
          </w:tcPr>
          <w:p w14:paraId="6B962F60">
            <w:pPr>
              <w:rPr>
                <w:rFonts w:eastAsia="楷体_GB2312"/>
                <w:sz w:val="18"/>
                <w:szCs w:val="18"/>
              </w:rPr>
            </w:pPr>
          </w:p>
        </w:tc>
        <w:tc>
          <w:tcPr>
            <w:tcW w:w="856" w:type="dxa"/>
            <w:tcBorders>
              <w:top w:val="single" w:color="auto" w:sz="4" w:space="0"/>
              <w:left w:val="single" w:color="auto" w:sz="4" w:space="0"/>
              <w:bottom w:val="single" w:color="auto" w:sz="4" w:space="0"/>
            </w:tcBorders>
          </w:tcPr>
          <w:p w14:paraId="7BA47314">
            <w:pPr>
              <w:rPr>
                <w:rFonts w:eastAsia="楷体_GB2312"/>
                <w:sz w:val="18"/>
                <w:szCs w:val="18"/>
              </w:rPr>
            </w:pPr>
          </w:p>
        </w:tc>
        <w:tc>
          <w:tcPr>
            <w:tcW w:w="852" w:type="dxa"/>
            <w:tcBorders>
              <w:top w:val="single" w:color="auto" w:sz="4" w:space="0"/>
              <w:left w:val="single" w:color="auto" w:sz="4" w:space="0"/>
              <w:bottom w:val="single" w:color="auto" w:sz="4" w:space="0"/>
            </w:tcBorders>
          </w:tcPr>
          <w:p w14:paraId="6EDFB42F">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17105AE6">
            <w:pPr>
              <w:rPr>
                <w:rFonts w:eastAsia="楷体_GB2312"/>
                <w:sz w:val="18"/>
                <w:szCs w:val="18"/>
              </w:rPr>
            </w:pPr>
          </w:p>
        </w:tc>
        <w:tc>
          <w:tcPr>
            <w:tcW w:w="975" w:type="dxa"/>
            <w:tcBorders>
              <w:top w:val="single" w:color="auto" w:sz="4" w:space="0"/>
              <w:left w:val="single" w:color="auto" w:sz="4" w:space="0"/>
              <w:bottom w:val="single" w:color="auto" w:sz="4" w:space="0"/>
            </w:tcBorders>
          </w:tcPr>
          <w:p w14:paraId="697BEBB7">
            <w:pPr>
              <w:rPr>
                <w:rFonts w:eastAsia="楷体_GB2312"/>
                <w:sz w:val="18"/>
                <w:szCs w:val="18"/>
              </w:rPr>
            </w:pPr>
          </w:p>
        </w:tc>
      </w:tr>
      <w:tr w14:paraId="0C86DE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1" w:type="dxa"/>
            <w:gridSpan w:val="9"/>
            <w:tcBorders>
              <w:top w:val="single" w:color="auto" w:sz="4" w:space="0"/>
              <w:bottom w:val="single" w:color="auto" w:sz="4" w:space="0"/>
            </w:tcBorders>
            <w:vAlign w:val="center"/>
          </w:tcPr>
          <w:p w14:paraId="192512BA">
            <w:pPr>
              <w:rPr>
                <w:rFonts w:eastAsia="楷体_GB2312"/>
                <w:b/>
                <w:lang w:eastAsia="zh-CN"/>
              </w:rPr>
            </w:pPr>
          </w:p>
          <w:p w14:paraId="3E4C3480">
            <w:pPr>
              <w:rPr>
                <w:rFonts w:eastAsia="楷体_GB2312"/>
                <w:b/>
                <w:lang w:eastAsia="zh-CN"/>
              </w:rPr>
            </w:pPr>
            <w:r>
              <w:rPr>
                <w:rFonts w:eastAsia="楷体_GB2312"/>
                <w:b/>
                <w:lang w:eastAsia="zh-CN"/>
              </w:rPr>
              <w:t>9、还款方式分布</w:t>
            </w:r>
          </w:p>
        </w:tc>
      </w:tr>
      <w:tr w14:paraId="3C768E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restart"/>
            <w:tcBorders>
              <w:top w:val="single" w:color="auto" w:sz="4" w:space="0"/>
              <w:right w:val="single" w:color="auto" w:sz="4" w:space="0"/>
            </w:tcBorders>
            <w:vAlign w:val="center"/>
          </w:tcPr>
          <w:p w14:paraId="2D14AF13">
            <w:pPr>
              <w:jc w:val="center"/>
              <w:rPr>
                <w:rFonts w:eastAsia="楷体_GB2312"/>
                <w:sz w:val="18"/>
              </w:rPr>
            </w:pPr>
            <w:r>
              <w:rPr>
                <w:rFonts w:eastAsia="楷体_GB2312"/>
                <w:b/>
                <w:bCs/>
                <w:sz w:val="18"/>
              </w:rPr>
              <w:t>还款方式</w:t>
            </w:r>
          </w:p>
        </w:tc>
        <w:tc>
          <w:tcPr>
            <w:tcW w:w="1847" w:type="dxa"/>
            <w:gridSpan w:val="3"/>
            <w:tcBorders>
              <w:top w:val="single" w:color="auto" w:sz="4" w:space="0"/>
              <w:left w:val="single" w:color="auto" w:sz="4" w:space="0"/>
              <w:bottom w:val="single" w:color="auto" w:sz="4" w:space="0"/>
            </w:tcBorders>
            <w:vAlign w:val="center"/>
          </w:tcPr>
          <w:p w14:paraId="0D8D3C4E">
            <w:pPr>
              <w:jc w:val="center"/>
              <w:rPr>
                <w:rFonts w:eastAsia="楷体_GB2312"/>
                <w:sz w:val="18"/>
                <w:szCs w:val="18"/>
              </w:rPr>
            </w:pPr>
            <w:r>
              <w:rPr>
                <w:rFonts w:eastAsia="楷体_GB2312"/>
                <w:b/>
                <w:sz w:val="18"/>
                <w:szCs w:val="18"/>
              </w:rPr>
              <w:t>初始起算日</w:t>
            </w:r>
          </w:p>
        </w:tc>
        <w:tc>
          <w:tcPr>
            <w:tcW w:w="1708" w:type="dxa"/>
            <w:gridSpan w:val="2"/>
            <w:tcBorders>
              <w:top w:val="single" w:color="auto" w:sz="4" w:space="0"/>
              <w:left w:val="single" w:color="auto" w:sz="4" w:space="0"/>
              <w:bottom w:val="single" w:color="auto" w:sz="4" w:space="0"/>
            </w:tcBorders>
            <w:vAlign w:val="center"/>
          </w:tcPr>
          <w:p w14:paraId="7E4F2BFD">
            <w:pPr>
              <w:jc w:val="center"/>
              <w:rPr>
                <w:rFonts w:eastAsia="楷体_GB2312"/>
                <w:sz w:val="18"/>
                <w:szCs w:val="18"/>
              </w:rPr>
            </w:pPr>
            <w:r>
              <w:rPr>
                <w:rFonts w:eastAsia="楷体_GB2312"/>
                <w:b/>
                <w:sz w:val="18"/>
                <w:szCs w:val="18"/>
              </w:rPr>
              <w:t>上一</w:t>
            </w:r>
            <w:r>
              <w:rPr>
                <w:rFonts w:eastAsia="楷体_GB2312"/>
                <w:b/>
                <w:sz w:val="18"/>
                <w:szCs w:val="18"/>
                <w:lang w:eastAsia="zh-CN"/>
              </w:rPr>
              <w:t>报告</w:t>
            </w:r>
            <w:r>
              <w:rPr>
                <w:rFonts w:eastAsia="楷体_GB2312"/>
                <w:b/>
                <w:sz w:val="18"/>
                <w:szCs w:val="18"/>
              </w:rPr>
              <w:t>期末</w:t>
            </w:r>
          </w:p>
        </w:tc>
        <w:tc>
          <w:tcPr>
            <w:tcW w:w="2274" w:type="dxa"/>
            <w:gridSpan w:val="3"/>
            <w:tcBorders>
              <w:top w:val="single" w:color="auto" w:sz="4" w:space="0"/>
              <w:left w:val="single" w:color="auto" w:sz="4" w:space="0"/>
              <w:bottom w:val="single" w:color="auto" w:sz="4" w:space="0"/>
            </w:tcBorders>
            <w:vAlign w:val="center"/>
          </w:tcPr>
          <w:p w14:paraId="3E5776D5">
            <w:pPr>
              <w:jc w:val="center"/>
              <w:rPr>
                <w:rFonts w:eastAsia="楷体_GB2312"/>
                <w:sz w:val="18"/>
                <w:szCs w:val="18"/>
              </w:rPr>
            </w:pPr>
            <w:r>
              <w:rPr>
                <w:rFonts w:eastAsia="楷体_GB2312"/>
                <w:b/>
                <w:sz w:val="18"/>
                <w:szCs w:val="18"/>
              </w:rPr>
              <w:t>本</w:t>
            </w:r>
            <w:r>
              <w:rPr>
                <w:rFonts w:eastAsia="楷体_GB2312"/>
                <w:b/>
                <w:sz w:val="18"/>
                <w:szCs w:val="18"/>
                <w:lang w:eastAsia="zh-CN"/>
              </w:rPr>
              <w:t>报告</w:t>
            </w:r>
            <w:r>
              <w:rPr>
                <w:rFonts w:eastAsia="楷体_GB2312"/>
                <w:b/>
                <w:sz w:val="18"/>
                <w:szCs w:val="18"/>
              </w:rPr>
              <w:t>期末</w:t>
            </w:r>
          </w:p>
        </w:tc>
      </w:tr>
      <w:tr w14:paraId="0EAF55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continue"/>
            <w:tcBorders>
              <w:bottom w:val="single" w:color="auto" w:sz="4" w:space="0"/>
              <w:right w:val="single" w:color="auto" w:sz="4" w:space="0"/>
            </w:tcBorders>
            <w:vAlign w:val="center"/>
          </w:tcPr>
          <w:p w14:paraId="2B529032">
            <w:pPr>
              <w:jc w:val="center"/>
              <w:rPr>
                <w:rFonts w:eastAsia="楷体_GB2312"/>
                <w:sz w:val="18"/>
              </w:rPr>
            </w:pPr>
          </w:p>
        </w:tc>
        <w:tc>
          <w:tcPr>
            <w:tcW w:w="966" w:type="dxa"/>
            <w:gridSpan w:val="2"/>
            <w:tcBorders>
              <w:top w:val="single" w:color="auto" w:sz="4" w:space="0"/>
              <w:left w:val="single" w:color="auto" w:sz="4" w:space="0"/>
              <w:bottom w:val="single" w:color="auto" w:sz="4" w:space="0"/>
            </w:tcBorders>
            <w:vAlign w:val="center"/>
          </w:tcPr>
          <w:p w14:paraId="19728996">
            <w:pPr>
              <w:jc w:val="center"/>
              <w:rPr>
                <w:rFonts w:eastAsia="楷体_GB2312"/>
                <w:sz w:val="18"/>
                <w:szCs w:val="18"/>
              </w:rPr>
            </w:pPr>
            <w:r>
              <w:rPr>
                <w:rFonts w:eastAsia="楷体_GB2312"/>
                <w:b/>
                <w:sz w:val="18"/>
                <w:szCs w:val="18"/>
              </w:rPr>
              <w:t>未偿本金余额</w:t>
            </w:r>
          </w:p>
        </w:tc>
        <w:tc>
          <w:tcPr>
            <w:tcW w:w="881" w:type="dxa"/>
            <w:tcBorders>
              <w:top w:val="single" w:color="auto" w:sz="4" w:space="0"/>
              <w:left w:val="single" w:color="auto" w:sz="4" w:space="0"/>
              <w:bottom w:val="single" w:color="auto" w:sz="4" w:space="0"/>
            </w:tcBorders>
            <w:vAlign w:val="center"/>
          </w:tcPr>
          <w:p w14:paraId="5A14F48A">
            <w:pPr>
              <w:jc w:val="center"/>
              <w:rPr>
                <w:rFonts w:eastAsia="楷体_GB2312"/>
                <w:sz w:val="18"/>
                <w:szCs w:val="18"/>
              </w:rPr>
            </w:pPr>
            <w:r>
              <w:rPr>
                <w:rFonts w:eastAsia="楷体_GB2312"/>
                <w:b/>
                <w:sz w:val="18"/>
                <w:szCs w:val="18"/>
              </w:rPr>
              <w:t>占比</w:t>
            </w:r>
          </w:p>
        </w:tc>
        <w:tc>
          <w:tcPr>
            <w:tcW w:w="856" w:type="dxa"/>
            <w:tcBorders>
              <w:top w:val="single" w:color="auto" w:sz="4" w:space="0"/>
              <w:left w:val="single" w:color="auto" w:sz="4" w:space="0"/>
              <w:bottom w:val="single" w:color="auto" w:sz="4" w:space="0"/>
            </w:tcBorders>
            <w:vAlign w:val="center"/>
          </w:tcPr>
          <w:p w14:paraId="70F6430C">
            <w:pPr>
              <w:jc w:val="center"/>
              <w:rPr>
                <w:rFonts w:eastAsia="楷体_GB2312"/>
                <w:sz w:val="18"/>
                <w:szCs w:val="18"/>
              </w:rPr>
            </w:pPr>
            <w:r>
              <w:rPr>
                <w:rFonts w:eastAsia="楷体_GB2312"/>
                <w:b/>
                <w:sz w:val="18"/>
                <w:szCs w:val="18"/>
              </w:rPr>
              <w:t>未偿本金余额</w:t>
            </w:r>
          </w:p>
        </w:tc>
        <w:tc>
          <w:tcPr>
            <w:tcW w:w="852" w:type="dxa"/>
            <w:tcBorders>
              <w:top w:val="single" w:color="auto" w:sz="4" w:space="0"/>
              <w:left w:val="single" w:color="auto" w:sz="4" w:space="0"/>
              <w:bottom w:val="single" w:color="auto" w:sz="4" w:space="0"/>
            </w:tcBorders>
            <w:vAlign w:val="center"/>
          </w:tcPr>
          <w:p w14:paraId="3277194C">
            <w:pPr>
              <w:jc w:val="center"/>
              <w:rPr>
                <w:rFonts w:eastAsia="楷体_GB2312"/>
                <w:sz w:val="18"/>
                <w:szCs w:val="18"/>
              </w:rPr>
            </w:pPr>
            <w:r>
              <w:rPr>
                <w:rFonts w:eastAsia="楷体_GB2312"/>
                <w:b/>
                <w:sz w:val="18"/>
                <w:szCs w:val="18"/>
              </w:rPr>
              <w:t>占比</w:t>
            </w:r>
          </w:p>
        </w:tc>
        <w:tc>
          <w:tcPr>
            <w:tcW w:w="1299" w:type="dxa"/>
            <w:gridSpan w:val="2"/>
            <w:tcBorders>
              <w:top w:val="single" w:color="auto" w:sz="4" w:space="0"/>
              <w:left w:val="single" w:color="auto" w:sz="4" w:space="0"/>
              <w:bottom w:val="single" w:color="auto" w:sz="4" w:space="0"/>
            </w:tcBorders>
            <w:vAlign w:val="center"/>
          </w:tcPr>
          <w:p w14:paraId="1E124EDB">
            <w:pPr>
              <w:jc w:val="center"/>
              <w:rPr>
                <w:rFonts w:eastAsia="楷体_GB2312"/>
                <w:sz w:val="18"/>
                <w:szCs w:val="18"/>
              </w:rPr>
            </w:pPr>
            <w:r>
              <w:rPr>
                <w:rFonts w:eastAsia="楷体_GB2312"/>
                <w:b/>
                <w:sz w:val="18"/>
                <w:szCs w:val="18"/>
              </w:rPr>
              <w:t>未偿本金余额</w:t>
            </w:r>
          </w:p>
        </w:tc>
        <w:tc>
          <w:tcPr>
            <w:tcW w:w="975" w:type="dxa"/>
            <w:tcBorders>
              <w:top w:val="single" w:color="auto" w:sz="4" w:space="0"/>
              <w:left w:val="single" w:color="auto" w:sz="4" w:space="0"/>
              <w:bottom w:val="single" w:color="auto" w:sz="4" w:space="0"/>
            </w:tcBorders>
            <w:vAlign w:val="center"/>
          </w:tcPr>
          <w:p w14:paraId="3F67DDA8">
            <w:pPr>
              <w:jc w:val="center"/>
              <w:rPr>
                <w:rFonts w:eastAsia="楷体_GB2312"/>
                <w:sz w:val="18"/>
                <w:szCs w:val="18"/>
              </w:rPr>
            </w:pPr>
            <w:r>
              <w:rPr>
                <w:rFonts w:eastAsia="楷体_GB2312"/>
                <w:b/>
                <w:sz w:val="18"/>
                <w:szCs w:val="18"/>
              </w:rPr>
              <w:t>占比</w:t>
            </w:r>
          </w:p>
        </w:tc>
      </w:tr>
      <w:tr w14:paraId="2E77D7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776CA61C">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1E2D81E0">
            <w:pPr>
              <w:rPr>
                <w:rFonts w:eastAsia="楷体_GB2312"/>
                <w:sz w:val="18"/>
                <w:szCs w:val="18"/>
              </w:rPr>
            </w:pPr>
          </w:p>
        </w:tc>
        <w:tc>
          <w:tcPr>
            <w:tcW w:w="881" w:type="dxa"/>
            <w:tcBorders>
              <w:top w:val="single" w:color="auto" w:sz="4" w:space="0"/>
              <w:left w:val="single" w:color="auto" w:sz="4" w:space="0"/>
              <w:bottom w:val="single" w:color="auto" w:sz="4" w:space="0"/>
            </w:tcBorders>
          </w:tcPr>
          <w:p w14:paraId="52DC3209">
            <w:pPr>
              <w:rPr>
                <w:rFonts w:eastAsia="楷体_GB2312"/>
                <w:sz w:val="18"/>
                <w:szCs w:val="18"/>
              </w:rPr>
            </w:pPr>
          </w:p>
        </w:tc>
        <w:tc>
          <w:tcPr>
            <w:tcW w:w="856" w:type="dxa"/>
            <w:tcBorders>
              <w:top w:val="single" w:color="auto" w:sz="4" w:space="0"/>
              <w:left w:val="single" w:color="auto" w:sz="4" w:space="0"/>
              <w:bottom w:val="single" w:color="auto" w:sz="4" w:space="0"/>
            </w:tcBorders>
          </w:tcPr>
          <w:p w14:paraId="64785DEE">
            <w:pPr>
              <w:rPr>
                <w:rFonts w:eastAsia="楷体_GB2312"/>
                <w:sz w:val="18"/>
                <w:szCs w:val="18"/>
              </w:rPr>
            </w:pPr>
          </w:p>
        </w:tc>
        <w:tc>
          <w:tcPr>
            <w:tcW w:w="852" w:type="dxa"/>
            <w:tcBorders>
              <w:top w:val="single" w:color="auto" w:sz="4" w:space="0"/>
              <w:left w:val="single" w:color="auto" w:sz="4" w:space="0"/>
              <w:bottom w:val="single" w:color="auto" w:sz="4" w:space="0"/>
            </w:tcBorders>
          </w:tcPr>
          <w:p w14:paraId="78B86B6B">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55FDE0A8">
            <w:pPr>
              <w:rPr>
                <w:rFonts w:eastAsia="楷体_GB2312"/>
                <w:sz w:val="18"/>
                <w:szCs w:val="18"/>
              </w:rPr>
            </w:pPr>
          </w:p>
        </w:tc>
        <w:tc>
          <w:tcPr>
            <w:tcW w:w="975" w:type="dxa"/>
            <w:tcBorders>
              <w:top w:val="single" w:color="auto" w:sz="4" w:space="0"/>
              <w:left w:val="single" w:color="auto" w:sz="4" w:space="0"/>
              <w:bottom w:val="single" w:color="auto" w:sz="4" w:space="0"/>
            </w:tcBorders>
          </w:tcPr>
          <w:p w14:paraId="07A05F62">
            <w:pPr>
              <w:rPr>
                <w:rFonts w:eastAsia="楷体_GB2312"/>
                <w:sz w:val="18"/>
                <w:szCs w:val="18"/>
              </w:rPr>
            </w:pPr>
          </w:p>
        </w:tc>
      </w:tr>
      <w:tr w14:paraId="7F93EC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469797E6">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40AB21AE">
            <w:pPr>
              <w:rPr>
                <w:rFonts w:eastAsia="楷体_GB2312"/>
                <w:sz w:val="18"/>
                <w:szCs w:val="18"/>
              </w:rPr>
            </w:pPr>
          </w:p>
        </w:tc>
        <w:tc>
          <w:tcPr>
            <w:tcW w:w="881" w:type="dxa"/>
            <w:tcBorders>
              <w:top w:val="single" w:color="auto" w:sz="4" w:space="0"/>
              <w:left w:val="single" w:color="auto" w:sz="4" w:space="0"/>
              <w:bottom w:val="single" w:color="auto" w:sz="4" w:space="0"/>
            </w:tcBorders>
          </w:tcPr>
          <w:p w14:paraId="0037E2DC">
            <w:pPr>
              <w:rPr>
                <w:rFonts w:eastAsia="楷体_GB2312"/>
                <w:sz w:val="18"/>
                <w:szCs w:val="18"/>
              </w:rPr>
            </w:pPr>
          </w:p>
        </w:tc>
        <w:tc>
          <w:tcPr>
            <w:tcW w:w="856" w:type="dxa"/>
            <w:tcBorders>
              <w:top w:val="single" w:color="auto" w:sz="4" w:space="0"/>
              <w:left w:val="single" w:color="auto" w:sz="4" w:space="0"/>
              <w:bottom w:val="single" w:color="auto" w:sz="4" w:space="0"/>
            </w:tcBorders>
          </w:tcPr>
          <w:p w14:paraId="7B06D2CE">
            <w:pPr>
              <w:rPr>
                <w:rFonts w:eastAsia="楷体_GB2312"/>
                <w:sz w:val="18"/>
                <w:szCs w:val="18"/>
              </w:rPr>
            </w:pPr>
          </w:p>
        </w:tc>
        <w:tc>
          <w:tcPr>
            <w:tcW w:w="852" w:type="dxa"/>
            <w:tcBorders>
              <w:top w:val="single" w:color="auto" w:sz="4" w:space="0"/>
              <w:left w:val="single" w:color="auto" w:sz="4" w:space="0"/>
              <w:bottom w:val="single" w:color="auto" w:sz="4" w:space="0"/>
            </w:tcBorders>
          </w:tcPr>
          <w:p w14:paraId="4FD23494">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4E37F0D9">
            <w:pPr>
              <w:rPr>
                <w:rFonts w:eastAsia="楷体_GB2312"/>
                <w:sz w:val="18"/>
                <w:szCs w:val="18"/>
              </w:rPr>
            </w:pPr>
          </w:p>
        </w:tc>
        <w:tc>
          <w:tcPr>
            <w:tcW w:w="975" w:type="dxa"/>
            <w:tcBorders>
              <w:top w:val="single" w:color="auto" w:sz="4" w:space="0"/>
              <w:left w:val="single" w:color="auto" w:sz="4" w:space="0"/>
              <w:bottom w:val="single" w:color="auto" w:sz="4" w:space="0"/>
            </w:tcBorders>
          </w:tcPr>
          <w:p w14:paraId="531FA1ED">
            <w:pPr>
              <w:rPr>
                <w:rFonts w:eastAsia="楷体_GB2312"/>
                <w:sz w:val="18"/>
                <w:szCs w:val="18"/>
              </w:rPr>
            </w:pPr>
          </w:p>
        </w:tc>
      </w:tr>
      <w:tr w14:paraId="227CF2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1" w:type="dxa"/>
            <w:gridSpan w:val="9"/>
            <w:tcBorders>
              <w:top w:val="single" w:color="auto" w:sz="4" w:space="0"/>
              <w:bottom w:val="single" w:color="auto" w:sz="4" w:space="0"/>
            </w:tcBorders>
            <w:vAlign w:val="center"/>
          </w:tcPr>
          <w:p w14:paraId="68F4DBD2">
            <w:pPr>
              <w:rPr>
                <w:rFonts w:eastAsia="楷体_GB2312"/>
                <w:b/>
                <w:lang w:eastAsia="zh-CN"/>
              </w:rPr>
            </w:pPr>
          </w:p>
          <w:p w14:paraId="14A1E939">
            <w:pPr>
              <w:rPr>
                <w:rFonts w:eastAsia="楷体_GB2312"/>
                <w:sz w:val="18"/>
                <w:szCs w:val="18"/>
                <w:lang w:eastAsia="zh-CN"/>
              </w:rPr>
            </w:pPr>
            <w:r>
              <w:rPr>
                <w:rFonts w:eastAsia="楷体_GB2312"/>
                <w:b/>
                <w:lang w:eastAsia="zh-CN"/>
              </w:rPr>
              <w:t>10、贷款用途分布</w:t>
            </w:r>
          </w:p>
        </w:tc>
      </w:tr>
      <w:tr w14:paraId="6572E5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2782" w:type="dxa"/>
            <w:vMerge w:val="restart"/>
            <w:tcBorders>
              <w:top w:val="single" w:color="auto" w:sz="4" w:space="0"/>
              <w:right w:val="single" w:color="auto" w:sz="4" w:space="0"/>
            </w:tcBorders>
            <w:vAlign w:val="center"/>
          </w:tcPr>
          <w:p w14:paraId="2E7758FA">
            <w:pPr>
              <w:jc w:val="center"/>
              <w:rPr>
                <w:rFonts w:eastAsia="楷体_GB2312"/>
                <w:sz w:val="18"/>
              </w:rPr>
            </w:pPr>
            <w:r>
              <w:rPr>
                <w:rFonts w:eastAsia="楷体_GB2312"/>
                <w:b/>
                <w:bCs/>
                <w:sz w:val="18"/>
              </w:rPr>
              <w:t>贷款用途</w:t>
            </w:r>
          </w:p>
        </w:tc>
        <w:tc>
          <w:tcPr>
            <w:tcW w:w="1847" w:type="dxa"/>
            <w:gridSpan w:val="3"/>
            <w:tcBorders>
              <w:top w:val="single" w:color="auto" w:sz="4" w:space="0"/>
              <w:left w:val="single" w:color="auto" w:sz="4" w:space="0"/>
              <w:bottom w:val="single" w:color="auto" w:sz="4" w:space="0"/>
            </w:tcBorders>
            <w:vAlign w:val="center"/>
          </w:tcPr>
          <w:p w14:paraId="339D3F25">
            <w:pPr>
              <w:jc w:val="center"/>
              <w:rPr>
                <w:rFonts w:eastAsia="楷体_GB2312"/>
                <w:sz w:val="18"/>
                <w:szCs w:val="18"/>
              </w:rPr>
            </w:pPr>
            <w:r>
              <w:rPr>
                <w:rFonts w:eastAsia="楷体_GB2312"/>
                <w:b/>
                <w:sz w:val="18"/>
                <w:szCs w:val="18"/>
              </w:rPr>
              <w:t>初始起算日</w:t>
            </w:r>
          </w:p>
        </w:tc>
        <w:tc>
          <w:tcPr>
            <w:tcW w:w="1708" w:type="dxa"/>
            <w:gridSpan w:val="2"/>
            <w:tcBorders>
              <w:top w:val="single" w:color="auto" w:sz="4" w:space="0"/>
              <w:left w:val="single" w:color="auto" w:sz="4" w:space="0"/>
              <w:bottom w:val="single" w:color="auto" w:sz="4" w:space="0"/>
            </w:tcBorders>
            <w:vAlign w:val="center"/>
          </w:tcPr>
          <w:p w14:paraId="328C3D7E">
            <w:pPr>
              <w:jc w:val="center"/>
              <w:rPr>
                <w:rFonts w:eastAsia="楷体_GB2312"/>
                <w:sz w:val="18"/>
                <w:szCs w:val="18"/>
              </w:rPr>
            </w:pPr>
            <w:r>
              <w:rPr>
                <w:rFonts w:eastAsia="楷体_GB2312"/>
                <w:b/>
                <w:sz w:val="18"/>
                <w:szCs w:val="18"/>
              </w:rPr>
              <w:t>上一</w:t>
            </w:r>
            <w:r>
              <w:rPr>
                <w:rFonts w:eastAsia="楷体_GB2312"/>
                <w:b/>
                <w:sz w:val="18"/>
                <w:szCs w:val="18"/>
                <w:lang w:eastAsia="zh-CN"/>
              </w:rPr>
              <w:t>报告</w:t>
            </w:r>
            <w:r>
              <w:rPr>
                <w:rFonts w:eastAsia="楷体_GB2312"/>
                <w:b/>
                <w:sz w:val="18"/>
                <w:szCs w:val="18"/>
              </w:rPr>
              <w:t>期末</w:t>
            </w:r>
          </w:p>
        </w:tc>
        <w:tc>
          <w:tcPr>
            <w:tcW w:w="2274" w:type="dxa"/>
            <w:gridSpan w:val="3"/>
            <w:tcBorders>
              <w:top w:val="single" w:color="auto" w:sz="4" w:space="0"/>
              <w:left w:val="single" w:color="auto" w:sz="4" w:space="0"/>
              <w:bottom w:val="single" w:color="auto" w:sz="4" w:space="0"/>
            </w:tcBorders>
            <w:vAlign w:val="center"/>
          </w:tcPr>
          <w:p w14:paraId="491FD673">
            <w:pPr>
              <w:jc w:val="center"/>
              <w:rPr>
                <w:rFonts w:eastAsia="楷体_GB2312"/>
                <w:sz w:val="18"/>
                <w:szCs w:val="18"/>
              </w:rPr>
            </w:pPr>
            <w:r>
              <w:rPr>
                <w:rFonts w:eastAsia="楷体_GB2312"/>
                <w:b/>
                <w:sz w:val="18"/>
                <w:szCs w:val="18"/>
              </w:rPr>
              <w:t>本</w:t>
            </w:r>
            <w:r>
              <w:rPr>
                <w:rFonts w:eastAsia="楷体_GB2312"/>
                <w:b/>
                <w:sz w:val="18"/>
                <w:szCs w:val="18"/>
                <w:lang w:eastAsia="zh-CN"/>
              </w:rPr>
              <w:t>报告</w:t>
            </w:r>
            <w:r>
              <w:rPr>
                <w:rFonts w:eastAsia="楷体_GB2312"/>
                <w:b/>
                <w:sz w:val="18"/>
                <w:szCs w:val="18"/>
              </w:rPr>
              <w:t>期末</w:t>
            </w:r>
          </w:p>
        </w:tc>
      </w:tr>
      <w:tr w14:paraId="16A737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continue"/>
            <w:tcBorders>
              <w:bottom w:val="single" w:color="auto" w:sz="4" w:space="0"/>
              <w:right w:val="single" w:color="auto" w:sz="4" w:space="0"/>
            </w:tcBorders>
            <w:vAlign w:val="center"/>
          </w:tcPr>
          <w:p w14:paraId="03CDC7D0">
            <w:pPr>
              <w:jc w:val="center"/>
              <w:rPr>
                <w:rFonts w:eastAsia="楷体_GB2312"/>
                <w:sz w:val="18"/>
              </w:rPr>
            </w:pPr>
          </w:p>
        </w:tc>
        <w:tc>
          <w:tcPr>
            <w:tcW w:w="966" w:type="dxa"/>
            <w:gridSpan w:val="2"/>
            <w:tcBorders>
              <w:top w:val="single" w:color="auto" w:sz="4" w:space="0"/>
              <w:left w:val="single" w:color="auto" w:sz="4" w:space="0"/>
              <w:bottom w:val="single" w:color="auto" w:sz="4" w:space="0"/>
            </w:tcBorders>
            <w:vAlign w:val="center"/>
          </w:tcPr>
          <w:p w14:paraId="08772459">
            <w:pPr>
              <w:jc w:val="center"/>
              <w:rPr>
                <w:rFonts w:eastAsia="楷体_GB2312"/>
                <w:sz w:val="18"/>
                <w:szCs w:val="18"/>
              </w:rPr>
            </w:pPr>
            <w:r>
              <w:rPr>
                <w:rFonts w:eastAsia="楷体_GB2312"/>
                <w:b/>
                <w:sz w:val="18"/>
                <w:szCs w:val="18"/>
              </w:rPr>
              <w:t>未偿本金余额</w:t>
            </w:r>
          </w:p>
        </w:tc>
        <w:tc>
          <w:tcPr>
            <w:tcW w:w="881" w:type="dxa"/>
            <w:tcBorders>
              <w:top w:val="single" w:color="auto" w:sz="4" w:space="0"/>
              <w:left w:val="single" w:color="auto" w:sz="4" w:space="0"/>
              <w:bottom w:val="single" w:color="auto" w:sz="4" w:space="0"/>
            </w:tcBorders>
            <w:vAlign w:val="center"/>
          </w:tcPr>
          <w:p w14:paraId="5DBA1D22">
            <w:pPr>
              <w:jc w:val="center"/>
              <w:rPr>
                <w:rFonts w:eastAsia="楷体_GB2312"/>
                <w:sz w:val="18"/>
                <w:szCs w:val="18"/>
              </w:rPr>
            </w:pPr>
            <w:r>
              <w:rPr>
                <w:rFonts w:eastAsia="楷体_GB2312"/>
                <w:b/>
                <w:sz w:val="18"/>
                <w:szCs w:val="18"/>
              </w:rPr>
              <w:t>占比</w:t>
            </w:r>
          </w:p>
        </w:tc>
        <w:tc>
          <w:tcPr>
            <w:tcW w:w="856" w:type="dxa"/>
            <w:tcBorders>
              <w:top w:val="single" w:color="auto" w:sz="4" w:space="0"/>
              <w:left w:val="single" w:color="auto" w:sz="4" w:space="0"/>
              <w:bottom w:val="single" w:color="auto" w:sz="4" w:space="0"/>
            </w:tcBorders>
            <w:vAlign w:val="center"/>
          </w:tcPr>
          <w:p w14:paraId="47FC8109">
            <w:pPr>
              <w:jc w:val="center"/>
              <w:rPr>
                <w:rFonts w:eastAsia="楷体_GB2312"/>
                <w:sz w:val="18"/>
                <w:szCs w:val="18"/>
              </w:rPr>
            </w:pPr>
            <w:r>
              <w:rPr>
                <w:rFonts w:eastAsia="楷体_GB2312"/>
                <w:b/>
                <w:sz w:val="18"/>
                <w:szCs w:val="18"/>
              </w:rPr>
              <w:t>未偿本金余额</w:t>
            </w:r>
          </w:p>
        </w:tc>
        <w:tc>
          <w:tcPr>
            <w:tcW w:w="852" w:type="dxa"/>
            <w:tcBorders>
              <w:top w:val="single" w:color="auto" w:sz="4" w:space="0"/>
              <w:left w:val="single" w:color="auto" w:sz="4" w:space="0"/>
              <w:bottom w:val="single" w:color="auto" w:sz="4" w:space="0"/>
            </w:tcBorders>
            <w:vAlign w:val="center"/>
          </w:tcPr>
          <w:p w14:paraId="3CEF0E63">
            <w:pPr>
              <w:jc w:val="center"/>
              <w:rPr>
                <w:rFonts w:eastAsia="楷体_GB2312"/>
                <w:sz w:val="18"/>
                <w:szCs w:val="18"/>
              </w:rPr>
            </w:pPr>
            <w:r>
              <w:rPr>
                <w:rFonts w:eastAsia="楷体_GB2312"/>
                <w:b/>
                <w:sz w:val="18"/>
                <w:szCs w:val="18"/>
              </w:rPr>
              <w:t>占比</w:t>
            </w:r>
          </w:p>
        </w:tc>
        <w:tc>
          <w:tcPr>
            <w:tcW w:w="1299" w:type="dxa"/>
            <w:gridSpan w:val="2"/>
            <w:tcBorders>
              <w:top w:val="single" w:color="auto" w:sz="4" w:space="0"/>
              <w:left w:val="single" w:color="auto" w:sz="4" w:space="0"/>
              <w:bottom w:val="single" w:color="auto" w:sz="4" w:space="0"/>
            </w:tcBorders>
            <w:vAlign w:val="center"/>
          </w:tcPr>
          <w:p w14:paraId="3A07B6D2">
            <w:pPr>
              <w:jc w:val="center"/>
              <w:rPr>
                <w:rFonts w:eastAsia="楷体_GB2312"/>
                <w:sz w:val="18"/>
                <w:szCs w:val="18"/>
              </w:rPr>
            </w:pPr>
            <w:r>
              <w:rPr>
                <w:rFonts w:eastAsia="楷体_GB2312"/>
                <w:b/>
                <w:sz w:val="18"/>
                <w:szCs w:val="18"/>
              </w:rPr>
              <w:t>未偿本金余额</w:t>
            </w:r>
          </w:p>
        </w:tc>
        <w:tc>
          <w:tcPr>
            <w:tcW w:w="975" w:type="dxa"/>
            <w:tcBorders>
              <w:top w:val="single" w:color="auto" w:sz="4" w:space="0"/>
              <w:left w:val="single" w:color="auto" w:sz="4" w:space="0"/>
              <w:bottom w:val="single" w:color="auto" w:sz="4" w:space="0"/>
            </w:tcBorders>
            <w:vAlign w:val="center"/>
          </w:tcPr>
          <w:p w14:paraId="54FD5B5F">
            <w:pPr>
              <w:jc w:val="center"/>
              <w:rPr>
                <w:rFonts w:eastAsia="楷体_GB2312"/>
                <w:sz w:val="18"/>
                <w:szCs w:val="18"/>
              </w:rPr>
            </w:pPr>
            <w:r>
              <w:rPr>
                <w:rFonts w:eastAsia="楷体_GB2312"/>
                <w:b/>
                <w:sz w:val="18"/>
                <w:szCs w:val="18"/>
              </w:rPr>
              <w:t>占比</w:t>
            </w:r>
          </w:p>
        </w:tc>
      </w:tr>
      <w:tr w14:paraId="105B27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28086012">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645A6C14">
            <w:pPr>
              <w:rPr>
                <w:rFonts w:eastAsia="楷体_GB2312"/>
                <w:sz w:val="18"/>
                <w:szCs w:val="18"/>
              </w:rPr>
            </w:pPr>
          </w:p>
        </w:tc>
        <w:tc>
          <w:tcPr>
            <w:tcW w:w="881" w:type="dxa"/>
            <w:tcBorders>
              <w:top w:val="single" w:color="auto" w:sz="4" w:space="0"/>
              <w:left w:val="single" w:color="auto" w:sz="4" w:space="0"/>
              <w:bottom w:val="single" w:color="auto" w:sz="4" w:space="0"/>
            </w:tcBorders>
          </w:tcPr>
          <w:p w14:paraId="7BF1176D">
            <w:pPr>
              <w:rPr>
                <w:rFonts w:eastAsia="楷体_GB2312"/>
                <w:sz w:val="18"/>
                <w:szCs w:val="18"/>
              </w:rPr>
            </w:pPr>
          </w:p>
        </w:tc>
        <w:tc>
          <w:tcPr>
            <w:tcW w:w="856" w:type="dxa"/>
            <w:tcBorders>
              <w:top w:val="single" w:color="auto" w:sz="4" w:space="0"/>
              <w:left w:val="single" w:color="auto" w:sz="4" w:space="0"/>
              <w:bottom w:val="single" w:color="auto" w:sz="4" w:space="0"/>
            </w:tcBorders>
          </w:tcPr>
          <w:p w14:paraId="6B1C9A78">
            <w:pPr>
              <w:rPr>
                <w:rFonts w:eastAsia="楷体_GB2312"/>
                <w:sz w:val="18"/>
                <w:szCs w:val="18"/>
              </w:rPr>
            </w:pPr>
          </w:p>
        </w:tc>
        <w:tc>
          <w:tcPr>
            <w:tcW w:w="852" w:type="dxa"/>
            <w:tcBorders>
              <w:top w:val="single" w:color="auto" w:sz="4" w:space="0"/>
              <w:left w:val="single" w:color="auto" w:sz="4" w:space="0"/>
              <w:bottom w:val="single" w:color="auto" w:sz="4" w:space="0"/>
            </w:tcBorders>
          </w:tcPr>
          <w:p w14:paraId="435EE0C2">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29E1535C">
            <w:pPr>
              <w:rPr>
                <w:rFonts w:eastAsia="楷体_GB2312"/>
                <w:sz w:val="18"/>
                <w:szCs w:val="18"/>
              </w:rPr>
            </w:pPr>
          </w:p>
        </w:tc>
        <w:tc>
          <w:tcPr>
            <w:tcW w:w="975" w:type="dxa"/>
            <w:tcBorders>
              <w:top w:val="single" w:color="auto" w:sz="4" w:space="0"/>
              <w:left w:val="single" w:color="auto" w:sz="4" w:space="0"/>
              <w:bottom w:val="single" w:color="auto" w:sz="4" w:space="0"/>
            </w:tcBorders>
          </w:tcPr>
          <w:p w14:paraId="4447C4F1">
            <w:pPr>
              <w:rPr>
                <w:rFonts w:eastAsia="楷体_GB2312"/>
                <w:sz w:val="18"/>
                <w:szCs w:val="18"/>
              </w:rPr>
            </w:pPr>
          </w:p>
        </w:tc>
      </w:tr>
      <w:tr w14:paraId="016F35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13FB743F">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30A74883">
            <w:pPr>
              <w:rPr>
                <w:rFonts w:eastAsia="楷体_GB2312"/>
                <w:sz w:val="18"/>
                <w:szCs w:val="18"/>
              </w:rPr>
            </w:pPr>
          </w:p>
        </w:tc>
        <w:tc>
          <w:tcPr>
            <w:tcW w:w="881" w:type="dxa"/>
            <w:tcBorders>
              <w:top w:val="single" w:color="auto" w:sz="4" w:space="0"/>
              <w:left w:val="single" w:color="auto" w:sz="4" w:space="0"/>
              <w:bottom w:val="single" w:color="auto" w:sz="4" w:space="0"/>
            </w:tcBorders>
          </w:tcPr>
          <w:p w14:paraId="1C95A933">
            <w:pPr>
              <w:rPr>
                <w:rFonts w:eastAsia="楷体_GB2312"/>
                <w:sz w:val="18"/>
                <w:szCs w:val="18"/>
              </w:rPr>
            </w:pPr>
          </w:p>
        </w:tc>
        <w:tc>
          <w:tcPr>
            <w:tcW w:w="856" w:type="dxa"/>
            <w:tcBorders>
              <w:top w:val="single" w:color="auto" w:sz="4" w:space="0"/>
              <w:left w:val="single" w:color="auto" w:sz="4" w:space="0"/>
              <w:bottom w:val="single" w:color="auto" w:sz="4" w:space="0"/>
            </w:tcBorders>
          </w:tcPr>
          <w:p w14:paraId="3488DAAD">
            <w:pPr>
              <w:rPr>
                <w:rFonts w:eastAsia="楷体_GB2312"/>
                <w:sz w:val="18"/>
                <w:szCs w:val="18"/>
              </w:rPr>
            </w:pPr>
          </w:p>
        </w:tc>
        <w:tc>
          <w:tcPr>
            <w:tcW w:w="852" w:type="dxa"/>
            <w:tcBorders>
              <w:top w:val="single" w:color="auto" w:sz="4" w:space="0"/>
              <w:left w:val="single" w:color="auto" w:sz="4" w:space="0"/>
              <w:bottom w:val="single" w:color="auto" w:sz="4" w:space="0"/>
            </w:tcBorders>
          </w:tcPr>
          <w:p w14:paraId="0139EDD4">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26657C5D">
            <w:pPr>
              <w:rPr>
                <w:rFonts w:eastAsia="楷体_GB2312"/>
                <w:sz w:val="18"/>
                <w:szCs w:val="18"/>
              </w:rPr>
            </w:pPr>
          </w:p>
        </w:tc>
        <w:tc>
          <w:tcPr>
            <w:tcW w:w="975" w:type="dxa"/>
            <w:tcBorders>
              <w:top w:val="single" w:color="auto" w:sz="4" w:space="0"/>
              <w:left w:val="single" w:color="auto" w:sz="4" w:space="0"/>
              <w:bottom w:val="single" w:color="auto" w:sz="4" w:space="0"/>
            </w:tcBorders>
          </w:tcPr>
          <w:p w14:paraId="1E60C4EB">
            <w:pPr>
              <w:rPr>
                <w:rFonts w:eastAsia="楷体_GB2312"/>
                <w:sz w:val="18"/>
                <w:szCs w:val="18"/>
              </w:rPr>
            </w:pPr>
          </w:p>
        </w:tc>
      </w:tr>
      <w:tr w14:paraId="5B7C9D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1" w:type="dxa"/>
            <w:gridSpan w:val="9"/>
            <w:tcBorders>
              <w:top w:val="single" w:color="auto" w:sz="4" w:space="0"/>
              <w:bottom w:val="single" w:color="auto" w:sz="4" w:space="0"/>
            </w:tcBorders>
            <w:vAlign w:val="center"/>
          </w:tcPr>
          <w:p w14:paraId="22566608">
            <w:pPr>
              <w:rPr>
                <w:rFonts w:eastAsia="楷体_GB2312"/>
                <w:b/>
                <w:lang w:eastAsia="zh-CN"/>
              </w:rPr>
            </w:pPr>
          </w:p>
          <w:p w14:paraId="679508B9">
            <w:pPr>
              <w:rPr>
                <w:rFonts w:eastAsia="楷体_GB2312"/>
                <w:sz w:val="18"/>
                <w:szCs w:val="18"/>
                <w:lang w:eastAsia="zh-CN"/>
              </w:rPr>
            </w:pPr>
            <w:r>
              <w:rPr>
                <w:rFonts w:eastAsia="楷体_GB2312"/>
                <w:b/>
                <w:lang w:eastAsia="zh-CN"/>
              </w:rPr>
              <w:t>11、贷款类型分布</w:t>
            </w:r>
          </w:p>
        </w:tc>
      </w:tr>
      <w:tr w14:paraId="50AB6D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restart"/>
            <w:tcBorders>
              <w:top w:val="single" w:color="auto" w:sz="4" w:space="0"/>
              <w:right w:val="single" w:color="auto" w:sz="4" w:space="0"/>
            </w:tcBorders>
            <w:vAlign w:val="center"/>
          </w:tcPr>
          <w:p w14:paraId="56B95148">
            <w:pPr>
              <w:jc w:val="center"/>
              <w:rPr>
                <w:rFonts w:eastAsia="楷体_GB2312"/>
                <w:sz w:val="18"/>
              </w:rPr>
            </w:pPr>
            <w:r>
              <w:rPr>
                <w:rFonts w:eastAsia="楷体_GB2312"/>
                <w:b/>
                <w:bCs/>
                <w:sz w:val="18"/>
              </w:rPr>
              <w:t>贷款类型</w:t>
            </w:r>
          </w:p>
        </w:tc>
        <w:tc>
          <w:tcPr>
            <w:tcW w:w="1847" w:type="dxa"/>
            <w:gridSpan w:val="3"/>
            <w:tcBorders>
              <w:top w:val="single" w:color="auto" w:sz="4" w:space="0"/>
              <w:left w:val="single" w:color="auto" w:sz="4" w:space="0"/>
              <w:bottom w:val="single" w:color="auto" w:sz="4" w:space="0"/>
            </w:tcBorders>
            <w:vAlign w:val="center"/>
          </w:tcPr>
          <w:p w14:paraId="1E701EC9">
            <w:pPr>
              <w:jc w:val="center"/>
              <w:rPr>
                <w:rFonts w:eastAsia="楷体_GB2312"/>
                <w:sz w:val="18"/>
                <w:szCs w:val="18"/>
              </w:rPr>
            </w:pPr>
            <w:r>
              <w:rPr>
                <w:rFonts w:eastAsia="楷体_GB2312"/>
                <w:b/>
                <w:sz w:val="18"/>
                <w:szCs w:val="18"/>
              </w:rPr>
              <w:t>初始起算日</w:t>
            </w:r>
          </w:p>
        </w:tc>
        <w:tc>
          <w:tcPr>
            <w:tcW w:w="1708" w:type="dxa"/>
            <w:gridSpan w:val="2"/>
            <w:tcBorders>
              <w:top w:val="single" w:color="auto" w:sz="4" w:space="0"/>
              <w:left w:val="single" w:color="auto" w:sz="4" w:space="0"/>
              <w:bottom w:val="single" w:color="auto" w:sz="4" w:space="0"/>
            </w:tcBorders>
            <w:vAlign w:val="center"/>
          </w:tcPr>
          <w:p w14:paraId="4E59C083">
            <w:pPr>
              <w:jc w:val="center"/>
              <w:rPr>
                <w:rFonts w:eastAsia="楷体_GB2312"/>
                <w:sz w:val="18"/>
                <w:szCs w:val="18"/>
              </w:rPr>
            </w:pPr>
            <w:r>
              <w:rPr>
                <w:rFonts w:eastAsia="楷体_GB2312"/>
                <w:b/>
                <w:sz w:val="18"/>
                <w:szCs w:val="18"/>
              </w:rPr>
              <w:t>上一</w:t>
            </w:r>
            <w:r>
              <w:rPr>
                <w:rFonts w:eastAsia="楷体_GB2312"/>
                <w:b/>
                <w:sz w:val="18"/>
                <w:szCs w:val="18"/>
                <w:lang w:eastAsia="zh-CN"/>
              </w:rPr>
              <w:t>报告</w:t>
            </w:r>
            <w:r>
              <w:rPr>
                <w:rFonts w:eastAsia="楷体_GB2312"/>
                <w:b/>
                <w:sz w:val="18"/>
                <w:szCs w:val="18"/>
              </w:rPr>
              <w:t>期末</w:t>
            </w:r>
          </w:p>
        </w:tc>
        <w:tc>
          <w:tcPr>
            <w:tcW w:w="2274" w:type="dxa"/>
            <w:gridSpan w:val="3"/>
            <w:tcBorders>
              <w:top w:val="single" w:color="auto" w:sz="4" w:space="0"/>
              <w:left w:val="single" w:color="auto" w:sz="4" w:space="0"/>
              <w:bottom w:val="single" w:color="auto" w:sz="4" w:space="0"/>
            </w:tcBorders>
            <w:vAlign w:val="center"/>
          </w:tcPr>
          <w:p w14:paraId="643B43F8">
            <w:pPr>
              <w:jc w:val="center"/>
              <w:rPr>
                <w:rFonts w:eastAsia="楷体_GB2312"/>
                <w:sz w:val="18"/>
                <w:szCs w:val="18"/>
              </w:rPr>
            </w:pPr>
            <w:r>
              <w:rPr>
                <w:rFonts w:eastAsia="楷体_GB2312"/>
                <w:b/>
                <w:sz w:val="18"/>
                <w:szCs w:val="18"/>
              </w:rPr>
              <w:t>本</w:t>
            </w:r>
            <w:r>
              <w:rPr>
                <w:rFonts w:eastAsia="楷体_GB2312"/>
                <w:b/>
                <w:sz w:val="18"/>
                <w:szCs w:val="18"/>
                <w:lang w:eastAsia="zh-CN"/>
              </w:rPr>
              <w:t>报告</w:t>
            </w:r>
            <w:r>
              <w:rPr>
                <w:rFonts w:eastAsia="楷体_GB2312"/>
                <w:b/>
                <w:sz w:val="18"/>
                <w:szCs w:val="18"/>
              </w:rPr>
              <w:t>期末</w:t>
            </w:r>
          </w:p>
        </w:tc>
      </w:tr>
      <w:tr w14:paraId="607477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continue"/>
            <w:tcBorders>
              <w:bottom w:val="single" w:color="auto" w:sz="4" w:space="0"/>
              <w:right w:val="single" w:color="auto" w:sz="4" w:space="0"/>
            </w:tcBorders>
            <w:vAlign w:val="center"/>
          </w:tcPr>
          <w:p w14:paraId="5BA393C6">
            <w:pPr>
              <w:jc w:val="center"/>
              <w:rPr>
                <w:rFonts w:eastAsia="楷体_GB2312"/>
                <w:sz w:val="18"/>
              </w:rPr>
            </w:pPr>
          </w:p>
        </w:tc>
        <w:tc>
          <w:tcPr>
            <w:tcW w:w="966" w:type="dxa"/>
            <w:gridSpan w:val="2"/>
            <w:tcBorders>
              <w:top w:val="single" w:color="auto" w:sz="4" w:space="0"/>
              <w:left w:val="single" w:color="auto" w:sz="4" w:space="0"/>
              <w:bottom w:val="single" w:color="auto" w:sz="4" w:space="0"/>
            </w:tcBorders>
            <w:vAlign w:val="center"/>
          </w:tcPr>
          <w:p w14:paraId="2D690BDE">
            <w:pPr>
              <w:jc w:val="center"/>
              <w:rPr>
                <w:rFonts w:eastAsia="楷体_GB2312"/>
                <w:sz w:val="18"/>
                <w:szCs w:val="18"/>
              </w:rPr>
            </w:pPr>
            <w:r>
              <w:rPr>
                <w:rFonts w:eastAsia="楷体_GB2312"/>
                <w:b/>
                <w:sz w:val="18"/>
                <w:szCs w:val="18"/>
              </w:rPr>
              <w:t>未偿本金余额</w:t>
            </w:r>
          </w:p>
        </w:tc>
        <w:tc>
          <w:tcPr>
            <w:tcW w:w="881" w:type="dxa"/>
            <w:tcBorders>
              <w:top w:val="single" w:color="auto" w:sz="4" w:space="0"/>
              <w:left w:val="single" w:color="auto" w:sz="4" w:space="0"/>
              <w:bottom w:val="single" w:color="auto" w:sz="4" w:space="0"/>
            </w:tcBorders>
            <w:vAlign w:val="center"/>
          </w:tcPr>
          <w:p w14:paraId="31F8FD92">
            <w:pPr>
              <w:jc w:val="center"/>
              <w:rPr>
                <w:rFonts w:eastAsia="楷体_GB2312"/>
                <w:sz w:val="18"/>
                <w:szCs w:val="18"/>
              </w:rPr>
            </w:pPr>
            <w:r>
              <w:rPr>
                <w:rFonts w:eastAsia="楷体_GB2312"/>
                <w:b/>
                <w:sz w:val="18"/>
                <w:szCs w:val="18"/>
              </w:rPr>
              <w:t>占比</w:t>
            </w:r>
          </w:p>
        </w:tc>
        <w:tc>
          <w:tcPr>
            <w:tcW w:w="856" w:type="dxa"/>
            <w:tcBorders>
              <w:top w:val="single" w:color="auto" w:sz="4" w:space="0"/>
              <w:left w:val="single" w:color="auto" w:sz="4" w:space="0"/>
              <w:bottom w:val="single" w:color="auto" w:sz="4" w:space="0"/>
            </w:tcBorders>
            <w:vAlign w:val="center"/>
          </w:tcPr>
          <w:p w14:paraId="38248D2D">
            <w:pPr>
              <w:jc w:val="center"/>
              <w:rPr>
                <w:rFonts w:eastAsia="楷体_GB2312"/>
                <w:sz w:val="18"/>
                <w:szCs w:val="18"/>
              </w:rPr>
            </w:pPr>
            <w:r>
              <w:rPr>
                <w:rFonts w:eastAsia="楷体_GB2312"/>
                <w:b/>
                <w:sz w:val="18"/>
                <w:szCs w:val="18"/>
              </w:rPr>
              <w:t>未偿本金余额</w:t>
            </w:r>
          </w:p>
        </w:tc>
        <w:tc>
          <w:tcPr>
            <w:tcW w:w="852" w:type="dxa"/>
            <w:tcBorders>
              <w:top w:val="single" w:color="auto" w:sz="4" w:space="0"/>
              <w:left w:val="single" w:color="auto" w:sz="4" w:space="0"/>
              <w:bottom w:val="single" w:color="auto" w:sz="4" w:space="0"/>
            </w:tcBorders>
            <w:vAlign w:val="center"/>
          </w:tcPr>
          <w:p w14:paraId="6D48C798">
            <w:pPr>
              <w:jc w:val="center"/>
              <w:rPr>
                <w:rFonts w:eastAsia="楷体_GB2312"/>
                <w:sz w:val="18"/>
                <w:szCs w:val="18"/>
              </w:rPr>
            </w:pPr>
            <w:r>
              <w:rPr>
                <w:rFonts w:eastAsia="楷体_GB2312"/>
                <w:b/>
                <w:sz w:val="18"/>
                <w:szCs w:val="18"/>
              </w:rPr>
              <w:t>占比</w:t>
            </w:r>
          </w:p>
        </w:tc>
        <w:tc>
          <w:tcPr>
            <w:tcW w:w="1299" w:type="dxa"/>
            <w:gridSpan w:val="2"/>
            <w:tcBorders>
              <w:top w:val="single" w:color="auto" w:sz="4" w:space="0"/>
              <w:left w:val="single" w:color="auto" w:sz="4" w:space="0"/>
              <w:bottom w:val="single" w:color="auto" w:sz="4" w:space="0"/>
            </w:tcBorders>
            <w:vAlign w:val="center"/>
          </w:tcPr>
          <w:p w14:paraId="1C1E00AA">
            <w:pPr>
              <w:jc w:val="center"/>
              <w:rPr>
                <w:rFonts w:eastAsia="楷体_GB2312"/>
                <w:sz w:val="18"/>
                <w:szCs w:val="18"/>
              </w:rPr>
            </w:pPr>
            <w:r>
              <w:rPr>
                <w:rFonts w:eastAsia="楷体_GB2312"/>
                <w:b/>
                <w:sz w:val="18"/>
                <w:szCs w:val="18"/>
              </w:rPr>
              <w:t>未偿本金余额</w:t>
            </w:r>
          </w:p>
        </w:tc>
        <w:tc>
          <w:tcPr>
            <w:tcW w:w="975" w:type="dxa"/>
            <w:tcBorders>
              <w:top w:val="single" w:color="auto" w:sz="4" w:space="0"/>
              <w:left w:val="single" w:color="auto" w:sz="4" w:space="0"/>
              <w:bottom w:val="single" w:color="auto" w:sz="4" w:space="0"/>
            </w:tcBorders>
            <w:vAlign w:val="center"/>
          </w:tcPr>
          <w:p w14:paraId="460C49B5">
            <w:pPr>
              <w:jc w:val="center"/>
              <w:rPr>
                <w:rFonts w:eastAsia="楷体_GB2312"/>
                <w:sz w:val="18"/>
                <w:szCs w:val="18"/>
              </w:rPr>
            </w:pPr>
            <w:r>
              <w:rPr>
                <w:rFonts w:eastAsia="楷体_GB2312"/>
                <w:b/>
                <w:sz w:val="18"/>
                <w:szCs w:val="18"/>
              </w:rPr>
              <w:t>占比</w:t>
            </w:r>
          </w:p>
        </w:tc>
      </w:tr>
      <w:tr w14:paraId="185C30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6F128B6F">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357C0AD3">
            <w:pPr>
              <w:rPr>
                <w:rFonts w:eastAsia="楷体_GB2312"/>
                <w:sz w:val="18"/>
                <w:szCs w:val="18"/>
              </w:rPr>
            </w:pPr>
          </w:p>
        </w:tc>
        <w:tc>
          <w:tcPr>
            <w:tcW w:w="881" w:type="dxa"/>
            <w:tcBorders>
              <w:top w:val="single" w:color="auto" w:sz="4" w:space="0"/>
              <w:left w:val="single" w:color="auto" w:sz="4" w:space="0"/>
              <w:bottom w:val="single" w:color="auto" w:sz="4" w:space="0"/>
            </w:tcBorders>
          </w:tcPr>
          <w:p w14:paraId="72B810E6">
            <w:pPr>
              <w:rPr>
                <w:rFonts w:eastAsia="楷体_GB2312"/>
                <w:sz w:val="18"/>
                <w:szCs w:val="18"/>
              </w:rPr>
            </w:pPr>
          </w:p>
        </w:tc>
        <w:tc>
          <w:tcPr>
            <w:tcW w:w="856" w:type="dxa"/>
            <w:tcBorders>
              <w:top w:val="single" w:color="auto" w:sz="4" w:space="0"/>
              <w:left w:val="single" w:color="auto" w:sz="4" w:space="0"/>
              <w:bottom w:val="single" w:color="auto" w:sz="4" w:space="0"/>
            </w:tcBorders>
          </w:tcPr>
          <w:p w14:paraId="1A6D3600">
            <w:pPr>
              <w:rPr>
                <w:rFonts w:eastAsia="楷体_GB2312"/>
                <w:sz w:val="18"/>
                <w:szCs w:val="18"/>
              </w:rPr>
            </w:pPr>
          </w:p>
        </w:tc>
        <w:tc>
          <w:tcPr>
            <w:tcW w:w="852" w:type="dxa"/>
            <w:tcBorders>
              <w:top w:val="single" w:color="auto" w:sz="4" w:space="0"/>
              <w:left w:val="single" w:color="auto" w:sz="4" w:space="0"/>
              <w:bottom w:val="single" w:color="auto" w:sz="4" w:space="0"/>
            </w:tcBorders>
          </w:tcPr>
          <w:p w14:paraId="6ABD6DF2">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002FD5DA">
            <w:pPr>
              <w:rPr>
                <w:rFonts w:eastAsia="楷体_GB2312"/>
                <w:sz w:val="18"/>
                <w:szCs w:val="18"/>
              </w:rPr>
            </w:pPr>
          </w:p>
        </w:tc>
        <w:tc>
          <w:tcPr>
            <w:tcW w:w="975" w:type="dxa"/>
            <w:tcBorders>
              <w:top w:val="single" w:color="auto" w:sz="4" w:space="0"/>
              <w:left w:val="single" w:color="auto" w:sz="4" w:space="0"/>
              <w:bottom w:val="single" w:color="auto" w:sz="4" w:space="0"/>
            </w:tcBorders>
          </w:tcPr>
          <w:p w14:paraId="462BC61D">
            <w:pPr>
              <w:rPr>
                <w:rFonts w:eastAsia="楷体_GB2312"/>
                <w:sz w:val="18"/>
                <w:szCs w:val="18"/>
              </w:rPr>
            </w:pPr>
          </w:p>
        </w:tc>
      </w:tr>
      <w:tr w14:paraId="0C456D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23ABA7E8">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0B553292">
            <w:pPr>
              <w:rPr>
                <w:rFonts w:eastAsia="楷体_GB2312"/>
                <w:sz w:val="18"/>
                <w:szCs w:val="18"/>
              </w:rPr>
            </w:pPr>
          </w:p>
        </w:tc>
        <w:tc>
          <w:tcPr>
            <w:tcW w:w="881" w:type="dxa"/>
            <w:tcBorders>
              <w:top w:val="single" w:color="auto" w:sz="4" w:space="0"/>
              <w:left w:val="single" w:color="auto" w:sz="4" w:space="0"/>
              <w:bottom w:val="single" w:color="auto" w:sz="4" w:space="0"/>
            </w:tcBorders>
          </w:tcPr>
          <w:p w14:paraId="5E81C2DC">
            <w:pPr>
              <w:rPr>
                <w:rFonts w:eastAsia="楷体_GB2312"/>
                <w:sz w:val="18"/>
                <w:szCs w:val="18"/>
              </w:rPr>
            </w:pPr>
          </w:p>
        </w:tc>
        <w:tc>
          <w:tcPr>
            <w:tcW w:w="856" w:type="dxa"/>
            <w:tcBorders>
              <w:top w:val="single" w:color="auto" w:sz="4" w:space="0"/>
              <w:left w:val="single" w:color="auto" w:sz="4" w:space="0"/>
              <w:bottom w:val="single" w:color="auto" w:sz="4" w:space="0"/>
            </w:tcBorders>
          </w:tcPr>
          <w:p w14:paraId="331D5820">
            <w:pPr>
              <w:rPr>
                <w:rFonts w:eastAsia="楷体_GB2312"/>
                <w:sz w:val="18"/>
                <w:szCs w:val="18"/>
              </w:rPr>
            </w:pPr>
          </w:p>
        </w:tc>
        <w:tc>
          <w:tcPr>
            <w:tcW w:w="852" w:type="dxa"/>
            <w:tcBorders>
              <w:top w:val="single" w:color="auto" w:sz="4" w:space="0"/>
              <w:left w:val="single" w:color="auto" w:sz="4" w:space="0"/>
              <w:bottom w:val="single" w:color="auto" w:sz="4" w:space="0"/>
            </w:tcBorders>
          </w:tcPr>
          <w:p w14:paraId="07CA942D">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01A33FF1">
            <w:pPr>
              <w:rPr>
                <w:rFonts w:eastAsia="楷体_GB2312"/>
                <w:sz w:val="18"/>
                <w:szCs w:val="18"/>
              </w:rPr>
            </w:pPr>
          </w:p>
        </w:tc>
        <w:tc>
          <w:tcPr>
            <w:tcW w:w="975" w:type="dxa"/>
            <w:tcBorders>
              <w:top w:val="single" w:color="auto" w:sz="4" w:space="0"/>
              <w:left w:val="single" w:color="auto" w:sz="4" w:space="0"/>
              <w:bottom w:val="single" w:color="auto" w:sz="4" w:space="0"/>
            </w:tcBorders>
          </w:tcPr>
          <w:p w14:paraId="6ED8BFDD">
            <w:pPr>
              <w:rPr>
                <w:rFonts w:eastAsia="楷体_GB2312"/>
                <w:sz w:val="18"/>
                <w:szCs w:val="18"/>
              </w:rPr>
            </w:pPr>
          </w:p>
        </w:tc>
      </w:tr>
      <w:tr w14:paraId="6EF74D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1" w:type="dxa"/>
            <w:gridSpan w:val="9"/>
            <w:tcBorders>
              <w:top w:val="single" w:color="auto" w:sz="4" w:space="0"/>
              <w:bottom w:val="single" w:color="auto" w:sz="4" w:space="0"/>
            </w:tcBorders>
            <w:vAlign w:val="center"/>
          </w:tcPr>
          <w:p w14:paraId="5E9177A2">
            <w:pPr>
              <w:rPr>
                <w:rFonts w:eastAsia="楷体_GB2312"/>
                <w:sz w:val="18"/>
                <w:szCs w:val="18"/>
                <w:lang w:eastAsia="zh-CN"/>
              </w:rPr>
            </w:pPr>
          </w:p>
          <w:p w14:paraId="0DA763DC">
            <w:pPr>
              <w:rPr>
                <w:rFonts w:eastAsia="楷体_GB2312"/>
                <w:b/>
                <w:lang w:eastAsia="zh-CN"/>
              </w:rPr>
            </w:pPr>
            <w:r>
              <w:rPr>
                <w:rFonts w:eastAsia="楷体_GB2312"/>
                <w:b/>
                <w:lang w:eastAsia="zh-CN"/>
              </w:rPr>
              <w:t>（二）借款人分布</w:t>
            </w:r>
          </w:p>
          <w:p w14:paraId="69AEB8E0">
            <w:pPr>
              <w:rPr>
                <w:rFonts w:eastAsia="楷体_GB2312"/>
                <w:sz w:val="18"/>
                <w:szCs w:val="18"/>
                <w:lang w:eastAsia="zh-CN"/>
              </w:rPr>
            </w:pPr>
            <w:r>
              <w:rPr>
                <w:rFonts w:eastAsia="楷体_GB2312"/>
                <w:b/>
                <w:lang w:eastAsia="zh-CN"/>
              </w:rPr>
              <w:t>1、年龄分布</w:t>
            </w:r>
          </w:p>
        </w:tc>
      </w:tr>
      <w:tr w14:paraId="486F42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restart"/>
            <w:tcBorders>
              <w:top w:val="single" w:color="auto" w:sz="4" w:space="0"/>
              <w:right w:val="single" w:color="auto" w:sz="4" w:space="0"/>
            </w:tcBorders>
            <w:vAlign w:val="center"/>
          </w:tcPr>
          <w:p w14:paraId="20757429">
            <w:pPr>
              <w:jc w:val="center"/>
              <w:rPr>
                <w:rFonts w:eastAsia="楷体_GB2312"/>
                <w:sz w:val="18"/>
              </w:rPr>
            </w:pPr>
            <w:r>
              <w:rPr>
                <w:rFonts w:eastAsia="楷体_GB2312"/>
                <w:b/>
                <w:bCs/>
                <w:sz w:val="18"/>
              </w:rPr>
              <w:t>年龄</w:t>
            </w:r>
          </w:p>
        </w:tc>
        <w:tc>
          <w:tcPr>
            <w:tcW w:w="1847" w:type="dxa"/>
            <w:gridSpan w:val="3"/>
            <w:tcBorders>
              <w:top w:val="single" w:color="auto" w:sz="4" w:space="0"/>
              <w:left w:val="single" w:color="auto" w:sz="4" w:space="0"/>
              <w:bottom w:val="single" w:color="auto" w:sz="4" w:space="0"/>
            </w:tcBorders>
            <w:vAlign w:val="center"/>
          </w:tcPr>
          <w:p w14:paraId="54F6147F">
            <w:pPr>
              <w:jc w:val="center"/>
              <w:rPr>
                <w:rFonts w:eastAsia="楷体_GB2312"/>
                <w:sz w:val="18"/>
                <w:szCs w:val="18"/>
              </w:rPr>
            </w:pPr>
            <w:r>
              <w:rPr>
                <w:rFonts w:eastAsia="楷体_GB2312"/>
                <w:b/>
                <w:sz w:val="18"/>
                <w:szCs w:val="18"/>
              </w:rPr>
              <w:t>初始起算日</w:t>
            </w:r>
          </w:p>
        </w:tc>
        <w:tc>
          <w:tcPr>
            <w:tcW w:w="1708" w:type="dxa"/>
            <w:gridSpan w:val="2"/>
            <w:tcBorders>
              <w:top w:val="single" w:color="auto" w:sz="4" w:space="0"/>
              <w:left w:val="single" w:color="auto" w:sz="4" w:space="0"/>
              <w:bottom w:val="single" w:color="auto" w:sz="4" w:space="0"/>
            </w:tcBorders>
            <w:vAlign w:val="center"/>
          </w:tcPr>
          <w:p w14:paraId="7F7D3089">
            <w:pPr>
              <w:jc w:val="center"/>
              <w:rPr>
                <w:rFonts w:eastAsia="楷体_GB2312"/>
                <w:sz w:val="18"/>
                <w:szCs w:val="18"/>
              </w:rPr>
            </w:pPr>
            <w:r>
              <w:rPr>
                <w:rFonts w:eastAsia="楷体_GB2312"/>
                <w:b/>
                <w:sz w:val="18"/>
                <w:szCs w:val="18"/>
              </w:rPr>
              <w:t>上一</w:t>
            </w:r>
            <w:r>
              <w:rPr>
                <w:rFonts w:eastAsia="楷体_GB2312"/>
                <w:b/>
                <w:sz w:val="18"/>
                <w:szCs w:val="18"/>
                <w:lang w:eastAsia="zh-CN"/>
              </w:rPr>
              <w:t>报告</w:t>
            </w:r>
            <w:r>
              <w:rPr>
                <w:rFonts w:eastAsia="楷体_GB2312"/>
                <w:b/>
                <w:sz w:val="18"/>
                <w:szCs w:val="18"/>
              </w:rPr>
              <w:t>期末</w:t>
            </w:r>
          </w:p>
        </w:tc>
        <w:tc>
          <w:tcPr>
            <w:tcW w:w="2274" w:type="dxa"/>
            <w:gridSpan w:val="3"/>
            <w:tcBorders>
              <w:top w:val="single" w:color="auto" w:sz="4" w:space="0"/>
              <w:left w:val="single" w:color="auto" w:sz="4" w:space="0"/>
              <w:bottom w:val="single" w:color="auto" w:sz="4" w:space="0"/>
            </w:tcBorders>
            <w:vAlign w:val="center"/>
          </w:tcPr>
          <w:p w14:paraId="00BC0743">
            <w:pPr>
              <w:jc w:val="center"/>
              <w:rPr>
                <w:rFonts w:eastAsia="楷体_GB2312"/>
                <w:sz w:val="18"/>
                <w:szCs w:val="18"/>
              </w:rPr>
            </w:pPr>
            <w:r>
              <w:rPr>
                <w:rFonts w:eastAsia="楷体_GB2312"/>
                <w:b/>
                <w:sz w:val="18"/>
                <w:szCs w:val="18"/>
              </w:rPr>
              <w:t>本</w:t>
            </w:r>
            <w:r>
              <w:rPr>
                <w:rFonts w:eastAsia="楷体_GB2312"/>
                <w:b/>
                <w:sz w:val="18"/>
                <w:szCs w:val="18"/>
                <w:lang w:eastAsia="zh-CN"/>
              </w:rPr>
              <w:t>报告</w:t>
            </w:r>
            <w:r>
              <w:rPr>
                <w:rFonts w:eastAsia="楷体_GB2312"/>
                <w:b/>
                <w:sz w:val="18"/>
                <w:szCs w:val="18"/>
              </w:rPr>
              <w:t>期末</w:t>
            </w:r>
          </w:p>
        </w:tc>
      </w:tr>
      <w:tr w14:paraId="792B7F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continue"/>
            <w:tcBorders>
              <w:bottom w:val="single" w:color="auto" w:sz="4" w:space="0"/>
              <w:right w:val="single" w:color="auto" w:sz="4" w:space="0"/>
            </w:tcBorders>
            <w:vAlign w:val="center"/>
          </w:tcPr>
          <w:p w14:paraId="6F6355F1">
            <w:pPr>
              <w:jc w:val="center"/>
              <w:rPr>
                <w:rFonts w:eastAsia="楷体_GB2312"/>
                <w:sz w:val="18"/>
              </w:rPr>
            </w:pPr>
          </w:p>
        </w:tc>
        <w:tc>
          <w:tcPr>
            <w:tcW w:w="966" w:type="dxa"/>
            <w:gridSpan w:val="2"/>
            <w:tcBorders>
              <w:top w:val="single" w:color="auto" w:sz="4" w:space="0"/>
              <w:left w:val="single" w:color="auto" w:sz="4" w:space="0"/>
              <w:bottom w:val="single" w:color="auto" w:sz="4" w:space="0"/>
            </w:tcBorders>
            <w:vAlign w:val="center"/>
          </w:tcPr>
          <w:p w14:paraId="50E4FA2F">
            <w:pPr>
              <w:jc w:val="center"/>
              <w:rPr>
                <w:rFonts w:eastAsia="楷体_GB2312"/>
                <w:sz w:val="18"/>
                <w:szCs w:val="18"/>
              </w:rPr>
            </w:pPr>
            <w:r>
              <w:rPr>
                <w:rFonts w:eastAsia="楷体_GB2312"/>
                <w:b/>
                <w:sz w:val="18"/>
                <w:szCs w:val="18"/>
              </w:rPr>
              <w:t>未偿本金余额</w:t>
            </w:r>
          </w:p>
        </w:tc>
        <w:tc>
          <w:tcPr>
            <w:tcW w:w="881" w:type="dxa"/>
            <w:tcBorders>
              <w:top w:val="single" w:color="auto" w:sz="4" w:space="0"/>
              <w:left w:val="single" w:color="auto" w:sz="4" w:space="0"/>
              <w:bottom w:val="single" w:color="auto" w:sz="4" w:space="0"/>
            </w:tcBorders>
            <w:vAlign w:val="center"/>
          </w:tcPr>
          <w:p w14:paraId="7B5EABD2">
            <w:pPr>
              <w:jc w:val="center"/>
              <w:rPr>
                <w:rFonts w:eastAsia="楷体_GB2312"/>
                <w:sz w:val="18"/>
                <w:szCs w:val="18"/>
              </w:rPr>
            </w:pPr>
            <w:r>
              <w:rPr>
                <w:rFonts w:eastAsia="楷体_GB2312"/>
                <w:b/>
                <w:sz w:val="18"/>
                <w:szCs w:val="18"/>
              </w:rPr>
              <w:t>占比</w:t>
            </w:r>
          </w:p>
        </w:tc>
        <w:tc>
          <w:tcPr>
            <w:tcW w:w="856" w:type="dxa"/>
            <w:tcBorders>
              <w:top w:val="single" w:color="auto" w:sz="4" w:space="0"/>
              <w:left w:val="single" w:color="auto" w:sz="4" w:space="0"/>
              <w:bottom w:val="single" w:color="auto" w:sz="4" w:space="0"/>
            </w:tcBorders>
            <w:vAlign w:val="center"/>
          </w:tcPr>
          <w:p w14:paraId="79F293D1">
            <w:pPr>
              <w:jc w:val="center"/>
              <w:rPr>
                <w:rFonts w:eastAsia="楷体_GB2312"/>
                <w:sz w:val="18"/>
                <w:szCs w:val="18"/>
              </w:rPr>
            </w:pPr>
            <w:r>
              <w:rPr>
                <w:rFonts w:eastAsia="楷体_GB2312"/>
                <w:b/>
                <w:sz w:val="18"/>
                <w:szCs w:val="18"/>
              </w:rPr>
              <w:t>未偿本金余额</w:t>
            </w:r>
          </w:p>
        </w:tc>
        <w:tc>
          <w:tcPr>
            <w:tcW w:w="852" w:type="dxa"/>
            <w:tcBorders>
              <w:top w:val="single" w:color="auto" w:sz="4" w:space="0"/>
              <w:left w:val="single" w:color="auto" w:sz="4" w:space="0"/>
              <w:bottom w:val="single" w:color="auto" w:sz="4" w:space="0"/>
            </w:tcBorders>
            <w:vAlign w:val="center"/>
          </w:tcPr>
          <w:p w14:paraId="6A1DB4EE">
            <w:pPr>
              <w:jc w:val="center"/>
              <w:rPr>
                <w:rFonts w:eastAsia="楷体_GB2312"/>
                <w:sz w:val="18"/>
                <w:szCs w:val="18"/>
              </w:rPr>
            </w:pPr>
            <w:r>
              <w:rPr>
                <w:rFonts w:eastAsia="楷体_GB2312"/>
                <w:b/>
                <w:sz w:val="18"/>
                <w:szCs w:val="18"/>
              </w:rPr>
              <w:t>占比</w:t>
            </w:r>
          </w:p>
        </w:tc>
        <w:tc>
          <w:tcPr>
            <w:tcW w:w="1299" w:type="dxa"/>
            <w:gridSpan w:val="2"/>
            <w:tcBorders>
              <w:top w:val="single" w:color="auto" w:sz="4" w:space="0"/>
              <w:left w:val="single" w:color="auto" w:sz="4" w:space="0"/>
              <w:bottom w:val="single" w:color="auto" w:sz="4" w:space="0"/>
            </w:tcBorders>
            <w:vAlign w:val="center"/>
          </w:tcPr>
          <w:p w14:paraId="10B2FFFB">
            <w:pPr>
              <w:jc w:val="center"/>
              <w:rPr>
                <w:rFonts w:eastAsia="楷体_GB2312"/>
                <w:sz w:val="18"/>
                <w:szCs w:val="18"/>
              </w:rPr>
            </w:pPr>
            <w:r>
              <w:rPr>
                <w:rFonts w:eastAsia="楷体_GB2312"/>
                <w:b/>
                <w:sz w:val="18"/>
                <w:szCs w:val="18"/>
              </w:rPr>
              <w:t>未偿本金余额</w:t>
            </w:r>
          </w:p>
        </w:tc>
        <w:tc>
          <w:tcPr>
            <w:tcW w:w="975" w:type="dxa"/>
            <w:tcBorders>
              <w:top w:val="single" w:color="auto" w:sz="4" w:space="0"/>
              <w:left w:val="single" w:color="auto" w:sz="4" w:space="0"/>
              <w:bottom w:val="single" w:color="auto" w:sz="4" w:space="0"/>
            </w:tcBorders>
            <w:vAlign w:val="center"/>
          </w:tcPr>
          <w:p w14:paraId="3E12FAC7">
            <w:pPr>
              <w:jc w:val="center"/>
              <w:rPr>
                <w:rFonts w:eastAsia="楷体_GB2312"/>
                <w:sz w:val="18"/>
                <w:szCs w:val="18"/>
              </w:rPr>
            </w:pPr>
            <w:r>
              <w:rPr>
                <w:rFonts w:eastAsia="楷体_GB2312"/>
                <w:b/>
                <w:sz w:val="18"/>
                <w:szCs w:val="18"/>
              </w:rPr>
              <w:t>占比</w:t>
            </w:r>
          </w:p>
        </w:tc>
      </w:tr>
      <w:tr w14:paraId="649F87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14D1ED2E">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5484C92A">
            <w:pPr>
              <w:rPr>
                <w:rFonts w:eastAsia="楷体_GB2312"/>
                <w:sz w:val="18"/>
                <w:szCs w:val="18"/>
              </w:rPr>
            </w:pPr>
          </w:p>
        </w:tc>
        <w:tc>
          <w:tcPr>
            <w:tcW w:w="881" w:type="dxa"/>
            <w:tcBorders>
              <w:top w:val="single" w:color="auto" w:sz="4" w:space="0"/>
              <w:left w:val="single" w:color="auto" w:sz="4" w:space="0"/>
              <w:bottom w:val="single" w:color="auto" w:sz="4" w:space="0"/>
            </w:tcBorders>
          </w:tcPr>
          <w:p w14:paraId="052626BB">
            <w:pPr>
              <w:rPr>
                <w:rFonts w:eastAsia="楷体_GB2312"/>
                <w:sz w:val="18"/>
                <w:szCs w:val="18"/>
              </w:rPr>
            </w:pPr>
          </w:p>
        </w:tc>
        <w:tc>
          <w:tcPr>
            <w:tcW w:w="856" w:type="dxa"/>
            <w:tcBorders>
              <w:top w:val="single" w:color="auto" w:sz="4" w:space="0"/>
              <w:left w:val="single" w:color="auto" w:sz="4" w:space="0"/>
              <w:bottom w:val="single" w:color="auto" w:sz="4" w:space="0"/>
            </w:tcBorders>
          </w:tcPr>
          <w:p w14:paraId="23A87893">
            <w:pPr>
              <w:rPr>
                <w:rFonts w:eastAsia="楷体_GB2312"/>
                <w:sz w:val="18"/>
                <w:szCs w:val="18"/>
              </w:rPr>
            </w:pPr>
          </w:p>
        </w:tc>
        <w:tc>
          <w:tcPr>
            <w:tcW w:w="852" w:type="dxa"/>
            <w:tcBorders>
              <w:top w:val="single" w:color="auto" w:sz="4" w:space="0"/>
              <w:left w:val="single" w:color="auto" w:sz="4" w:space="0"/>
              <w:bottom w:val="single" w:color="auto" w:sz="4" w:space="0"/>
            </w:tcBorders>
          </w:tcPr>
          <w:p w14:paraId="1126726D">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0B007CF8">
            <w:pPr>
              <w:rPr>
                <w:rFonts w:eastAsia="楷体_GB2312"/>
                <w:sz w:val="18"/>
                <w:szCs w:val="18"/>
              </w:rPr>
            </w:pPr>
          </w:p>
        </w:tc>
        <w:tc>
          <w:tcPr>
            <w:tcW w:w="975" w:type="dxa"/>
            <w:tcBorders>
              <w:top w:val="single" w:color="auto" w:sz="4" w:space="0"/>
              <w:left w:val="single" w:color="auto" w:sz="4" w:space="0"/>
              <w:bottom w:val="single" w:color="auto" w:sz="4" w:space="0"/>
            </w:tcBorders>
          </w:tcPr>
          <w:p w14:paraId="2CC6E081">
            <w:pPr>
              <w:rPr>
                <w:rFonts w:eastAsia="楷体_GB2312"/>
                <w:sz w:val="18"/>
                <w:szCs w:val="18"/>
              </w:rPr>
            </w:pPr>
          </w:p>
        </w:tc>
      </w:tr>
      <w:tr w14:paraId="6BCF6B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5718ADBC">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68CDF2EA">
            <w:pPr>
              <w:rPr>
                <w:rFonts w:eastAsia="楷体_GB2312"/>
                <w:sz w:val="18"/>
                <w:szCs w:val="18"/>
              </w:rPr>
            </w:pPr>
          </w:p>
        </w:tc>
        <w:tc>
          <w:tcPr>
            <w:tcW w:w="881" w:type="dxa"/>
            <w:tcBorders>
              <w:top w:val="single" w:color="auto" w:sz="4" w:space="0"/>
              <w:left w:val="single" w:color="auto" w:sz="4" w:space="0"/>
              <w:bottom w:val="single" w:color="auto" w:sz="4" w:space="0"/>
            </w:tcBorders>
          </w:tcPr>
          <w:p w14:paraId="3FECF13F">
            <w:pPr>
              <w:rPr>
                <w:rFonts w:eastAsia="楷体_GB2312"/>
                <w:sz w:val="18"/>
                <w:szCs w:val="18"/>
              </w:rPr>
            </w:pPr>
          </w:p>
        </w:tc>
        <w:tc>
          <w:tcPr>
            <w:tcW w:w="856" w:type="dxa"/>
            <w:tcBorders>
              <w:top w:val="single" w:color="auto" w:sz="4" w:space="0"/>
              <w:left w:val="single" w:color="auto" w:sz="4" w:space="0"/>
              <w:bottom w:val="single" w:color="auto" w:sz="4" w:space="0"/>
            </w:tcBorders>
          </w:tcPr>
          <w:p w14:paraId="7FEFC97C">
            <w:pPr>
              <w:rPr>
                <w:rFonts w:eastAsia="楷体_GB2312"/>
                <w:sz w:val="18"/>
                <w:szCs w:val="18"/>
              </w:rPr>
            </w:pPr>
          </w:p>
        </w:tc>
        <w:tc>
          <w:tcPr>
            <w:tcW w:w="852" w:type="dxa"/>
            <w:tcBorders>
              <w:top w:val="single" w:color="auto" w:sz="4" w:space="0"/>
              <w:left w:val="single" w:color="auto" w:sz="4" w:space="0"/>
              <w:bottom w:val="single" w:color="auto" w:sz="4" w:space="0"/>
            </w:tcBorders>
          </w:tcPr>
          <w:p w14:paraId="2D11A4D1">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18ECA8B1">
            <w:pPr>
              <w:rPr>
                <w:rFonts w:eastAsia="楷体_GB2312"/>
                <w:sz w:val="18"/>
                <w:szCs w:val="18"/>
              </w:rPr>
            </w:pPr>
          </w:p>
        </w:tc>
        <w:tc>
          <w:tcPr>
            <w:tcW w:w="975" w:type="dxa"/>
            <w:tcBorders>
              <w:top w:val="single" w:color="auto" w:sz="4" w:space="0"/>
              <w:left w:val="single" w:color="auto" w:sz="4" w:space="0"/>
              <w:bottom w:val="single" w:color="auto" w:sz="4" w:space="0"/>
            </w:tcBorders>
          </w:tcPr>
          <w:p w14:paraId="4A103BB5">
            <w:pPr>
              <w:rPr>
                <w:rFonts w:eastAsia="楷体_GB2312"/>
                <w:sz w:val="18"/>
                <w:szCs w:val="18"/>
              </w:rPr>
            </w:pPr>
          </w:p>
        </w:tc>
      </w:tr>
      <w:tr w14:paraId="4D8CEE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1" w:type="dxa"/>
            <w:gridSpan w:val="9"/>
            <w:tcBorders>
              <w:top w:val="single" w:color="auto" w:sz="4" w:space="0"/>
              <w:bottom w:val="single" w:color="auto" w:sz="4" w:space="0"/>
            </w:tcBorders>
            <w:vAlign w:val="center"/>
          </w:tcPr>
          <w:p w14:paraId="0F599BFB">
            <w:pPr>
              <w:rPr>
                <w:rFonts w:eastAsia="楷体_GB2312"/>
                <w:sz w:val="18"/>
                <w:szCs w:val="18"/>
              </w:rPr>
            </w:pPr>
          </w:p>
          <w:p w14:paraId="7BC19C0F">
            <w:pPr>
              <w:rPr>
                <w:rFonts w:eastAsia="楷体_GB2312"/>
                <w:sz w:val="18"/>
                <w:szCs w:val="18"/>
                <w:lang w:eastAsia="zh-CN"/>
              </w:rPr>
            </w:pPr>
            <w:r>
              <w:rPr>
                <w:rFonts w:eastAsia="楷体_GB2312"/>
                <w:b/>
                <w:lang w:eastAsia="zh-CN"/>
              </w:rPr>
              <w:t>2、收入分布</w:t>
            </w:r>
          </w:p>
        </w:tc>
      </w:tr>
      <w:tr w14:paraId="2BA276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restart"/>
            <w:tcBorders>
              <w:top w:val="single" w:color="auto" w:sz="4" w:space="0"/>
              <w:right w:val="single" w:color="auto" w:sz="4" w:space="0"/>
            </w:tcBorders>
            <w:vAlign w:val="center"/>
          </w:tcPr>
          <w:p w14:paraId="329DD2F7">
            <w:pPr>
              <w:jc w:val="center"/>
              <w:rPr>
                <w:rFonts w:eastAsia="楷体_GB2312"/>
                <w:sz w:val="18"/>
              </w:rPr>
            </w:pPr>
            <w:r>
              <w:rPr>
                <w:rFonts w:eastAsia="楷体_GB2312"/>
                <w:b/>
                <w:bCs/>
                <w:sz w:val="18"/>
              </w:rPr>
              <w:t>收入</w:t>
            </w:r>
          </w:p>
        </w:tc>
        <w:tc>
          <w:tcPr>
            <w:tcW w:w="1847" w:type="dxa"/>
            <w:gridSpan w:val="3"/>
            <w:tcBorders>
              <w:top w:val="single" w:color="auto" w:sz="4" w:space="0"/>
              <w:left w:val="single" w:color="auto" w:sz="4" w:space="0"/>
              <w:bottom w:val="single" w:color="auto" w:sz="4" w:space="0"/>
            </w:tcBorders>
            <w:vAlign w:val="center"/>
          </w:tcPr>
          <w:p w14:paraId="6BB317E8">
            <w:pPr>
              <w:jc w:val="center"/>
              <w:rPr>
                <w:rFonts w:eastAsia="楷体_GB2312"/>
                <w:sz w:val="18"/>
                <w:szCs w:val="18"/>
              </w:rPr>
            </w:pPr>
            <w:r>
              <w:rPr>
                <w:rFonts w:eastAsia="楷体_GB2312"/>
                <w:b/>
                <w:sz w:val="18"/>
                <w:szCs w:val="18"/>
              </w:rPr>
              <w:t>初始起算日</w:t>
            </w:r>
          </w:p>
        </w:tc>
        <w:tc>
          <w:tcPr>
            <w:tcW w:w="1708" w:type="dxa"/>
            <w:gridSpan w:val="2"/>
            <w:tcBorders>
              <w:top w:val="single" w:color="auto" w:sz="4" w:space="0"/>
              <w:left w:val="single" w:color="auto" w:sz="4" w:space="0"/>
              <w:bottom w:val="single" w:color="auto" w:sz="4" w:space="0"/>
            </w:tcBorders>
            <w:vAlign w:val="center"/>
          </w:tcPr>
          <w:p w14:paraId="50A918BD">
            <w:pPr>
              <w:jc w:val="center"/>
              <w:rPr>
                <w:rFonts w:eastAsia="楷体_GB2312"/>
                <w:sz w:val="18"/>
                <w:szCs w:val="18"/>
              </w:rPr>
            </w:pPr>
            <w:r>
              <w:rPr>
                <w:rFonts w:eastAsia="楷体_GB2312"/>
                <w:b/>
                <w:sz w:val="18"/>
                <w:szCs w:val="18"/>
              </w:rPr>
              <w:t>上一</w:t>
            </w:r>
            <w:r>
              <w:rPr>
                <w:rFonts w:eastAsia="楷体_GB2312"/>
                <w:b/>
                <w:sz w:val="18"/>
                <w:szCs w:val="18"/>
                <w:lang w:eastAsia="zh-CN"/>
              </w:rPr>
              <w:t>报告</w:t>
            </w:r>
            <w:r>
              <w:rPr>
                <w:rFonts w:eastAsia="楷体_GB2312"/>
                <w:b/>
                <w:sz w:val="18"/>
                <w:szCs w:val="18"/>
              </w:rPr>
              <w:t>期末</w:t>
            </w:r>
          </w:p>
        </w:tc>
        <w:tc>
          <w:tcPr>
            <w:tcW w:w="2274" w:type="dxa"/>
            <w:gridSpan w:val="3"/>
            <w:tcBorders>
              <w:top w:val="single" w:color="auto" w:sz="4" w:space="0"/>
              <w:left w:val="single" w:color="auto" w:sz="4" w:space="0"/>
              <w:bottom w:val="single" w:color="auto" w:sz="4" w:space="0"/>
            </w:tcBorders>
            <w:vAlign w:val="center"/>
          </w:tcPr>
          <w:p w14:paraId="0226F570">
            <w:pPr>
              <w:jc w:val="center"/>
              <w:rPr>
                <w:rFonts w:eastAsia="楷体_GB2312"/>
                <w:sz w:val="18"/>
                <w:szCs w:val="18"/>
              </w:rPr>
            </w:pPr>
            <w:r>
              <w:rPr>
                <w:rFonts w:eastAsia="楷体_GB2312"/>
                <w:b/>
                <w:sz w:val="18"/>
                <w:szCs w:val="18"/>
              </w:rPr>
              <w:t>本</w:t>
            </w:r>
            <w:r>
              <w:rPr>
                <w:rFonts w:eastAsia="楷体_GB2312"/>
                <w:b/>
                <w:sz w:val="18"/>
                <w:szCs w:val="18"/>
                <w:lang w:eastAsia="zh-CN"/>
              </w:rPr>
              <w:t>报告</w:t>
            </w:r>
            <w:r>
              <w:rPr>
                <w:rFonts w:eastAsia="楷体_GB2312"/>
                <w:b/>
                <w:sz w:val="18"/>
                <w:szCs w:val="18"/>
              </w:rPr>
              <w:t>期末</w:t>
            </w:r>
          </w:p>
        </w:tc>
      </w:tr>
      <w:tr w14:paraId="3AB908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continue"/>
            <w:tcBorders>
              <w:bottom w:val="single" w:color="auto" w:sz="4" w:space="0"/>
              <w:right w:val="single" w:color="auto" w:sz="4" w:space="0"/>
            </w:tcBorders>
            <w:vAlign w:val="center"/>
          </w:tcPr>
          <w:p w14:paraId="12B9F0AB">
            <w:pPr>
              <w:jc w:val="center"/>
              <w:rPr>
                <w:rFonts w:eastAsia="楷体_GB2312"/>
                <w:sz w:val="18"/>
              </w:rPr>
            </w:pPr>
          </w:p>
        </w:tc>
        <w:tc>
          <w:tcPr>
            <w:tcW w:w="966" w:type="dxa"/>
            <w:gridSpan w:val="2"/>
            <w:tcBorders>
              <w:top w:val="single" w:color="auto" w:sz="4" w:space="0"/>
              <w:left w:val="single" w:color="auto" w:sz="4" w:space="0"/>
              <w:bottom w:val="single" w:color="auto" w:sz="4" w:space="0"/>
            </w:tcBorders>
            <w:vAlign w:val="center"/>
          </w:tcPr>
          <w:p w14:paraId="025296EF">
            <w:pPr>
              <w:jc w:val="center"/>
              <w:rPr>
                <w:rFonts w:eastAsia="楷体_GB2312"/>
                <w:sz w:val="18"/>
                <w:szCs w:val="18"/>
              </w:rPr>
            </w:pPr>
            <w:r>
              <w:rPr>
                <w:rFonts w:eastAsia="楷体_GB2312"/>
                <w:b/>
                <w:sz w:val="18"/>
                <w:szCs w:val="18"/>
              </w:rPr>
              <w:t>未偿本金余额</w:t>
            </w:r>
          </w:p>
        </w:tc>
        <w:tc>
          <w:tcPr>
            <w:tcW w:w="881" w:type="dxa"/>
            <w:tcBorders>
              <w:top w:val="single" w:color="auto" w:sz="4" w:space="0"/>
              <w:left w:val="single" w:color="auto" w:sz="4" w:space="0"/>
              <w:bottom w:val="single" w:color="auto" w:sz="4" w:space="0"/>
            </w:tcBorders>
            <w:vAlign w:val="center"/>
          </w:tcPr>
          <w:p w14:paraId="3574F4E4">
            <w:pPr>
              <w:jc w:val="center"/>
              <w:rPr>
                <w:rFonts w:eastAsia="楷体_GB2312"/>
                <w:sz w:val="18"/>
                <w:szCs w:val="18"/>
              </w:rPr>
            </w:pPr>
            <w:r>
              <w:rPr>
                <w:rFonts w:eastAsia="楷体_GB2312"/>
                <w:b/>
                <w:sz w:val="18"/>
                <w:szCs w:val="18"/>
              </w:rPr>
              <w:t>占比</w:t>
            </w:r>
          </w:p>
        </w:tc>
        <w:tc>
          <w:tcPr>
            <w:tcW w:w="856" w:type="dxa"/>
            <w:tcBorders>
              <w:top w:val="single" w:color="auto" w:sz="4" w:space="0"/>
              <w:left w:val="single" w:color="auto" w:sz="4" w:space="0"/>
              <w:bottom w:val="single" w:color="auto" w:sz="4" w:space="0"/>
            </w:tcBorders>
            <w:vAlign w:val="center"/>
          </w:tcPr>
          <w:p w14:paraId="62E38CCB">
            <w:pPr>
              <w:jc w:val="center"/>
              <w:rPr>
                <w:rFonts w:eastAsia="楷体_GB2312"/>
                <w:sz w:val="18"/>
                <w:szCs w:val="18"/>
              </w:rPr>
            </w:pPr>
            <w:r>
              <w:rPr>
                <w:rFonts w:eastAsia="楷体_GB2312"/>
                <w:b/>
                <w:sz w:val="18"/>
                <w:szCs w:val="18"/>
              </w:rPr>
              <w:t>未偿本金余额</w:t>
            </w:r>
          </w:p>
        </w:tc>
        <w:tc>
          <w:tcPr>
            <w:tcW w:w="852" w:type="dxa"/>
            <w:tcBorders>
              <w:top w:val="single" w:color="auto" w:sz="4" w:space="0"/>
              <w:left w:val="single" w:color="auto" w:sz="4" w:space="0"/>
              <w:bottom w:val="single" w:color="auto" w:sz="4" w:space="0"/>
            </w:tcBorders>
            <w:vAlign w:val="center"/>
          </w:tcPr>
          <w:p w14:paraId="4E9D40E8">
            <w:pPr>
              <w:jc w:val="center"/>
              <w:rPr>
                <w:rFonts w:eastAsia="楷体_GB2312"/>
                <w:sz w:val="18"/>
                <w:szCs w:val="18"/>
              </w:rPr>
            </w:pPr>
            <w:r>
              <w:rPr>
                <w:rFonts w:eastAsia="楷体_GB2312"/>
                <w:b/>
                <w:sz w:val="18"/>
                <w:szCs w:val="18"/>
              </w:rPr>
              <w:t>占比</w:t>
            </w:r>
          </w:p>
        </w:tc>
        <w:tc>
          <w:tcPr>
            <w:tcW w:w="1299" w:type="dxa"/>
            <w:gridSpan w:val="2"/>
            <w:tcBorders>
              <w:top w:val="single" w:color="auto" w:sz="4" w:space="0"/>
              <w:left w:val="single" w:color="auto" w:sz="4" w:space="0"/>
              <w:bottom w:val="single" w:color="auto" w:sz="4" w:space="0"/>
            </w:tcBorders>
            <w:vAlign w:val="center"/>
          </w:tcPr>
          <w:p w14:paraId="01CFD31C">
            <w:pPr>
              <w:jc w:val="center"/>
              <w:rPr>
                <w:rFonts w:eastAsia="楷体_GB2312"/>
                <w:sz w:val="18"/>
                <w:szCs w:val="18"/>
              </w:rPr>
            </w:pPr>
            <w:r>
              <w:rPr>
                <w:rFonts w:eastAsia="楷体_GB2312"/>
                <w:b/>
                <w:sz w:val="18"/>
                <w:szCs w:val="18"/>
              </w:rPr>
              <w:t>未偿本金余额</w:t>
            </w:r>
          </w:p>
        </w:tc>
        <w:tc>
          <w:tcPr>
            <w:tcW w:w="975" w:type="dxa"/>
            <w:tcBorders>
              <w:top w:val="single" w:color="auto" w:sz="4" w:space="0"/>
              <w:left w:val="single" w:color="auto" w:sz="4" w:space="0"/>
              <w:bottom w:val="single" w:color="auto" w:sz="4" w:space="0"/>
            </w:tcBorders>
            <w:vAlign w:val="center"/>
          </w:tcPr>
          <w:p w14:paraId="1CE28FF2">
            <w:pPr>
              <w:jc w:val="center"/>
              <w:rPr>
                <w:rFonts w:eastAsia="楷体_GB2312"/>
                <w:sz w:val="18"/>
                <w:szCs w:val="18"/>
              </w:rPr>
            </w:pPr>
            <w:r>
              <w:rPr>
                <w:rFonts w:eastAsia="楷体_GB2312"/>
                <w:b/>
                <w:sz w:val="18"/>
                <w:szCs w:val="18"/>
              </w:rPr>
              <w:t>占比</w:t>
            </w:r>
          </w:p>
        </w:tc>
      </w:tr>
      <w:tr w14:paraId="777516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677FD366">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2DDDEC10">
            <w:pPr>
              <w:rPr>
                <w:rFonts w:eastAsia="楷体_GB2312"/>
                <w:sz w:val="18"/>
                <w:szCs w:val="18"/>
              </w:rPr>
            </w:pPr>
          </w:p>
        </w:tc>
        <w:tc>
          <w:tcPr>
            <w:tcW w:w="881" w:type="dxa"/>
            <w:tcBorders>
              <w:top w:val="single" w:color="auto" w:sz="4" w:space="0"/>
              <w:left w:val="single" w:color="auto" w:sz="4" w:space="0"/>
              <w:bottom w:val="single" w:color="auto" w:sz="4" w:space="0"/>
            </w:tcBorders>
          </w:tcPr>
          <w:p w14:paraId="35B5ECE4">
            <w:pPr>
              <w:rPr>
                <w:rFonts w:eastAsia="楷体_GB2312"/>
                <w:sz w:val="18"/>
                <w:szCs w:val="18"/>
              </w:rPr>
            </w:pPr>
          </w:p>
        </w:tc>
        <w:tc>
          <w:tcPr>
            <w:tcW w:w="856" w:type="dxa"/>
            <w:tcBorders>
              <w:top w:val="single" w:color="auto" w:sz="4" w:space="0"/>
              <w:left w:val="single" w:color="auto" w:sz="4" w:space="0"/>
              <w:bottom w:val="single" w:color="auto" w:sz="4" w:space="0"/>
            </w:tcBorders>
          </w:tcPr>
          <w:p w14:paraId="1F4DC0D2">
            <w:pPr>
              <w:rPr>
                <w:rFonts w:eastAsia="楷体_GB2312"/>
                <w:sz w:val="18"/>
                <w:szCs w:val="18"/>
              </w:rPr>
            </w:pPr>
          </w:p>
        </w:tc>
        <w:tc>
          <w:tcPr>
            <w:tcW w:w="852" w:type="dxa"/>
            <w:tcBorders>
              <w:top w:val="single" w:color="auto" w:sz="4" w:space="0"/>
              <w:left w:val="single" w:color="auto" w:sz="4" w:space="0"/>
              <w:bottom w:val="single" w:color="auto" w:sz="4" w:space="0"/>
            </w:tcBorders>
          </w:tcPr>
          <w:p w14:paraId="04EAF18A">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4440E5EB">
            <w:pPr>
              <w:rPr>
                <w:rFonts w:eastAsia="楷体_GB2312"/>
                <w:sz w:val="18"/>
                <w:szCs w:val="18"/>
              </w:rPr>
            </w:pPr>
          </w:p>
        </w:tc>
        <w:tc>
          <w:tcPr>
            <w:tcW w:w="975" w:type="dxa"/>
            <w:tcBorders>
              <w:top w:val="single" w:color="auto" w:sz="4" w:space="0"/>
              <w:left w:val="single" w:color="auto" w:sz="4" w:space="0"/>
              <w:bottom w:val="single" w:color="auto" w:sz="4" w:space="0"/>
            </w:tcBorders>
          </w:tcPr>
          <w:p w14:paraId="08C13759">
            <w:pPr>
              <w:rPr>
                <w:rFonts w:eastAsia="楷体_GB2312"/>
                <w:sz w:val="18"/>
                <w:szCs w:val="18"/>
              </w:rPr>
            </w:pPr>
          </w:p>
        </w:tc>
      </w:tr>
      <w:tr w14:paraId="6B1EE8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61DB6D20">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39F64941">
            <w:pPr>
              <w:rPr>
                <w:rFonts w:eastAsia="楷体_GB2312"/>
                <w:sz w:val="18"/>
                <w:szCs w:val="18"/>
              </w:rPr>
            </w:pPr>
          </w:p>
        </w:tc>
        <w:tc>
          <w:tcPr>
            <w:tcW w:w="881" w:type="dxa"/>
            <w:tcBorders>
              <w:top w:val="single" w:color="auto" w:sz="4" w:space="0"/>
              <w:left w:val="single" w:color="auto" w:sz="4" w:space="0"/>
              <w:bottom w:val="single" w:color="auto" w:sz="4" w:space="0"/>
            </w:tcBorders>
          </w:tcPr>
          <w:p w14:paraId="38651A48">
            <w:pPr>
              <w:rPr>
                <w:rFonts w:eastAsia="楷体_GB2312"/>
                <w:sz w:val="18"/>
                <w:szCs w:val="18"/>
              </w:rPr>
            </w:pPr>
          </w:p>
        </w:tc>
        <w:tc>
          <w:tcPr>
            <w:tcW w:w="856" w:type="dxa"/>
            <w:tcBorders>
              <w:top w:val="single" w:color="auto" w:sz="4" w:space="0"/>
              <w:left w:val="single" w:color="auto" w:sz="4" w:space="0"/>
              <w:bottom w:val="single" w:color="auto" w:sz="4" w:space="0"/>
            </w:tcBorders>
          </w:tcPr>
          <w:p w14:paraId="19AE0391">
            <w:pPr>
              <w:rPr>
                <w:rFonts w:eastAsia="楷体_GB2312"/>
                <w:sz w:val="18"/>
                <w:szCs w:val="18"/>
              </w:rPr>
            </w:pPr>
          </w:p>
        </w:tc>
        <w:tc>
          <w:tcPr>
            <w:tcW w:w="852" w:type="dxa"/>
            <w:tcBorders>
              <w:top w:val="single" w:color="auto" w:sz="4" w:space="0"/>
              <w:left w:val="single" w:color="auto" w:sz="4" w:space="0"/>
              <w:bottom w:val="single" w:color="auto" w:sz="4" w:space="0"/>
            </w:tcBorders>
          </w:tcPr>
          <w:p w14:paraId="43CB891F">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725853FC">
            <w:pPr>
              <w:rPr>
                <w:rFonts w:eastAsia="楷体_GB2312"/>
                <w:sz w:val="18"/>
                <w:szCs w:val="18"/>
              </w:rPr>
            </w:pPr>
          </w:p>
        </w:tc>
        <w:tc>
          <w:tcPr>
            <w:tcW w:w="975" w:type="dxa"/>
            <w:tcBorders>
              <w:top w:val="single" w:color="auto" w:sz="4" w:space="0"/>
              <w:left w:val="single" w:color="auto" w:sz="4" w:space="0"/>
              <w:bottom w:val="single" w:color="auto" w:sz="4" w:space="0"/>
            </w:tcBorders>
          </w:tcPr>
          <w:p w14:paraId="419ACFB3">
            <w:pPr>
              <w:rPr>
                <w:rFonts w:eastAsia="楷体_GB2312"/>
                <w:sz w:val="18"/>
                <w:szCs w:val="18"/>
              </w:rPr>
            </w:pPr>
          </w:p>
        </w:tc>
      </w:tr>
      <w:tr w14:paraId="6A0FE1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1" w:type="dxa"/>
            <w:gridSpan w:val="9"/>
            <w:tcBorders>
              <w:top w:val="single" w:color="auto" w:sz="4" w:space="0"/>
              <w:bottom w:val="single" w:color="auto" w:sz="4" w:space="0"/>
            </w:tcBorders>
            <w:vAlign w:val="center"/>
          </w:tcPr>
          <w:p w14:paraId="1BC10AD7">
            <w:pPr>
              <w:rPr>
                <w:rFonts w:eastAsia="楷体_GB2312"/>
                <w:sz w:val="18"/>
                <w:szCs w:val="18"/>
              </w:rPr>
            </w:pPr>
          </w:p>
          <w:p w14:paraId="57C98C15">
            <w:pPr>
              <w:rPr>
                <w:rFonts w:eastAsia="楷体_GB2312"/>
                <w:sz w:val="18"/>
                <w:szCs w:val="18"/>
                <w:lang w:eastAsia="zh-CN"/>
              </w:rPr>
            </w:pPr>
            <w:r>
              <w:rPr>
                <w:rFonts w:eastAsia="楷体_GB2312"/>
                <w:b/>
                <w:lang w:eastAsia="zh-CN"/>
              </w:rPr>
              <w:t>3、职业分布</w:t>
            </w:r>
          </w:p>
        </w:tc>
      </w:tr>
      <w:tr w14:paraId="2E57C8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restart"/>
            <w:tcBorders>
              <w:top w:val="single" w:color="auto" w:sz="4" w:space="0"/>
              <w:right w:val="single" w:color="auto" w:sz="4" w:space="0"/>
            </w:tcBorders>
            <w:vAlign w:val="center"/>
          </w:tcPr>
          <w:p w14:paraId="7E46720C">
            <w:pPr>
              <w:jc w:val="center"/>
              <w:rPr>
                <w:rFonts w:eastAsia="楷体_GB2312"/>
                <w:sz w:val="18"/>
              </w:rPr>
            </w:pPr>
            <w:r>
              <w:rPr>
                <w:rFonts w:eastAsia="楷体_GB2312"/>
                <w:b/>
                <w:bCs/>
                <w:sz w:val="18"/>
              </w:rPr>
              <w:t>职业</w:t>
            </w:r>
          </w:p>
        </w:tc>
        <w:tc>
          <w:tcPr>
            <w:tcW w:w="1847" w:type="dxa"/>
            <w:gridSpan w:val="3"/>
            <w:tcBorders>
              <w:top w:val="single" w:color="auto" w:sz="4" w:space="0"/>
              <w:left w:val="single" w:color="auto" w:sz="4" w:space="0"/>
              <w:bottom w:val="single" w:color="auto" w:sz="4" w:space="0"/>
            </w:tcBorders>
            <w:vAlign w:val="center"/>
          </w:tcPr>
          <w:p w14:paraId="6F922374">
            <w:pPr>
              <w:jc w:val="center"/>
              <w:rPr>
                <w:rFonts w:eastAsia="楷体_GB2312"/>
                <w:sz w:val="18"/>
                <w:szCs w:val="18"/>
              </w:rPr>
            </w:pPr>
            <w:r>
              <w:rPr>
                <w:rFonts w:eastAsia="楷体_GB2312"/>
                <w:b/>
                <w:sz w:val="18"/>
                <w:szCs w:val="18"/>
              </w:rPr>
              <w:t>初始起算日</w:t>
            </w:r>
          </w:p>
        </w:tc>
        <w:tc>
          <w:tcPr>
            <w:tcW w:w="1708" w:type="dxa"/>
            <w:gridSpan w:val="2"/>
            <w:tcBorders>
              <w:top w:val="single" w:color="auto" w:sz="4" w:space="0"/>
              <w:left w:val="single" w:color="auto" w:sz="4" w:space="0"/>
              <w:bottom w:val="single" w:color="auto" w:sz="4" w:space="0"/>
            </w:tcBorders>
            <w:vAlign w:val="center"/>
          </w:tcPr>
          <w:p w14:paraId="546704F6">
            <w:pPr>
              <w:jc w:val="center"/>
              <w:rPr>
                <w:rFonts w:eastAsia="楷体_GB2312"/>
                <w:sz w:val="18"/>
                <w:szCs w:val="18"/>
              </w:rPr>
            </w:pPr>
            <w:r>
              <w:rPr>
                <w:rFonts w:eastAsia="楷体_GB2312"/>
                <w:b/>
                <w:sz w:val="18"/>
                <w:szCs w:val="18"/>
              </w:rPr>
              <w:t>上一</w:t>
            </w:r>
            <w:r>
              <w:rPr>
                <w:rFonts w:eastAsia="楷体_GB2312"/>
                <w:b/>
                <w:sz w:val="18"/>
                <w:szCs w:val="18"/>
                <w:lang w:eastAsia="zh-CN"/>
              </w:rPr>
              <w:t>报告</w:t>
            </w:r>
            <w:r>
              <w:rPr>
                <w:rFonts w:eastAsia="楷体_GB2312"/>
                <w:b/>
                <w:sz w:val="18"/>
                <w:szCs w:val="18"/>
              </w:rPr>
              <w:t>期末</w:t>
            </w:r>
          </w:p>
        </w:tc>
        <w:tc>
          <w:tcPr>
            <w:tcW w:w="2274" w:type="dxa"/>
            <w:gridSpan w:val="3"/>
            <w:tcBorders>
              <w:top w:val="single" w:color="auto" w:sz="4" w:space="0"/>
              <w:left w:val="single" w:color="auto" w:sz="4" w:space="0"/>
              <w:bottom w:val="single" w:color="auto" w:sz="4" w:space="0"/>
            </w:tcBorders>
            <w:vAlign w:val="center"/>
          </w:tcPr>
          <w:p w14:paraId="0F3639E5">
            <w:pPr>
              <w:jc w:val="center"/>
              <w:rPr>
                <w:rFonts w:eastAsia="楷体_GB2312"/>
                <w:sz w:val="18"/>
                <w:szCs w:val="18"/>
              </w:rPr>
            </w:pPr>
            <w:r>
              <w:rPr>
                <w:rFonts w:eastAsia="楷体_GB2312"/>
                <w:b/>
                <w:sz w:val="18"/>
                <w:szCs w:val="18"/>
              </w:rPr>
              <w:t>本</w:t>
            </w:r>
            <w:r>
              <w:rPr>
                <w:rFonts w:eastAsia="楷体_GB2312"/>
                <w:b/>
                <w:sz w:val="18"/>
                <w:szCs w:val="18"/>
                <w:lang w:eastAsia="zh-CN"/>
              </w:rPr>
              <w:t>报告</w:t>
            </w:r>
            <w:r>
              <w:rPr>
                <w:rFonts w:eastAsia="楷体_GB2312"/>
                <w:b/>
                <w:sz w:val="18"/>
                <w:szCs w:val="18"/>
              </w:rPr>
              <w:t>期末</w:t>
            </w:r>
          </w:p>
        </w:tc>
      </w:tr>
      <w:tr w14:paraId="37CEDC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continue"/>
            <w:tcBorders>
              <w:bottom w:val="single" w:color="auto" w:sz="4" w:space="0"/>
              <w:right w:val="single" w:color="auto" w:sz="4" w:space="0"/>
            </w:tcBorders>
            <w:vAlign w:val="center"/>
          </w:tcPr>
          <w:p w14:paraId="78B6AD0E">
            <w:pPr>
              <w:jc w:val="center"/>
              <w:rPr>
                <w:rFonts w:eastAsia="楷体_GB2312"/>
                <w:sz w:val="18"/>
              </w:rPr>
            </w:pPr>
          </w:p>
        </w:tc>
        <w:tc>
          <w:tcPr>
            <w:tcW w:w="966" w:type="dxa"/>
            <w:gridSpan w:val="2"/>
            <w:tcBorders>
              <w:top w:val="single" w:color="auto" w:sz="4" w:space="0"/>
              <w:left w:val="single" w:color="auto" w:sz="4" w:space="0"/>
              <w:bottom w:val="single" w:color="auto" w:sz="4" w:space="0"/>
            </w:tcBorders>
            <w:vAlign w:val="center"/>
          </w:tcPr>
          <w:p w14:paraId="1319E361">
            <w:pPr>
              <w:jc w:val="center"/>
              <w:rPr>
                <w:rFonts w:eastAsia="楷体_GB2312"/>
                <w:sz w:val="18"/>
                <w:szCs w:val="18"/>
              </w:rPr>
            </w:pPr>
            <w:r>
              <w:rPr>
                <w:rFonts w:eastAsia="楷体_GB2312"/>
                <w:b/>
                <w:sz w:val="18"/>
                <w:szCs w:val="18"/>
              </w:rPr>
              <w:t>未偿本金余额</w:t>
            </w:r>
          </w:p>
        </w:tc>
        <w:tc>
          <w:tcPr>
            <w:tcW w:w="881" w:type="dxa"/>
            <w:tcBorders>
              <w:top w:val="single" w:color="auto" w:sz="4" w:space="0"/>
              <w:left w:val="single" w:color="auto" w:sz="4" w:space="0"/>
              <w:bottom w:val="single" w:color="auto" w:sz="4" w:space="0"/>
            </w:tcBorders>
            <w:vAlign w:val="center"/>
          </w:tcPr>
          <w:p w14:paraId="6334CC4A">
            <w:pPr>
              <w:jc w:val="center"/>
              <w:rPr>
                <w:rFonts w:eastAsia="楷体_GB2312"/>
                <w:sz w:val="18"/>
                <w:szCs w:val="18"/>
              </w:rPr>
            </w:pPr>
            <w:r>
              <w:rPr>
                <w:rFonts w:eastAsia="楷体_GB2312"/>
                <w:b/>
                <w:sz w:val="18"/>
                <w:szCs w:val="18"/>
              </w:rPr>
              <w:t>占比</w:t>
            </w:r>
          </w:p>
        </w:tc>
        <w:tc>
          <w:tcPr>
            <w:tcW w:w="856" w:type="dxa"/>
            <w:tcBorders>
              <w:top w:val="single" w:color="auto" w:sz="4" w:space="0"/>
              <w:left w:val="single" w:color="auto" w:sz="4" w:space="0"/>
              <w:bottom w:val="single" w:color="auto" w:sz="4" w:space="0"/>
            </w:tcBorders>
            <w:vAlign w:val="center"/>
          </w:tcPr>
          <w:p w14:paraId="7B8E1ABB">
            <w:pPr>
              <w:jc w:val="center"/>
              <w:rPr>
                <w:rFonts w:eastAsia="楷体_GB2312"/>
                <w:sz w:val="18"/>
                <w:szCs w:val="18"/>
              </w:rPr>
            </w:pPr>
            <w:r>
              <w:rPr>
                <w:rFonts w:eastAsia="楷体_GB2312"/>
                <w:b/>
                <w:sz w:val="18"/>
                <w:szCs w:val="18"/>
              </w:rPr>
              <w:t>未偿本金余额</w:t>
            </w:r>
          </w:p>
        </w:tc>
        <w:tc>
          <w:tcPr>
            <w:tcW w:w="852" w:type="dxa"/>
            <w:tcBorders>
              <w:top w:val="single" w:color="auto" w:sz="4" w:space="0"/>
              <w:left w:val="single" w:color="auto" w:sz="4" w:space="0"/>
              <w:bottom w:val="single" w:color="auto" w:sz="4" w:space="0"/>
            </w:tcBorders>
            <w:vAlign w:val="center"/>
          </w:tcPr>
          <w:p w14:paraId="15A46EB3">
            <w:pPr>
              <w:jc w:val="center"/>
              <w:rPr>
                <w:rFonts w:eastAsia="楷体_GB2312"/>
                <w:sz w:val="18"/>
                <w:szCs w:val="18"/>
              </w:rPr>
            </w:pPr>
            <w:r>
              <w:rPr>
                <w:rFonts w:eastAsia="楷体_GB2312"/>
                <w:b/>
                <w:sz w:val="18"/>
                <w:szCs w:val="18"/>
              </w:rPr>
              <w:t>占比</w:t>
            </w:r>
          </w:p>
        </w:tc>
        <w:tc>
          <w:tcPr>
            <w:tcW w:w="1299" w:type="dxa"/>
            <w:gridSpan w:val="2"/>
            <w:tcBorders>
              <w:top w:val="single" w:color="auto" w:sz="4" w:space="0"/>
              <w:left w:val="single" w:color="auto" w:sz="4" w:space="0"/>
              <w:bottom w:val="single" w:color="auto" w:sz="4" w:space="0"/>
            </w:tcBorders>
            <w:vAlign w:val="center"/>
          </w:tcPr>
          <w:p w14:paraId="603778C1">
            <w:pPr>
              <w:jc w:val="center"/>
              <w:rPr>
                <w:rFonts w:eastAsia="楷体_GB2312"/>
                <w:sz w:val="18"/>
                <w:szCs w:val="18"/>
              </w:rPr>
            </w:pPr>
            <w:r>
              <w:rPr>
                <w:rFonts w:eastAsia="楷体_GB2312"/>
                <w:b/>
                <w:sz w:val="18"/>
                <w:szCs w:val="18"/>
              </w:rPr>
              <w:t>未偿本金余额</w:t>
            </w:r>
          </w:p>
        </w:tc>
        <w:tc>
          <w:tcPr>
            <w:tcW w:w="975" w:type="dxa"/>
            <w:tcBorders>
              <w:top w:val="single" w:color="auto" w:sz="4" w:space="0"/>
              <w:left w:val="single" w:color="auto" w:sz="4" w:space="0"/>
              <w:bottom w:val="single" w:color="auto" w:sz="4" w:space="0"/>
            </w:tcBorders>
            <w:vAlign w:val="center"/>
          </w:tcPr>
          <w:p w14:paraId="4B207900">
            <w:pPr>
              <w:jc w:val="center"/>
              <w:rPr>
                <w:rFonts w:eastAsia="楷体_GB2312"/>
                <w:sz w:val="18"/>
                <w:szCs w:val="18"/>
              </w:rPr>
            </w:pPr>
            <w:r>
              <w:rPr>
                <w:rFonts w:eastAsia="楷体_GB2312"/>
                <w:b/>
                <w:sz w:val="18"/>
                <w:szCs w:val="18"/>
              </w:rPr>
              <w:t>占比</w:t>
            </w:r>
          </w:p>
        </w:tc>
      </w:tr>
      <w:tr w14:paraId="7D70BC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15F2C7FC">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1DEECA91">
            <w:pPr>
              <w:rPr>
                <w:rFonts w:eastAsia="楷体_GB2312"/>
                <w:sz w:val="18"/>
                <w:szCs w:val="18"/>
              </w:rPr>
            </w:pPr>
          </w:p>
        </w:tc>
        <w:tc>
          <w:tcPr>
            <w:tcW w:w="881" w:type="dxa"/>
            <w:tcBorders>
              <w:top w:val="single" w:color="auto" w:sz="4" w:space="0"/>
              <w:left w:val="single" w:color="auto" w:sz="4" w:space="0"/>
              <w:bottom w:val="single" w:color="auto" w:sz="4" w:space="0"/>
            </w:tcBorders>
          </w:tcPr>
          <w:p w14:paraId="6CDDE31B">
            <w:pPr>
              <w:rPr>
                <w:rFonts w:eastAsia="楷体_GB2312"/>
                <w:sz w:val="18"/>
                <w:szCs w:val="18"/>
              </w:rPr>
            </w:pPr>
          </w:p>
        </w:tc>
        <w:tc>
          <w:tcPr>
            <w:tcW w:w="856" w:type="dxa"/>
            <w:tcBorders>
              <w:top w:val="single" w:color="auto" w:sz="4" w:space="0"/>
              <w:left w:val="single" w:color="auto" w:sz="4" w:space="0"/>
              <w:bottom w:val="single" w:color="auto" w:sz="4" w:space="0"/>
            </w:tcBorders>
          </w:tcPr>
          <w:p w14:paraId="175E7920">
            <w:pPr>
              <w:rPr>
                <w:rFonts w:eastAsia="楷体_GB2312"/>
                <w:sz w:val="18"/>
                <w:szCs w:val="18"/>
              </w:rPr>
            </w:pPr>
          </w:p>
        </w:tc>
        <w:tc>
          <w:tcPr>
            <w:tcW w:w="852" w:type="dxa"/>
            <w:tcBorders>
              <w:top w:val="single" w:color="auto" w:sz="4" w:space="0"/>
              <w:left w:val="single" w:color="auto" w:sz="4" w:space="0"/>
              <w:bottom w:val="single" w:color="auto" w:sz="4" w:space="0"/>
            </w:tcBorders>
          </w:tcPr>
          <w:p w14:paraId="1E596CE9">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67B3E788">
            <w:pPr>
              <w:rPr>
                <w:rFonts w:eastAsia="楷体_GB2312"/>
                <w:sz w:val="18"/>
                <w:szCs w:val="18"/>
              </w:rPr>
            </w:pPr>
          </w:p>
        </w:tc>
        <w:tc>
          <w:tcPr>
            <w:tcW w:w="975" w:type="dxa"/>
            <w:tcBorders>
              <w:top w:val="single" w:color="auto" w:sz="4" w:space="0"/>
              <w:left w:val="single" w:color="auto" w:sz="4" w:space="0"/>
              <w:bottom w:val="single" w:color="auto" w:sz="4" w:space="0"/>
            </w:tcBorders>
          </w:tcPr>
          <w:p w14:paraId="7BC631C8">
            <w:pPr>
              <w:rPr>
                <w:rFonts w:eastAsia="楷体_GB2312"/>
                <w:sz w:val="18"/>
                <w:szCs w:val="18"/>
              </w:rPr>
            </w:pPr>
          </w:p>
        </w:tc>
      </w:tr>
      <w:tr w14:paraId="2CD72A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6901CA80">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04C27223">
            <w:pPr>
              <w:rPr>
                <w:rFonts w:eastAsia="楷体_GB2312"/>
                <w:sz w:val="18"/>
                <w:szCs w:val="18"/>
              </w:rPr>
            </w:pPr>
          </w:p>
        </w:tc>
        <w:tc>
          <w:tcPr>
            <w:tcW w:w="881" w:type="dxa"/>
            <w:tcBorders>
              <w:top w:val="single" w:color="auto" w:sz="4" w:space="0"/>
              <w:left w:val="single" w:color="auto" w:sz="4" w:space="0"/>
              <w:bottom w:val="single" w:color="auto" w:sz="4" w:space="0"/>
            </w:tcBorders>
          </w:tcPr>
          <w:p w14:paraId="32A14FD4">
            <w:pPr>
              <w:rPr>
                <w:rFonts w:eastAsia="楷体_GB2312"/>
                <w:sz w:val="18"/>
                <w:szCs w:val="18"/>
              </w:rPr>
            </w:pPr>
          </w:p>
        </w:tc>
        <w:tc>
          <w:tcPr>
            <w:tcW w:w="856" w:type="dxa"/>
            <w:tcBorders>
              <w:top w:val="single" w:color="auto" w:sz="4" w:space="0"/>
              <w:left w:val="single" w:color="auto" w:sz="4" w:space="0"/>
              <w:bottom w:val="single" w:color="auto" w:sz="4" w:space="0"/>
            </w:tcBorders>
          </w:tcPr>
          <w:p w14:paraId="71804ACF">
            <w:pPr>
              <w:rPr>
                <w:rFonts w:eastAsia="楷体_GB2312"/>
                <w:sz w:val="18"/>
                <w:szCs w:val="18"/>
              </w:rPr>
            </w:pPr>
          </w:p>
        </w:tc>
        <w:tc>
          <w:tcPr>
            <w:tcW w:w="852" w:type="dxa"/>
            <w:tcBorders>
              <w:top w:val="single" w:color="auto" w:sz="4" w:space="0"/>
              <w:left w:val="single" w:color="auto" w:sz="4" w:space="0"/>
              <w:bottom w:val="single" w:color="auto" w:sz="4" w:space="0"/>
            </w:tcBorders>
          </w:tcPr>
          <w:p w14:paraId="61C2DC63">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0B8D9F1B">
            <w:pPr>
              <w:rPr>
                <w:rFonts w:eastAsia="楷体_GB2312"/>
                <w:sz w:val="18"/>
                <w:szCs w:val="18"/>
              </w:rPr>
            </w:pPr>
          </w:p>
        </w:tc>
        <w:tc>
          <w:tcPr>
            <w:tcW w:w="975" w:type="dxa"/>
            <w:tcBorders>
              <w:top w:val="single" w:color="auto" w:sz="4" w:space="0"/>
              <w:left w:val="single" w:color="auto" w:sz="4" w:space="0"/>
              <w:bottom w:val="single" w:color="auto" w:sz="4" w:space="0"/>
            </w:tcBorders>
          </w:tcPr>
          <w:p w14:paraId="531D79D1">
            <w:pPr>
              <w:rPr>
                <w:rFonts w:eastAsia="楷体_GB2312"/>
                <w:sz w:val="18"/>
                <w:szCs w:val="18"/>
              </w:rPr>
            </w:pPr>
          </w:p>
        </w:tc>
      </w:tr>
      <w:tr w14:paraId="1CD5A6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1" w:type="dxa"/>
            <w:gridSpan w:val="9"/>
            <w:tcBorders>
              <w:top w:val="single" w:color="auto" w:sz="4" w:space="0"/>
              <w:bottom w:val="single" w:color="auto" w:sz="4" w:space="0"/>
            </w:tcBorders>
            <w:vAlign w:val="center"/>
          </w:tcPr>
          <w:p w14:paraId="5591FF8B">
            <w:pPr>
              <w:rPr>
                <w:rFonts w:eastAsia="楷体_GB2312"/>
                <w:sz w:val="18"/>
                <w:szCs w:val="18"/>
              </w:rPr>
            </w:pPr>
          </w:p>
          <w:p w14:paraId="5D05681D">
            <w:pPr>
              <w:rPr>
                <w:rFonts w:eastAsia="楷体_GB2312"/>
                <w:b/>
                <w:lang w:eastAsia="zh-CN"/>
              </w:rPr>
            </w:pPr>
          </w:p>
          <w:p w14:paraId="3377FA9A">
            <w:pPr>
              <w:rPr>
                <w:rFonts w:eastAsia="楷体_GB2312"/>
                <w:sz w:val="18"/>
                <w:szCs w:val="18"/>
                <w:lang w:eastAsia="zh-CN"/>
              </w:rPr>
            </w:pPr>
            <w:r>
              <w:rPr>
                <w:rFonts w:eastAsia="楷体_GB2312"/>
                <w:b/>
                <w:lang w:eastAsia="zh-CN"/>
              </w:rPr>
              <w:t>4、地区分布</w:t>
            </w:r>
          </w:p>
        </w:tc>
      </w:tr>
      <w:tr w14:paraId="331C7B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restart"/>
            <w:tcBorders>
              <w:top w:val="single" w:color="auto" w:sz="4" w:space="0"/>
              <w:right w:val="single" w:color="auto" w:sz="4" w:space="0"/>
            </w:tcBorders>
            <w:vAlign w:val="center"/>
          </w:tcPr>
          <w:p w14:paraId="4B543FEC">
            <w:pPr>
              <w:jc w:val="center"/>
              <w:rPr>
                <w:rFonts w:eastAsia="楷体_GB2312"/>
                <w:sz w:val="18"/>
              </w:rPr>
            </w:pPr>
            <w:r>
              <w:rPr>
                <w:rFonts w:eastAsia="楷体_GB2312"/>
                <w:b/>
                <w:bCs/>
                <w:sz w:val="18"/>
              </w:rPr>
              <w:t>地区</w:t>
            </w:r>
          </w:p>
        </w:tc>
        <w:tc>
          <w:tcPr>
            <w:tcW w:w="1847" w:type="dxa"/>
            <w:gridSpan w:val="3"/>
            <w:tcBorders>
              <w:top w:val="single" w:color="auto" w:sz="4" w:space="0"/>
              <w:left w:val="single" w:color="auto" w:sz="4" w:space="0"/>
              <w:bottom w:val="single" w:color="auto" w:sz="4" w:space="0"/>
            </w:tcBorders>
            <w:vAlign w:val="center"/>
          </w:tcPr>
          <w:p w14:paraId="7A251015">
            <w:pPr>
              <w:jc w:val="center"/>
              <w:rPr>
                <w:rFonts w:eastAsia="楷体_GB2312"/>
                <w:sz w:val="18"/>
                <w:szCs w:val="18"/>
              </w:rPr>
            </w:pPr>
            <w:r>
              <w:rPr>
                <w:rFonts w:eastAsia="楷体_GB2312"/>
                <w:b/>
                <w:sz w:val="18"/>
                <w:szCs w:val="18"/>
              </w:rPr>
              <w:t>初始起算日</w:t>
            </w:r>
          </w:p>
        </w:tc>
        <w:tc>
          <w:tcPr>
            <w:tcW w:w="1708" w:type="dxa"/>
            <w:gridSpan w:val="2"/>
            <w:tcBorders>
              <w:top w:val="single" w:color="auto" w:sz="4" w:space="0"/>
              <w:left w:val="single" w:color="auto" w:sz="4" w:space="0"/>
              <w:bottom w:val="single" w:color="auto" w:sz="4" w:space="0"/>
            </w:tcBorders>
            <w:vAlign w:val="center"/>
          </w:tcPr>
          <w:p w14:paraId="7AE6DD2D">
            <w:pPr>
              <w:jc w:val="center"/>
              <w:rPr>
                <w:rFonts w:eastAsia="楷体_GB2312"/>
                <w:sz w:val="18"/>
                <w:szCs w:val="18"/>
              </w:rPr>
            </w:pPr>
            <w:r>
              <w:rPr>
                <w:rFonts w:eastAsia="楷体_GB2312"/>
                <w:b/>
                <w:sz w:val="18"/>
                <w:szCs w:val="18"/>
              </w:rPr>
              <w:t>上一</w:t>
            </w:r>
            <w:r>
              <w:rPr>
                <w:rFonts w:eastAsia="楷体_GB2312"/>
                <w:b/>
                <w:sz w:val="18"/>
                <w:szCs w:val="18"/>
                <w:lang w:eastAsia="zh-CN"/>
              </w:rPr>
              <w:t>报告</w:t>
            </w:r>
            <w:r>
              <w:rPr>
                <w:rFonts w:eastAsia="楷体_GB2312"/>
                <w:b/>
                <w:sz w:val="18"/>
                <w:szCs w:val="18"/>
              </w:rPr>
              <w:t>期末</w:t>
            </w:r>
          </w:p>
        </w:tc>
        <w:tc>
          <w:tcPr>
            <w:tcW w:w="2274" w:type="dxa"/>
            <w:gridSpan w:val="3"/>
            <w:tcBorders>
              <w:top w:val="single" w:color="auto" w:sz="4" w:space="0"/>
              <w:left w:val="single" w:color="auto" w:sz="4" w:space="0"/>
              <w:bottom w:val="single" w:color="auto" w:sz="4" w:space="0"/>
            </w:tcBorders>
            <w:vAlign w:val="center"/>
          </w:tcPr>
          <w:p w14:paraId="05C008C1">
            <w:pPr>
              <w:jc w:val="center"/>
              <w:rPr>
                <w:rFonts w:eastAsia="楷体_GB2312"/>
                <w:sz w:val="18"/>
                <w:szCs w:val="18"/>
              </w:rPr>
            </w:pPr>
            <w:r>
              <w:rPr>
                <w:rFonts w:eastAsia="楷体_GB2312"/>
                <w:b/>
                <w:sz w:val="18"/>
                <w:szCs w:val="18"/>
              </w:rPr>
              <w:t>本</w:t>
            </w:r>
            <w:r>
              <w:rPr>
                <w:rFonts w:eastAsia="楷体_GB2312"/>
                <w:b/>
                <w:sz w:val="18"/>
                <w:szCs w:val="18"/>
                <w:lang w:eastAsia="zh-CN"/>
              </w:rPr>
              <w:t>报告</w:t>
            </w:r>
            <w:r>
              <w:rPr>
                <w:rFonts w:eastAsia="楷体_GB2312"/>
                <w:b/>
                <w:sz w:val="18"/>
                <w:szCs w:val="18"/>
              </w:rPr>
              <w:t>期末</w:t>
            </w:r>
          </w:p>
        </w:tc>
      </w:tr>
      <w:tr w14:paraId="3C92BA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continue"/>
            <w:tcBorders>
              <w:bottom w:val="single" w:color="auto" w:sz="4" w:space="0"/>
              <w:right w:val="single" w:color="auto" w:sz="4" w:space="0"/>
            </w:tcBorders>
            <w:vAlign w:val="center"/>
          </w:tcPr>
          <w:p w14:paraId="66CA11B3">
            <w:pPr>
              <w:jc w:val="center"/>
              <w:rPr>
                <w:rFonts w:eastAsia="楷体_GB2312"/>
                <w:sz w:val="18"/>
              </w:rPr>
            </w:pPr>
          </w:p>
        </w:tc>
        <w:tc>
          <w:tcPr>
            <w:tcW w:w="966" w:type="dxa"/>
            <w:gridSpan w:val="2"/>
            <w:tcBorders>
              <w:top w:val="single" w:color="auto" w:sz="4" w:space="0"/>
              <w:left w:val="single" w:color="auto" w:sz="4" w:space="0"/>
              <w:bottom w:val="single" w:color="auto" w:sz="4" w:space="0"/>
            </w:tcBorders>
            <w:vAlign w:val="center"/>
          </w:tcPr>
          <w:p w14:paraId="7115F67C">
            <w:pPr>
              <w:jc w:val="center"/>
              <w:rPr>
                <w:rFonts w:eastAsia="楷体_GB2312"/>
                <w:sz w:val="18"/>
                <w:szCs w:val="18"/>
              </w:rPr>
            </w:pPr>
            <w:r>
              <w:rPr>
                <w:rFonts w:eastAsia="楷体_GB2312"/>
                <w:b/>
                <w:sz w:val="18"/>
                <w:szCs w:val="18"/>
              </w:rPr>
              <w:t>未偿本金余额</w:t>
            </w:r>
          </w:p>
        </w:tc>
        <w:tc>
          <w:tcPr>
            <w:tcW w:w="881" w:type="dxa"/>
            <w:tcBorders>
              <w:top w:val="single" w:color="auto" w:sz="4" w:space="0"/>
              <w:left w:val="single" w:color="auto" w:sz="4" w:space="0"/>
              <w:bottom w:val="single" w:color="auto" w:sz="4" w:space="0"/>
            </w:tcBorders>
            <w:vAlign w:val="center"/>
          </w:tcPr>
          <w:p w14:paraId="729DF9EA">
            <w:pPr>
              <w:jc w:val="center"/>
              <w:rPr>
                <w:rFonts w:eastAsia="楷体_GB2312"/>
                <w:sz w:val="18"/>
                <w:szCs w:val="18"/>
              </w:rPr>
            </w:pPr>
            <w:r>
              <w:rPr>
                <w:rFonts w:eastAsia="楷体_GB2312"/>
                <w:b/>
                <w:sz w:val="18"/>
                <w:szCs w:val="18"/>
              </w:rPr>
              <w:t>占比</w:t>
            </w:r>
          </w:p>
        </w:tc>
        <w:tc>
          <w:tcPr>
            <w:tcW w:w="856" w:type="dxa"/>
            <w:tcBorders>
              <w:top w:val="single" w:color="auto" w:sz="4" w:space="0"/>
              <w:left w:val="single" w:color="auto" w:sz="4" w:space="0"/>
              <w:bottom w:val="single" w:color="auto" w:sz="4" w:space="0"/>
            </w:tcBorders>
            <w:vAlign w:val="center"/>
          </w:tcPr>
          <w:p w14:paraId="3189846A">
            <w:pPr>
              <w:jc w:val="center"/>
              <w:rPr>
                <w:rFonts w:eastAsia="楷体_GB2312"/>
                <w:sz w:val="18"/>
                <w:szCs w:val="18"/>
              </w:rPr>
            </w:pPr>
            <w:r>
              <w:rPr>
                <w:rFonts w:eastAsia="楷体_GB2312"/>
                <w:b/>
                <w:sz w:val="18"/>
                <w:szCs w:val="18"/>
              </w:rPr>
              <w:t>未偿本金余额</w:t>
            </w:r>
          </w:p>
        </w:tc>
        <w:tc>
          <w:tcPr>
            <w:tcW w:w="852" w:type="dxa"/>
            <w:tcBorders>
              <w:top w:val="single" w:color="auto" w:sz="4" w:space="0"/>
              <w:left w:val="single" w:color="auto" w:sz="4" w:space="0"/>
              <w:bottom w:val="single" w:color="auto" w:sz="4" w:space="0"/>
            </w:tcBorders>
            <w:vAlign w:val="center"/>
          </w:tcPr>
          <w:p w14:paraId="03A99A79">
            <w:pPr>
              <w:jc w:val="center"/>
              <w:rPr>
                <w:rFonts w:eastAsia="楷体_GB2312"/>
                <w:sz w:val="18"/>
                <w:szCs w:val="18"/>
              </w:rPr>
            </w:pPr>
            <w:r>
              <w:rPr>
                <w:rFonts w:eastAsia="楷体_GB2312"/>
                <w:b/>
                <w:sz w:val="18"/>
                <w:szCs w:val="18"/>
              </w:rPr>
              <w:t>占比</w:t>
            </w:r>
          </w:p>
        </w:tc>
        <w:tc>
          <w:tcPr>
            <w:tcW w:w="1299" w:type="dxa"/>
            <w:gridSpan w:val="2"/>
            <w:tcBorders>
              <w:top w:val="single" w:color="auto" w:sz="4" w:space="0"/>
              <w:left w:val="single" w:color="auto" w:sz="4" w:space="0"/>
              <w:bottom w:val="single" w:color="auto" w:sz="4" w:space="0"/>
            </w:tcBorders>
            <w:vAlign w:val="center"/>
          </w:tcPr>
          <w:p w14:paraId="1C97BDC5">
            <w:pPr>
              <w:jc w:val="center"/>
              <w:rPr>
                <w:rFonts w:eastAsia="楷体_GB2312"/>
                <w:sz w:val="18"/>
                <w:szCs w:val="18"/>
              </w:rPr>
            </w:pPr>
            <w:r>
              <w:rPr>
                <w:rFonts w:eastAsia="楷体_GB2312"/>
                <w:b/>
                <w:sz w:val="18"/>
                <w:szCs w:val="18"/>
              </w:rPr>
              <w:t>未偿本金余额</w:t>
            </w:r>
          </w:p>
        </w:tc>
        <w:tc>
          <w:tcPr>
            <w:tcW w:w="975" w:type="dxa"/>
            <w:tcBorders>
              <w:top w:val="single" w:color="auto" w:sz="4" w:space="0"/>
              <w:left w:val="single" w:color="auto" w:sz="4" w:space="0"/>
              <w:bottom w:val="single" w:color="auto" w:sz="4" w:space="0"/>
            </w:tcBorders>
            <w:vAlign w:val="center"/>
          </w:tcPr>
          <w:p w14:paraId="0457EFAF">
            <w:pPr>
              <w:jc w:val="center"/>
              <w:rPr>
                <w:rFonts w:eastAsia="楷体_GB2312"/>
                <w:sz w:val="18"/>
                <w:szCs w:val="18"/>
              </w:rPr>
            </w:pPr>
            <w:r>
              <w:rPr>
                <w:rFonts w:eastAsia="楷体_GB2312"/>
                <w:b/>
                <w:sz w:val="18"/>
                <w:szCs w:val="18"/>
              </w:rPr>
              <w:t>占比</w:t>
            </w:r>
          </w:p>
        </w:tc>
      </w:tr>
      <w:tr w14:paraId="2B3A9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63FB6E9C">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3FCF42B8">
            <w:pPr>
              <w:rPr>
                <w:rFonts w:eastAsia="楷体_GB2312"/>
                <w:sz w:val="18"/>
                <w:szCs w:val="18"/>
              </w:rPr>
            </w:pPr>
          </w:p>
        </w:tc>
        <w:tc>
          <w:tcPr>
            <w:tcW w:w="881" w:type="dxa"/>
            <w:tcBorders>
              <w:top w:val="single" w:color="auto" w:sz="4" w:space="0"/>
              <w:left w:val="single" w:color="auto" w:sz="4" w:space="0"/>
              <w:bottom w:val="single" w:color="auto" w:sz="4" w:space="0"/>
            </w:tcBorders>
          </w:tcPr>
          <w:p w14:paraId="0D3F63D7">
            <w:pPr>
              <w:rPr>
                <w:rFonts w:eastAsia="楷体_GB2312"/>
                <w:sz w:val="18"/>
                <w:szCs w:val="18"/>
              </w:rPr>
            </w:pPr>
          </w:p>
        </w:tc>
        <w:tc>
          <w:tcPr>
            <w:tcW w:w="856" w:type="dxa"/>
            <w:tcBorders>
              <w:top w:val="single" w:color="auto" w:sz="4" w:space="0"/>
              <w:left w:val="single" w:color="auto" w:sz="4" w:space="0"/>
              <w:bottom w:val="single" w:color="auto" w:sz="4" w:space="0"/>
            </w:tcBorders>
          </w:tcPr>
          <w:p w14:paraId="53E5DE29">
            <w:pPr>
              <w:rPr>
                <w:rFonts w:eastAsia="楷体_GB2312"/>
                <w:sz w:val="18"/>
                <w:szCs w:val="18"/>
              </w:rPr>
            </w:pPr>
          </w:p>
        </w:tc>
        <w:tc>
          <w:tcPr>
            <w:tcW w:w="852" w:type="dxa"/>
            <w:tcBorders>
              <w:top w:val="single" w:color="auto" w:sz="4" w:space="0"/>
              <w:left w:val="single" w:color="auto" w:sz="4" w:space="0"/>
              <w:bottom w:val="single" w:color="auto" w:sz="4" w:space="0"/>
            </w:tcBorders>
          </w:tcPr>
          <w:p w14:paraId="3488A76F">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798C0D4F">
            <w:pPr>
              <w:rPr>
                <w:rFonts w:eastAsia="楷体_GB2312"/>
                <w:sz w:val="18"/>
                <w:szCs w:val="18"/>
              </w:rPr>
            </w:pPr>
          </w:p>
        </w:tc>
        <w:tc>
          <w:tcPr>
            <w:tcW w:w="975" w:type="dxa"/>
            <w:tcBorders>
              <w:top w:val="single" w:color="auto" w:sz="4" w:space="0"/>
              <w:left w:val="single" w:color="auto" w:sz="4" w:space="0"/>
              <w:bottom w:val="single" w:color="auto" w:sz="4" w:space="0"/>
            </w:tcBorders>
          </w:tcPr>
          <w:p w14:paraId="0CE7948D">
            <w:pPr>
              <w:rPr>
                <w:rFonts w:eastAsia="楷体_GB2312"/>
                <w:sz w:val="18"/>
                <w:szCs w:val="18"/>
              </w:rPr>
            </w:pPr>
          </w:p>
        </w:tc>
      </w:tr>
      <w:tr w14:paraId="3E4872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024B9957">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29465993">
            <w:pPr>
              <w:rPr>
                <w:rFonts w:eastAsia="楷体_GB2312"/>
                <w:sz w:val="18"/>
                <w:szCs w:val="18"/>
              </w:rPr>
            </w:pPr>
          </w:p>
        </w:tc>
        <w:tc>
          <w:tcPr>
            <w:tcW w:w="881" w:type="dxa"/>
            <w:tcBorders>
              <w:top w:val="single" w:color="auto" w:sz="4" w:space="0"/>
              <w:left w:val="single" w:color="auto" w:sz="4" w:space="0"/>
              <w:bottom w:val="single" w:color="auto" w:sz="4" w:space="0"/>
            </w:tcBorders>
          </w:tcPr>
          <w:p w14:paraId="0AE73460">
            <w:pPr>
              <w:rPr>
                <w:rFonts w:eastAsia="楷体_GB2312"/>
                <w:sz w:val="18"/>
                <w:szCs w:val="18"/>
              </w:rPr>
            </w:pPr>
          </w:p>
        </w:tc>
        <w:tc>
          <w:tcPr>
            <w:tcW w:w="856" w:type="dxa"/>
            <w:tcBorders>
              <w:top w:val="single" w:color="auto" w:sz="4" w:space="0"/>
              <w:left w:val="single" w:color="auto" w:sz="4" w:space="0"/>
              <w:bottom w:val="single" w:color="auto" w:sz="4" w:space="0"/>
            </w:tcBorders>
          </w:tcPr>
          <w:p w14:paraId="62D0F46E">
            <w:pPr>
              <w:rPr>
                <w:rFonts w:eastAsia="楷体_GB2312"/>
                <w:sz w:val="18"/>
                <w:szCs w:val="18"/>
              </w:rPr>
            </w:pPr>
          </w:p>
        </w:tc>
        <w:tc>
          <w:tcPr>
            <w:tcW w:w="852" w:type="dxa"/>
            <w:tcBorders>
              <w:top w:val="single" w:color="auto" w:sz="4" w:space="0"/>
              <w:left w:val="single" w:color="auto" w:sz="4" w:space="0"/>
              <w:bottom w:val="single" w:color="auto" w:sz="4" w:space="0"/>
            </w:tcBorders>
          </w:tcPr>
          <w:p w14:paraId="053E0A96">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3828E22D">
            <w:pPr>
              <w:rPr>
                <w:rFonts w:eastAsia="楷体_GB2312"/>
                <w:sz w:val="18"/>
                <w:szCs w:val="18"/>
              </w:rPr>
            </w:pPr>
          </w:p>
        </w:tc>
        <w:tc>
          <w:tcPr>
            <w:tcW w:w="975" w:type="dxa"/>
            <w:tcBorders>
              <w:top w:val="single" w:color="auto" w:sz="4" w:space="0"/>
              <w:left w:val="single" w:color="auto" w:sz="4" w:space="0"/>
              <w:bottom w:val="single" w:color="auto" w:sz="4" w:space="0"/>
            </w:tcBorders>
          </w:tcPr>
          <w:p w14:paraId="1379AF58">
            <w:pPr>
              <w:rPr>
                <w:rFonts w:eastAsia="楷体_GB2312"/>
                <w:sz w:val="18"/>
                <w:szCs w:val="18"/>
              </w:rPr>
            </w:pPr>
          </w:p>
        </w:tc>
      </w:tr>
      <w:tr w14:paraId="3333D9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7C4B2CB6">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6AFF4ED5">
            <w:pPr>
              <w:rPr>
                <w:rFonts w:eastAsia="楷体_GB2312"/>
                <w:sz w:val="18"/>
                <w:szCs w:val="18"/>
              </w:rPr>
            </w:pPr>
          </w:p>
        </w:tc>
        <w:tc>
          <w:tcPr>
            <w:tcW w:w="881" w:type="dxa"/>
            <w:tcBorders>
              <w:top w:val="single" w:color="auto" w:sz="4" w:space="0"/>
              <w:left w:val="single" w:color="auto" w:sz="4" w:space="0"/>
              <w:bottom w:val="single" w:color="auto" w:sz="4" w:space="0"/>
            </w:tcBorders>
          </w:tcPr>
          <w:p w14:paraId="5F802003">
            <w:pPr>
              <w:rPr>
                <w:rFonts w:eastAsia="楷体_GB2312"/>
                <w:sz w:val="18"/>
                <w:szCs w:val="18"/>
              </w:rPr>
            </w:pPr>
          </w:p>
        </w:tc>
        <w:tc>
          <w:tcPr>
            <w:tcW w:w="856" w:type="dxa"/>
            <w:tcBorders>
              <w:top w:val="single" w:color="auto" w:sz="4" w:space="0"/>
              <w:left w:val="single" w:color="auto" w:sz="4" w:space="0"/>
              <w:bottom w:val="single" w:color="auto" w:sz="4" w:space="0"/>
            </w:tcBorders>
          </w:tcPr>
          <w:p w14:paraId="5158FCD0">
            <w:pPr>
              <w:rPr>
                <w:rFonts w:eastAsia="楷体_GB2312"/>
                <w:sz w:val="18"/>
                <w:szCs w:val="18"/>
              </w:rPr>
            </w:pPr>
          </w:p>
        </w:tc>
        <w:tc>
          <w:tcPr>
            <w:tcW w:w="852" w:type="dxa"/>
            <w:tcBorders>
              <w:top w:val="single" w:color="auto" w:sz="4" w:space="0"/>
              <w:left w:val="single" w:color="auto" w:sz="4" w:space="0"/>
              <w:bottom w:val="single" w:color="auto" w:sz="4" w:space="0"/>
            </w:tcBorders>
          </w:tcPr>
          <w:p w14:paraId="5DE79CB7">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1973FA90">
            <w:pPr>
              <w:rPr>
                <w:rFonts w:eastAsia="楷体_GB2312"/>
                <w:sz w:val="18"/>
                <w:szCs w:val="18"/>
              </w:rPr>
            </w:pPr>
          </w:p>
        </w:tc>
        <w:tc>
          <w:tcPr>
            <w:tcW w:w="975" w:type="dxa"/>
            <w:tcBorders>
              <w:top w:val="single" w:color="auto" w:sz="4" w:space="0"/>
              <w:left w:val="single" w:color="auto" w:sz="4" w:space="0"/>
              <w:bottom w:val="single" w:color="auto" w:sz="4" w:space="0"/>
            </w:tcBorders>
          </w:tcPr>
          <w:p w14:paraId="1160373D">
            <w:pPr>
              <w:rPr>
                <w:rFonts w:eastAsia="楷体_GB2312"/>
                <w:sz w:val="18"/>
                <w:szCs w:val="18"/>
              </w:rPr>
            </w:pPr>
          </w:p>
        </w:tc>
      </w:tr>
      <w:tr w14:paraId="355442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1" w:type="dxa"/>
            <w:gridSpan w:val="9"/>
            <w:tcBorders>
              <w:top w:val="single" w:color="auto" w:sz="4" w:space="0"/>
              <w:bottom w:val="single" w:color="auto" w:sz="4" w:space="0"/>
            </w:tcBorders>
            <w:vAlign w:val="center"/>
          </w:tcPr>
          <w:p w14:paraId="67217D81">
            <w:pPr>
              <w:rPr>
                <w:rFonts w:eastAsia="楷体_GB2312"/>
                <w:sz w:val="18"/>
                <w:szCs w:val="18"/>
              </w:rPr>
            </w:pPr>
          </w:p>
          <w:p w14:paraId="0AD8AC3C">
            <w:pPr>
              <w:rPr>
                <w:rFonts w:eastAsia="楷体_GB2312"/>
                <w:sz w:val="18"/>
                <w:szCs w:val="18"/>
                <w:lang w:eastAsia="zh-CN"/>
              </w:rPr>
            </w:pPr>
            <w:r>
              <w:rPr>
                <w:rFonts w:eastAsia="楷体_GB2312"/>
                <w:b/>
                <w:lang w:eastAsia="zh-CN"/>
              </w:rPr>
              <w:t>5、信用分数分布</w:t>
            </w:r>
          </w:p>
        </w:tc>
      </w:tr>
      <w:tr w14:paraId="0F8296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restart"/>
            <w:tcBorders>
              <w:top w:val="single" w:color="auto" w:sz="4" w:space="0"/>
              <w:right w:val="single" w:color="auto" w:sz="4" w:space="0"/>
            </w:tcBorders>
            <w:vAlign w:val="center"/>
          </w:tcPr>
          <w:p w14:paraId="7C8CE33E">
            <w:pPr>
              <w:jc w:val="center"/>
              <w:rPr>
                <w:rFonts w:eastAsia="楷体_GB2312"/>
                <w:sz w:val="18"/>
              </w:rPr>
            </w:pPr>
            <w:r>
              <w:rPr>
                <w:rFonts w:eastAsia="楷体_GB2312"/>
                <w:b/>
                <w:bCs/>
                <w:sz w:val="18"/>
              </w:rPr>
              <w:t>信用分数</w:t>
            </w:r>
          </w:p>
        </w:tc>
        <w:tc>
          <w:tcPr>
            <w:tcW w:w="1847" w:type="dxa"/>
            <w:gridSpan w:val="3"/>
            <w:tcBorders>
              <w:top w:val="single" w:color="auto" w:sz="4" w:space="0"/>
              <w:left w:val="single" w:color="auto" w:sz="4" w:space="0"/>
              <w:bottom w:val="single" w:color="auto" w:sz="4" w:space="0"/>
            </w:tcBorders>
            <w:vAlign w:val="center"/>
          </w:tcPr>
          <w:p w14:paraId="43F6A9AD">
            <w:pPr>
              <w:jc w:val="center"/>
              <w:rPr>
                <w:rFonts w:eastAsia="楷体_GB2312"/>
                <w:sz w:val="18"/>
                <w:szCs w:val="18"/>
              </w:rPr>
            </w:pPr>
            <w:r>
              <w:rPr>
                <w:rFonts w:eastAsia="楷体_GB2312"/>
                <w:b/>
                <w:sz w:val="18"/>
                <w:szCs w:val="18"/>
              </w:rPr>
              <w:t>初始起算日</w:t>
            </w:r>
          </w:p>
        </w:tc>
        <w:tc>
          <w:tcPr>
            <w:tcW w:w="1708" w:type="dxa"/>
            <w:gridSpan w:val="2"/>
            <w:tcBorders>
              <w:top w:val="single" w:color="auto" w:sz="4" w:space="0"/>
              <w:left w:val="single" w:color="auto" w:sz="4" w:space="0"/>
              <w:bottom w:val="single" w:color="auto" w:sz="4" w:space="0"/>
            </w:tcBorders>
            <w:vAlign w:val="center"/>
          </w:tcPr>
          <w:p w14:paraId="68D817E7">
            <w:pPr>
              <w:jc w:val="center"/>
              <w:rPr>
                <w:rFonts w:eastAsia="楷体_GB2312"/>
                <w:sz w:val="18"/>
                <w:szCs w:val="18"/>
              </w:rPr>
            </w:pPr>
            <w:r>
              <w:rPr>
                <w:rFonts w:eastAsia="楷体_GB2312"/>
                <w:b/>
                <w:sz w:val="18"/>
                <w:szCs w:val="18"/>
              </w:rPr>
              <w:t>上一</w:t>
            </w:r>
            <w:r>
              <w:rPr>
                <w:rFonts w:eastAsia="楷体_GB2312"/>
                <w:b/>
                <w:sz w:val="18"/>
                <w:szCs w:val="18"/>
                <w:lang w:eastAsia="zh-CN"/>
              </w:rPr>
              <w:t>报告</w:t>
            </w:r>
            <w:r>
              <w:rPr>
                <w:rFonts w:eastAsia="楷体_GB2312"/>
                <w:b/>
                <w:sz w:val="18"/>
                <w:szCs w:val="18"/>
              </w:rPr>
              <w:t>期末</w:t>
            </w:r>
          </w:p>
        </w:tc>
        <w:tc>
          <w:tcPr>
            <w:tcW w:w="2274" w:type="dxa"/>
            <w:gridSpan w:val="3"/>
            <w:tcBorders>
              <w:top w:val="single" w:color="auto" w:sz="4" w:space="0"/>
              <w:left w:val="single" w:color="auto" w:sz="4" w:space="0"/>
              <w:bottom w:val="single" w:color="auto" w:sz="4" w:space="0"/>
            </w:tcBorders>
            <w:vAlign w:val="center"/>
          </w:tcPr>
          <w:p w14:paraId="4519F2C0">
            <w:pPr>
              <w:jc w:val="center"/>
              <w:rPr>
                <w:rFonts w:eastAsia="楷体_GB2312"/>
                <w:sz w:val="18"/>
                <w:szCs w:val="18"/>
              </w:rPr>
            </w:pPr>
            <w:r>
              <w:rPr>
                <w:rFonts w:eastAsia="楷体_GB2312"/>
                <w:b/>
                <w:sz w:val="18"/>
                <w:szCs w:val="18"/>
              </w:rPr>
              <w:t>本</w:t>
            </w:r>
            <w:r>
              <w:rPr>
                <w:rFonts w:eastAsia="楷体_GB2312"/>
                <w:b/>
                <w:sz w:val="18"/>
                <w:szCs w:val="18"/>
                <w:lang w:eastAsia="zh-CN"/>
              </w:rPr>
              <w:t>报告</w:t>
            </w:r>
            <w:r>
              <w:rPr>
                <w:rFonts w:eastAsia="楷体_GB2312"/>
                <w:b/>
                <w:sz w:val="18"/>
                <w:szCs w:val="18"/>
              </w:rPr>
              <w:t>期末</w:t>
            </w:r>
          </w:p>
        </w:tc>
      </w:tr>
      <w:tr w14:paraId="62517C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vMerge w:val="continue"/>
            <w:tcBorders>
              <w:bottom w:val="single" w:color="auto" w:sz="4" w:space="0"/>
              <w:right w:val="single" w:color="auto" w:sz="4" w:space="0"/>
            </w:tcBorders>
            <w:vAlign w:val="center"/>
          </w:tcPr>
          <w:p w14:paraId="1FE4E082">
            <w:pPr>
              <w:jc w:val="center"/>
              <w:rPr>
                <w:rFonts w:eastAsia="楷体_GB2312"/>
                <w:sz w:val="18"/>
              </w:rPr>
            </w:pPr>
          </w:p>
        </w:tc>
        <w:tc>
          <w:tcPr>
            <w:tcW w:w="966" w:type="dxa"/>
            <w:gridSpan w:val="2"/>
            <w:tcBorders>
              <w:top w:val="single" w:color="auto" w:sz="4" w:space="0"/>
              <w:left w:val="single" w:color="auto" w:sz="4" w:space="0"/>
              <w:bottom w:val="single" w:color="auto" w:sz="4" w:space="0"/>
            </w:tcBorders>
            <w:vAlign w:val="center"/>
          </w:tcPr>
          <w:p w14:paraId="2A85AFF9">
            <w:pPr>
              <w:jc w:val="center"/>
              <w:rPr>
                <w:rFonts w:eastAsia="楷体_GB2312"/>
                <w:sz w:val="18"/>
                <w:szCs w:val="18"/>
              </w:rPr>
            </w:pPr>
            <w:r>
              <w:rPr>
                <w:rFonts w:eastAsia="楷体_GB2312"/>
                <w:b/>
                <w:sz w:val="18"/>
                <w:szCs w:val="18"/>
              </w:rPr>
              <w:t>未偿本金余额</w:t>
            </w:r>
          </w:p>
        </w:tc>
        <w:tc>
          <w:tcPr>
            <w:tcW w:w="881" w:type="dxa"/>
            <w:tcBorders>
              <w:top w:val="single" w:color="auto" w:sz="4" w:space="0"/>
              <w:left w:val="single" w:color="auto" w:sz="4" w:space="0"/>
              <w:bottom w:val="single" w:color="auto" w:sz="4" w:space="0"/>
            </w:tcBorders>
            <w:vAlign w:val="center"/>
          </w:tcPr>
          <w:p w14:paraId="65BCA7A4">
            <w:pPr>
              <w:jc w:val="center"/>
              <w:rPr>
                <w:rFonts w:eastAsia="楷体_GB2312"/>
                <w:sz w:val="18"/>
                <w:szCs w:val="18"/>
              </w:rPr>
            </w:pPr>
            <w:r>
              <w:rPr>
                <w:rFonts w:eastAsia="楷体_GB2312"/>
                <w:b/>
                <w:sz w:val="18"/>
                <w:szCs w:val="18"/>
              </w:rPr>
              <w:t>占比</w:t>
            </w:r>
          </w:p>
        </w:tc>
        <w:tc>
          <w:tcPr>
            <w:tcW w:w="856" w:type="dxa"/>
            <w:tcBorders>
              <w:top w:val="single" w:color="auto" w:sz="4" w:space="0"/>
              <w:left w:val="single" w:color="auto" w:sz="4" w:space="0"/>
              <w:bottom w:val="single" w:color="auto" w:sz="4" w:space="0"/>
            </w:tcBorders>
            <w:vAlign w:val="center"/>
          </w:tcPr>
          <w:p w14:paraId="117823A9">
            <w:pPr>
              <w:jc w:val="center"/>
              <w:rPr>
                <w:rFonts w:eastAsia="楷体_GB2312"/>
                <w:sz w:val="18"/>
                <w:szCs w:val="18"/>
              </w:rPr>
            </w:pPr>
            <w:r>
              <w:rPr>
                <w:rFonts w:eastAsia="楷体_GB2312"/>
                <w:b/>
                <w:sz w:val="18"/>
                <w:szCs w:val="18"/>
              </w:rPr>
              <w:t>未偿本金余额</w:t>
            </w:r>
          </w:p>
        </w:tc>
        <w:tc>
          <w:tcPr>
            <w:tcW w:w="852" w:type="dxa"/>
            <w:tcBorders>
              <w:top w:val="single" w:color="auto" w:sz="4" w:space="0"/>
              <w:left w:val="single" w:color="auto" w:sz="4" w:space="0"/>
              <w:bottom w:val="single" w:color="auto" w:sz="4" w:space="0"/>
            </w:tcBorders>
            <w:vAlign w:val="center"/>
          </w:tcPr>
          <w:p w14:paraId="48FCBF25">
            <w:pPr>
              <w:jc w:val="center"/>
              <w:rPr>
                <w:rFonts w:eastAsia="楷体_GB2312"/>
                <w:sz w:val="18"/>
                <w:szCs w:val="18"/>
              </w:rPr>
            </w:pPr>
            <w:r>
              <w:rPr>
                <w:rFonts w:eastAsia="楷体_GB2312"/>
                <w:b/>
                <w:sz w:val="18"/>
                <w:szCs w:val="18"/>
              </w:rPr>
              <w:t>占比</w:t>
            </w:r>
          </w:p>
        </w:tc>
        <w:tc>
          <w:tcPr>
            <w:tcW w:w="1299" w:type="dxa"/>
            <w:gridSpan w:val="2"/>
            <w:tcBorders>
              <w:top w:val="single" w:color="auto" w:sz="4" w:space="0"/>
              <w:left w:val="single" w:color="auto" w:sz="4" w:space="0"/>
              <w:bottom w:val="single" w:color="auto" w:sz="4" w:space="0"/>
            </w:tcBorders>
            <w:vAlign w:val="center"/>
          </w:tcPr>
          <w:p w14:paraId="233DC37D">
            <w:pPr>
              <w:jc w:val="center"/>
              <w:rPr>
                <w:rFonts w:eastAsia="楷体_GB2312"/>
                <w:sz w:val="18"/>
                <w:szCs w:val="18"/>
              </w:rPr>
            </w:pPr>
            <w:r>
              <w:rPr>
                <w:rFonts w:eastAsia="楷体_GB2312"/>
                <w:b/>
                <w:sz w:val="18"/>
                <w:szCs w:val="18"/>
              </w:rPr>
              <w:t>未偿本金余额</w:t>
            </w:r>
          </w:p>
        </w:tc>
        <w:tc>
          <w:tcPr>
            <w:tcW w:w="975" w:type="dxa"/>
            <w:tcBorders>
              <w:top w:val="single" w:color="auto" w:sz="4" w:space="0"/>
              <w:left w:val="single" w:color="auto" w:sz="4" w:space="0"/>
              <w:bottom w:val="single" w:color="auto" w:sz="4" w:space="0"/>
            </w:tcBorders>
            <w:vAlign w:val="center"/>
          </w:tcPr>
          <w:p w14:paraId="13814C1C">
            <w:pPr>
              <w:jc w:val="center"/>
              <w:rPr>
                <w:rFonts w:eastAsia="楷体_GB2312"/>
                <w:sz w:val="18"/>
                <w:szCs w:val="18"/>
              </w:rPr>
            </w:pPr>
            <w:r>
              <w:rPr>
                <w:rFonts w:eastAsia="楷体_GB2312"/>
                <w:b/>
                <w:sz w:val="18"/>
                <w:szCs w:val="18"/>
              </w:rPr>
              <w:t>占比</w:t>
            </w:r>
          </w:p>
        </w:tc>
      </w:tr>
      <w:tr w14:paraId="42AD34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6B1E5807">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0623F1DE">
            <w:pPr>
              <w:rPr>
                <w:rFonts w:eastAsia="楷体_GB2312"/>
                <w:sz w:val="18"/>
                <w:szCs w:val="18"/>
              </w:rPr>
            </w:pPr>
          </w:p>
        </w:tc>
        <w:tc>
          <w:tcPr>
            <w:tcW w:w="881" w:type="dxa"/>
            <w:tcBorders>
              <w:top w:val="single" w:color="auto" w:sz="4" w:space="0"/>
              <w:left w:val="single" w:color="auto" w:sz="4" w:space="0"/>
              <w:bottom w:val="single" w:color="auto" w:sz="4" w:space="0"/>
            </w:tcBorders>
          </w:tcPr>
          <w:p w14:paraId="2C0285BA">
            <w:pPr>
              <w:rPr>
                <w:rFonts w:eastAsia="楷体_GB2312"/>
                <w:sz w:val="18"/>
                <w:szCs w:val="18"/>
              </w:rPr>
            </w:pPr>
          </w:p>
        </w:tc>
        <w:tc>
          <w:tcPr>
            <w:tcW w:w="856" w:type="dxa"/>
            <w:tcBorders>
              <w:top w:val="single" w:color="auto" w:sz="4" w:space="0"/>
              <w:left w:val="single" w:color="auto" w:sz="4" w:space="0"/>
              <w:bottom w:val="single" w:color="auto" w:sz="4" w:space="0"/>
            </w:tcBorders>
          </w:tcPr>
          <w:p w14:paraId="77D0ED42">
            <w:pPr>
              <w:rPr>
                <w:rFonts w:eastAsia="楷体_GB2312"/>
                <w:sz w:val="18"/>
                <w:szCs w:val="18"/>
              </w:rPr>
            </w:pPr>
          </w:p>
        </w:tc>
        <w:tc>
          <w:tcPr>
            <w:tcW w:w="852" w:type="dxa"/>
            <w:tcBorders>
              <w:top w:val="single" w:color="auto" w:sz="4" w:space="0"/>
              <w:left w:val="single" w:color="auto" w:sz="4" w:space="0"/>
              <w:bottom w:val="single" w:color="auto" w:sz="4" w:space="0"/>
            </w:tcBorders>
          </w:tcPr>
          <w:p w14:paraId="252B0220">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7DFD56EB">
            <w:pPr>
              <w:rPr>
                <w:rFonts w:eastAsia="楷体_GB2312"/>
                <w:sz w:val="18"/>
                <w:szCs w:val="18"/>
              </w:rPr>
            </w:pPr>
          </w:p>
        </w:tc>
        <w:tc>
          <w:tcPr>
            <w:tcW w:w="975" w:type="dxa"/>
            <w:tcBorders>
              <w:top w:val="single" w:color="auto" w:sz="4" w:space="0"/>
              <w:left w:val="single" w:color="auto" w:sz="4" w:space="0"/>
              <w:bottom w:val="single" w:color="auto" w:sz="4" w:space="0"/>
            </w:tcBorders>
          </w:tcPr>
          <w:p w14:paraId="7AFC78A4">
            <w:pPr>
              <w:rPr>
                <w:rFonts w:eastAsia="楷体_GB2312"/>
                <w:sz w:val="18"/>
                <w:szCs w:val="18"/>
              </w:rPr>
            </w:pPr>
          </w:p>
        </w:tc>
      </w:tr>
      <w:tr w14:paraId="0F4DDB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82" w:type="dxa"/>
            <w:tcBorders>
              <w:top w:val="single" w:color="auto" w:sz="4" w:space="0"/>
              <w:bottom w:val="single" w:color="auto" w:sz="4" w:space="0"/>
              <w:right w:val="single" w:color="auto" w:sz="4" w:space="0"/>
            </w:tcBorders>
            <w:vAlign w:val="center"/>
          </w:tcPr>
          <w:p w14:paraId="09CE59E3">
            <w:pPr>
              <w:rPr>
                <w:rFonts w:eastAsia="楷体_GB2312"/>
                <w:sz w:val="18"/>
              </w:rPr>
            </w:pPr>
          </w:p>
        </w:tc>
        <w:tc>
          <w:tcPr>
            <w:tcW w:w="966" w:type="dxa"/>
            <w:gridSpan w:val="2"/>
            <w:tcBorders>
              <w:top w:val="single" w:color="auto" w:sz="4" w:space="0"/>
              <w:left w:val="single" w:color="auto" w:sz="4" w:space="0"/>
              <w:bottom w:val="single" w:color="auto" w:sz="4" w:space="0"/>
            </w:tcBorders>
          </w:tcPr>
          <w:p w14:paraId="4C5B17A8">
            <w:pPr>
              <w:rPr>
                <w:rFonts w:eastAsia="楷体_GB2312"/>
                <w:sz w:val="18"/>
                <w:szCs w:val="18"/>
              </w:rPr>
            </w:pPr>
          </w:p>
        </w:tc>
        <w:tc>
          <w:tcPr>
            <w:tcW w:w="881" w:type="dxa"/>
            <w:tcBorders>
              <w:top w:val="single" w:color="auto" w:sz="4" w:space="0"/>
              <w:left w:val="single" w:color="auto" w:sz="4" w:space="0"/>
              <w:bottom w:val="single" w:color="auto" w:sz="4" w:space="0"/>
            </w:tcBorders>
          </w:tcPr>
          <w:p w14:paraId="5DA758BA">
            <w:pPr>
              <w:rPr>
                <w:rFonts w:eastAsia="楷体_GB2312"/>
                <w:sz w:val="18"/>
                <w:szCs w:val="18"/>
              </w:rPr>
            </w:pPr>
          </w:p>
        </w:tc>
        <w:tc>
          <w:tcPr>
            <w:tcW w:w="856" w:type="dxa"/>
            <w:tcBorders>
              <w:top w:val="single" w:color="auto" w:sz="4" w:space="0"/>
              <w:left w:val="single" w:color="auto" w:sz="4" w:space="0"/>
              <w:bottom w:val="single" w:color="auto" w:sz="4" w:space="0"/>
            </w:tcBorders>
          </w:tcPr>
          <w:p w14:paraId="7803C975">
            <w:pPr>
              <w:rPr>
                <w:rFonts w:eastAsia="楷体_GB2312"/>
                <w:sz w:val="18"/>
                <w:szCs w:val="18"/>
              </w:rPr>
            </w:pPr>
          </w:p>
        </w:tc>
        <w:tc>
          <w:tcPr>
            <w:tcW w:w="852" w:type="dxa"/>
            <w:tcBorders>
              <w:top w:val="single" w:color="auto" w:sz="4" w:space="0"/>
              <w:left w:val="single" w:color="auto" w:sz="4" w:space="0"/>
              <w:bottom w:val="single" w:color="auto" w:sz="4" w:space="0"/>
            </w:tcBorders>
          </w:tcPr>
          <w:p w14:paraId="4454914E">
            <w:pPr>
              <w:rPr>
                <w:rFonts w:eastAsia="楷体_GB2312"/>
                <w:sz w:val="18"/>
                <w:szCs w:val="18"/>
              </w:rPr>
            </w:pPr>
          </w:p>
        </w:tc>
        <w:tc>
          <w:tcPr>
            <w:tcW w:w="1299" w:type="dxa"/>
            <w:gridSpan w:val="2"/>
            <w:tcBorders>
              <w:top w:val="single" w:color="auto" w:sz="4" w:space="0"/>
              <w:left w:val="single" w:color="auto" w:sz="4" w:space="0"/>
              <w:bottom w:val="single" w:color="auto" w:sz="4" w:space="0"/>
            </w:tcBorders>
          </w:tcPr>
          <w:p w14:paraId="7B57244A">
            <w:pPr>
              <w:rPr>
                <w:rFonts w:eastAsia="楷体_GB2312"/>
                <w:sz w:val="18"/>
                <w:szCs w:val="18"/>
              </w:rPr>
            </w:pPr>
          </w:p>
        </w:tc>
        <w:tc>
          <w:tcPr>
            <w:tcW w:w="975" w:type="dxa"/>
            <w:tcBorders>
              <w:top w:val="single" w:color="auto" w:sz="4" w:space="0"/>
              <w:left w:val="single" w:color="auto" w:sz="4" w:space="0"/>
              <w:bottom w:val="single" w:color="auto" w:sz="4" w:space="0"/>
            </w:tcBorders>
          </w:tcPr>
          <w:p w14:paraId="59182B9C">
            <w:pPr>
              <w:rPr>
                <w:rFonts w:eastAsia="楷体_GB2312"/>
                <w:sz w:val="18"/>
                <w:szCs w:val="18"/>
              </w:rPr>
            </w:pPr>
          </w:p>
        </w:tc>
      </w:tr>
      <w:tr w14:paraId="7F6183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1" w:type="dxa"/>
            <w:gridSpan w:val="9"/>
            <w:tcBorders>
              <w:top w:val="single" w:color="auto" w:sz="4" w:space="0"/>
              <w:bottom w:val="single" w:color="auto" w:sz="4" w:space="0"/>
            </w:tcBorders>
            <w:vAlign w:val="center"/>
          </w:tcPr>
          <w:p w14:paraId="38FA4420">
            <w:pPr>
              <w:rPr>
                <w:rFonts w:eastAsia="楷体_GB2312"/>
                <w:b/>
                <w:lang w:eastAsia="zh-CN"/>
              </w:rPr>
            </w:pPr>
          </w:p>
          <w:p w14:paraId="7414483A">
            <w:pPr>
              <w:rPr>
                <w:rFonts w:eastAsia="楷体_GB2312"/>
                <w:b/>
                <w:lang w:eastAsia="zh-CN"/>
              </w:rPr>
            </w:pPr>
            <w:r>
              <w:rPr>
                <w:rFonts w:eastAsia="楷体_GB2312"/>
                <w:b/>
                <w:lang w:eastAsia="zh-CN"/>
              </w:rPr>
              <w:t>（三）抵（质）押物分布</w:t>
            </w:r>
          </w:p>
          <w:p w14:paraId="4923D9A6">
            <w:pPr>
              <w:rPr>
                <w:rFonts w:eastAsia="楷体_GB2312"/>
                <w:sz w:val="18"/>
                <w:szCs w:val="18"/>
                <w:lang w:eastAsia="zh-CN"/>
              </w:rPr>
            </w:pPr>
            <w:r>
              <w:rPr>
                <w:rFonts w:eastAsia="楷体_GB2312"/>
                <w:b/>
                <w:lang w:eastAsia="zh-CN"/>
              </w:rPr>
              <w:t>1、新车/二手车分布</w:t>
            </w:r>
          </w:p>
        </w:tc>
      </w:tr>
      <w:tr w14:paraId="083A81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2782" w:type="dxa"/>
            <w:vMerge w:val="restart"/>
            <w:tcBorders>
              <w:top w:val="single" w:color="auto" w:sz="4" w:space="0"/>
              <w:right w:val="single" w:color="auto" w:sz="4" w:space="0"/>
            </w:tcBorders>
            <w:vAlign w:val="center"/>
          </w:tcPr>
          <w:p w14:paraId="5AFCE449">
            <w:pPr>
              <w:jc w:val="center"/>
              <w:rPr>
                <w:rFonts w:eastAsia="楷体_GB2312"/>
                <w:b/>
                <w:sz w:val="18"/>
                <w:szCs w:val="18"/>
                <w:lang w:eastAsia="zh-CN"/>
              </w:rPr>
            </w:pPr>
            <w:r>
              <w:rPr>
                <w:rFonts w:eastAsia="楷体_GB2312"/>
                <w:b/>
                <w:bCs/>
                <w:sz w:val="18"/>
                <w:szCs w:val="18"/>
              </w:rPr>
              <w:t>贷款类型</w:t>
            </w:r>
          </w:p>
        </w:tc>
        <w:tc>
          <w:tcPr>
            <w:tcW w:w="1847" w:type="dxa"/>
            <w:gridSpan w:val="3"/>
            <w:tcBorders>
              <w:top w:val="single" w:color="auto" w:sz="4" w:space="0"/>
              <w:left w:val="single" w:color="auto" w:sz="4" w:space="0"/>
              <w:bottom w:val="single" w:color="auto" w:sz="4" w:space="0"/>
              <w:right w:val="single" w:color="auto" w:sz="4" w:space="0"/>
            </w:tcBorders>
            <w:vAlign w:val="center"/>
          </w:tcPr>
          <w:p w14:paraId="32CEBB22">
            <w:pPr>
              <w:jc w:val="center"/>
              <w:rPr>
                <w:rFonts w:eastAsia="楷体_GB2312"/>
                <w:b/>
                <w:sz w:val="18"/>
                <w:szCs w:val="18"/>
                <w:lang w:eastAsia="zh-CN"/>
              </w:rPr>
            </w:pPr>
            <w:r>
              <w:rPr>
                <w:rFonts w:eastAsia="楷体_GB2312"/>
                <w:b/>
                <w:sz w:val="18"/>
                <w:szCs w:val="18"/>
              </w:rPr>
              <w:t>初始起算日</w:t>
            </w:r>
          </w:p>
        </w:tc>
        <w:tc>
          <w:tcPr>
            <w:tcW w:w="1708" w:type="dxa"/>
            <w:gridSpan w:val="2"/>
            <w:tcBorders>
              <w:top w:val="single" w:color="auto" w:sz="4" w:space="0"/>
              <w:left w:val="single" w:color="auto" w:sz="4" w:space="0"/>
              <w:bottom w:val="single" w:color="auto" w:sz="4" w:space="0"/>
              <w:right w:val="single" w:color="auto" w:sz="4" w:space="0"/>
            </w:tcBorders>
            <w:vAlign w:val="center"/>
          </w:tcPr>
          <w:p w14:paraId="3FEDCF6F">
            <w:pPr>
              <w:jc w:val="center"/>
              <w:rPr>
                <w:rFonts w:eastAsia="楷体_GB2312"/>
                <w:b/>
                <w:sz w:val="18"/>
                <w:szCs w:val="18"/>
                <w:lang w:eastAsia="zh-CN"/>
              </w:rPr>
            </w:pPr>
            <w:r>
              <w:rPr>
                <w:rFonts w:eastAsia="楷体_GB2312"/>
                <w:b/>
                <w:sz w:val="18"/>
                <w:szCs w:val="18"/>
              </w:rPr>
              <w:t>上一</w:t>
            </w:r>
            <w:r>
              <w:rPr>
                <w:rFonts w:eastAsia="楷体_GB2312"/>
                <w:b/>
                <w:sz w:val="18"/>
                <w:szCs w:val="18"/>
                <w:lang w:eastAsia="zh-CN"/>
              </w:rPr>
              <w:t>报告</w:t>
            </w:r>
            <w:r>
              <w:rPr>
                <w:rFonts w:eastAsia="楷体_GB2312"/>
                <w:b/>
                <w:sz w:val="18"/>
                <w:szCs w:val="18"/>
              </w:rPr>
              <w:t>期末</w:t>
            </w:r>
          </w:p>
        </w:tc>
        <w:tc>
          <w:tcPr>
            <w:tcW w:w="2274" w:type="dxa"/>
            <w:gridSpan w:val="3"/>
            <w:tcBorders>
              <w:top w:val="single" w:color="auto" w:sz="4" w:space="0"/>
              <w:left w:val="single" w:color="auto" w:sz="4" w:space="0"/>
              <w:bottom w:val="single" w:color="auto" w:sz="4" w:space="0"/>
            </w:tcBorders>
            <w:vAlign w:val="center"/>
          </w:tcPr>
          <w:p w14:paraId="213BA520">
            <w:pPr>
              <w:jc w:val="center"/>
              <w:rPr>
                <w:rFonts w:eastAsia="楷体_GB2312"/>
                <w:b/>
                <w:sz w:val="18"/>
                <w:szCs w:val="18"/>
                <w:lang w:eastAsia="zh-CN"/>
              </w:rPr>
            </w:pPr>
            <w:r>
              <w:rPr>
                <w:rFonts w:eastAsia="楷体_GB2312"/>
                <w:b/>
                <w:sz w:val="18"/>
                <w:szCs w:val="18"/>
              </w:rPr>
              <w:t>本</w:t>
            </w:r>
            <w:r>
              <w:rPr>
                <w:rFonts w:eastAsia="楷体_GB2312"/>
                <w:b/>
                <w:sz w:val="18"/>
                <w:szCs w:val="18"/>
                <w:lang w:eastAsia="zh-CN"/>
              </w:rPr>
              <w:t>报告</w:t>
            </w:r>
            <w:r>
              <w:rPr>
                <w:rFonts w:eastAsia="楷体_GB2312"/>
                <w:b/>
                <w:sz w:val="18"/>
                <w:szCs w:val="18"/>
              </w:rPr>
              <w:t>期末</w:t>
            </w:r>
          </w:p>
        </w:tc>
      </w:tr>
      <w:tr w14:paraId="538A84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2782" w:type="dxa"/>
            <w:vMerge w:val="continue"/>
            <w:tcBorders>
              <w:bottom w:val="single" w:color="auto" w:sz="4" w:space="0"/>
              <w:right w:val="single" w:color="auto" w:sz="4" w:space="0"/>
            </w:tcBorders>
            <w:vAlign w:val="center"/>
          </w:tcPr>
          <w:p w14:paraId="477DA980">
            <w:pPr>
              <w:jc w:val="center"/>
              <w:rPr>
                <w:rFonts w:eastAsia="楷体_GB2312"/>
                <w:b/>
                <w:sz w:val="18"/>
                <w:szCs w:val="18"/>
                <w:lang w:eastAsia="zh-CN"/>
              </w:rPr>
            </w:pPr>
          </w:p>
        </w:tc>
        <w:tc>
          <w:tcPr>
            <w:tcW w:w="966" w:type="dxa"/>
            <w:gridSpan w:val="2"/>
            <w:tcBorders>
              <w:top w:val="single" w:color="auto" w:sz="4" w:space="0"/>
              <w:left w:val="single" w:color="auto" w:sz="4" w:space="0"/>
              <w:bottom w:val="single" w:color="auto" w:sz="4" w:space="0"/>
              <w:right w:val="single" w:color="auto" w:sz="4" w:space="0"/>
            </w:tcBorders>
            <w:vAlign w:val="center"/>
          </w:tcPr>
          <w:p w14:paraId="3ADC7C40">
            <w:pPr>
              <w:jc w:val="center"/>
              <w:rPr>
                <w:rFonts w:eastAsia="楷体_GB2312"/>
                <w:b/>
                <w:sz w:val="18"/>
                <w:szCs w:val="18"/>
                <w:lang w:eastAsia="zh-CN"/>
              </w:rPr>
            </w:pPr>
            <w:r>
              <w:rPr>
                <w:rFonts w:eastAsia="楷体_GB2312"/>
                <w:b/>
                <w:sz w:val="18"/>
                <w:szCs w:val="18"/>
              </w:rPr>
              <w:t>未偿本金余额</w:t>
            </w:r>
          </w:p>
        </w:tc>
        <w:tc>
          <w:tcPr>
            <w:tcW w:w="881" w:type="dxa"/>
            <w:tcBorders>
              <w:top w:val="single" w:color="auto" w:sz="4" w:space="0"/>
              <w:left w:val="single" w:color="auto" w:sz="4" w:space="0"/>
              <w:bottom w:val="single" w:color="auto" w:sz="4" w:space="0"/>
              <w:right w:val="single" w:color="auto" w:sz="4" w:space="0"/>
            </w:tcBorders>
            <w:vAlign w:val="center"/>
          </w:tcPr>
          <w:p w14:paraId="37977A8B">
            <w:pPr>
              <w:jc w:val="center"/>
              <w:rPr>
                <w:rFonts w:eastAsia="楷体_GB2312"/>
                <w:b/>
                <w:sz w:val="18"/>
                <w:szCs w:val="18"/>
                <w:lang w:eastAsia="zh-CN"/>
              </w:rPr>
            </w:pPr>
            <w:r>
              <w:rPr>
                <w:rFonts w:eastAsia="楷体_GB2312"/>
                <w:b/>
                <w:sz w:val="18"/>
                <w:szCs w:val="18"/>
              </w:rPr>
              <w:t>占比</w:t>
            </w:r>
          </w:p>
        </w:tc>
        <w:tc>
          <w:tcPr>
            <w:tcW w:w="856" w:type="dxa"/>
            <w:tcBorders>
              <w:top w:val="single" w:color="auto" w:sz="4" w:space="0"/>
              <w:left w:val="single" w:color="auto" w:sz="4" w:space="0"/>
              <w:bottom w:val="single" w:color="auto" w:sz="4" w:space="0"/>
              <w:right w:val="single" w:color="auto" w:sz="4" w:space="0"/>
            </w:tcBorders>
            <w:vAlign w:val="center"/>
          </w:tcPr>
          <w:p w14:paraId="4944F16D">
            <w:pPr>
              <w:jc w:val="center"/>
              <w:rPr>
                <w:rFonts w:eastAsia="楷体_GB2312"/>
                <w:b/>
                <w:sz w:val="18"/>
                <w:szCs w:val="18"/>
                <w:lang w:eastAsia="zh-CN"/>
              </w:rPr>
            </w:pPr>
            <w:r>
              <w:rPr>
                <w:rFonts w:eastAsia="楷体_GB2312"/>
                <w:b/>
                <w:sz w:val="18"/>
                <w:szCs w:val="18"/>
              </w:rPr>
              <w:t>未偿本金余额</w:t>
            </w:r>
          </w:p>
        </w:tc>
        <w:tc>
          <w:tcPr>
            <w:tcW w:w="852" w:type="dxa"/>
            <w:tcBorders>
              <w:top w:val="single" w:color="auto" w:sz="4" w:space="0"/>
              <w:left w:val="single" w:color="auto" w:sz="4" w:space="0"/>
              <w:bottom w:val="single" w:color="auto" w:sz="4" w:space="0"/>
              <w:right w:val="single" w:color="auto" w:sz="4" w:space="0"/>
            </w:tcBorders>
            <w:vAlign w:val="center"/>
          </w:tcPr>
          <w:p w14:paraId="74EEAEA6">
            <w:pPr>
              <w:jc w:val="center"/>
              <w:rPr>
                <w:rFonts w:eastAsia="楷体_GB2312"/>
                <w:b/>
                <w:sz w:val="18"/>
                <w:szCs w:val="18"/>
                <w:lang w:eastAsia="zh-CN"/>
              </w:rPr>
            </w:pPr>
            <w:r>
              <w:rPr>
                <w:rFonts w:eastAsia="楷体_GB2312"/>
                <w:b/>
                <w:sz w:val="18"/>
                <w:szCs w:val="18"/>
              </w:rPr>
              <w:t>占比</w:t>
            </w:r>
          </w:p>
        </w:tc>
        <w:tc>
          <w:tcPr>
            <w:tcW w:w="1299" w:type="dxa"/>
            <w:gridSpan w:val="2"/>
            <w:tcBorders>
              <w:top w:val="single" w:color="auto" w:sz="4" w:space="0"/>
              <w:left w:val="single" w:color="auto" w:sz="4" w:space="0"/>
              <w:bottom w:val="single" w:color="auto" w:sz="4" w:space="0"/>
              <w:right w:val="single" w:color="auto" w:sz="4" w:space="0"/>
            </w:tcBorders>
            <w:vAlign w:val="center"/>
          </w:tcPr>
          <w:p w14:paraId="03AEFE29">
            <w:pPr>
              <w:jc w:val="center"/>
              <w:rPr>
                <w:rFonts w:eastAsia="楷体_GB2312"/>
                <w:b/>
                <w:sz w:val="18"/>
                <w:szCs w:val="18"/>
                <w:lang w:eastAsia="zh-CN"/>
              </w:rPr>
            </w:pPr>
            <w:r>
              <w:rPr>
                <w:rFonts w:eastAsia="楷体_GB2312"/>
                <w:b/>
                <w:sz w:val="18"/>
                <w:szCs w:val="18"/>
              </w:rPr>
              <w:t>未偿本金余额</w:t>
            </w:r>
          </w:p>
        </w:tc>
        <w:tc>
          <w:tcPr>
            <w:tcW w:w="975" w:type="dxa"/>
            <w:tcBorders>
              <w:top w:val="single" w:color="auto" w:sz="4" w:space="0"/>
              <w:left w:val="single" w:color="auto" w:sz="4" w:space="0"/>
              <w:bottom w:val="single" w:color="auto" w:sz="4" w:space="0"/>
            </w:tcBorders>
            <w:vAlign w:val="center"/>
          </w:tcPr>
          <w:p w14:paraId="6B591514">
            <w:pPr>
              <w:jc w:val="center"/>
              <w:rPr>
                <w:rFonts w:eastAsia="楷体_GB2312"/>
                <w:b/>
                <w:sz w:val="18"/>
                <w:szCs w:val="18"/>
                <w:lang w:eastAsia="zh-CN"/>
              </w:rPr>
            </w:pPr>
            <w:r>
              <w:rPr>
                <w:rFonts w:eastAsia="楷体_GB2312"/>
                <w:b/>
                <w:sz w:val="18"/>
                <w:szCs w:val="18"/>
              </w:rPr>
              <w:t>占比</w:t>
            </w:r>
          </w:p>
        </w:tc>
      </w:tr>
      <w:tr w14:paraId="7D4B97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2" w:hRule="atLeast"/>
        </w:trPr>
        <w:tc>
          <w:tcPr>
            <w:tcW w:w="2782" w:type="dxa"/>
            <w:tcBorders>
              <w:top w:val="single" w:color="auto" w:sz="4" w:space="0"/>
              <w:bottom w:val="single" w:color="auto" w:sz="4" w:space="0"/>
              <w:right w:val="single" w:color="auto" w:sz="4" w:space="0"/>
            </w:tcBorders>
            <w:vAlign w:val="center"/>
          </w:tcPr>
          <w:p w14:paraId="03FF3E2D">
            <w:pPr>
              <w:jc w:val="center"/>
              <w:rPr>
                <w:rFonts w:eastAsia="楷体_GB2312"/>
                <w:b/>
                <w:sz w:val="18"/>
                <w:szCs w:val="18"/>
                <w:lang w:eastAsia="zh-CN"/>
              </w:rPr>
            </w:pPr>
            <w:r>
              <w:rPr>
                <w:rFonts w:eastAsia="楷体_GB2312"/>
                <w:b/>
                <w:sz w:val="18"/>
                <w:szCs w:val="18"/>
                <w:lang w:eastAsia="zh-CN"/>
              </w:rPr>
              <w:t>新车</w:t>
            </w:r>
          </w:p>
        </w:tc>
        <w:tc>
          <w:tcPr>
            <w:tcW w:w="966" w:type="dxa"/>
            <w:gridSpan w:val="2"/>
            <w:tcBorders>
              <w:top w:val="single" w:color="auto" w:sz="4" w:space="0"/>
              <w:left w:val="single" w:color="auto" w:sz="4" w:space="0"/>
              <w:bottom w:val="single" w:color="auto" w:sz="4" w:space="0"/>
              <w:right w:val="single" w:color="auto" w:sz="4" w:space="0"/>
            </w:tcBorders>
            <w:vAlign w:val="center"/>
          </w:tcPr>
          <w:p w14:paraId="7200F20D">
            <w:pPr>
              <w:rPr>
                <w:rFonts w:eastAsia="楷体_GB2312"/>
                <w:b/>
                <w:sz w:val="18"/>
                <w:szCs w:val="18"/>
                <w:lang w:eastAsia="zh-CN"/>
              </w:rPr>
            </w:pPr>
          </w:p>
        </w:tc>
        <w:tc>
          <w:tcPr>
            <w:tcW w:w="881" w:type="dxa"/>
            <w:tcBorders>
              <w:top w:val="single" w:color="auto" w:sz="4" w:space="0"/>
              <w:left w:val="single" w:color="auto" w:sz="4" w:space="0"/>
              <w:bottom w:val="single" w:color="auto" w:sz="4" w:space="0"/>
              <w:right w:val="single" w:color="auto" w:sz="4" w:space="0"/>
            </w:tcBorders>
            <w:vAlign w:val="center"/>
          </w:tcPr>
          <w:p w14:paraId="2952D549">
            <w:pPr>
              <w:rPr>
                <w:rFonts w:eastAsia="楷体_GB2312"/>
                <w:b/>
                <w:sz w:val="18"/>
                <w:szCs w:val="18"/>
                <w:lang w:eastAsia="zh-CN"/>
              </w:rPr>
            </w:pPr>
          </w:p>
        </w:tc>
        <w:tc>
          <w:tcPr>
            <w:tcW w:w="856" w:type="dxa"/>
            <w:tcBorders>
              <w:top w:val="single" w:color="auto" w:sz="4" w:space="0"/>
              <w:left w:val="single" w:color="auto" w:sz="4" w:space="0"/>
              <w:bottom w:val="single" w:color="auto" w:sz="4" w:space="0"/>
              <w:right w:val="single" w:color="auto" w:sz="4" w:space="0"/>
            </w:tcBorders>
            <w:vAlign w:val="center"/>
          </w:tcPr>
          <w:p w14:paraId="69CD0F09">
            <w:pPr>
              <w:rPr>
                <w:rFonts w:eastAsia="楷体_GB2312"/>
                <w:b/>
                <w:sz w:val="18"/>
                <w:szCs w:val="18"/>
                <w:lang w:eastAsia="zh-CN"/>
              </w:rPr>
            </w:pPr>
          </w:p>
        </w:tc>
        <w:tc>
          <w:tcPr>
            <w:tcW w:w="852" w:type="dxa"/>
            <w:tcBorders>
              <w:top w:val="single" w:color="auto" w:sz="4" w:space="0"/>
              <w:left w:val="single" w:color="auto" w:sz="4" w:space="0"/>
              <w:bottom w:val="single" w:color="auto" w:sz="4" w:space="0"/>
              <w:right w:val="single" w:color="auto" w:sz="4" w:space="0"/>
            </w:tcBorders>
            <w:vAlign w:val="center"/>
          </w:tcPr>
          <w:p w14:paraId="7AC6AAFA">
            <w:pPr>
              <w:rPr>
                <w:rFonts w:eastAsia="楷体_GB2312"/>
                <w:b/>
                <w:sz w:val="18"/>
                <w:szCs w:val="18"/>
                <w:lang w:eastAsia="zh-CN"/>
              </w:rPr>
            </w:pPr>
          </w:p>
        </w:tc>
        <w:tc>
          <w:tcPr>
            <w:tcW w:w="1299" w:type="dxa"/>
            <w:gridSpan w:val="2"/>
            <w:tcBorders>
              <w:top w:val="single" w:color="auto" w:sz="4" w:space="0"/>
              <w:left w:val="single" w:color="auto" w:sz="4" w:space="0"/>
              <w:bottom w:val="single" w:color="auto" w:sz="4" w:space="0"/>
              <w:right w:val="single" w:color="auto" w:sz="4" w:space="0"/>
            </w:tcBorders>
            <w:vAlign w:val="center"/>
          </w:tcPr>
          <w:p w14:paraId="329A2970">
            <w:pPr>
              <w:rPr>
                <w:rFonts w:eastAsia="楷体_GB2312"/>
                <w:b/>
                <w:sz w:val="18"/>
                <w:szCs w:val="18"/>
                <w:lang w:eastAsia="zh-CN"/>
              </w:rPr>
            </w:pPr>
          </w:p>
        </w:tc>
        <w:tc>
          <w:tcPr>
            <w:tcW w:w="975" w:type="dxa"/>
            <w:tcBorders>
              <w:top w:val="single" w:color="auto" w:sz="4" w:space="0"/>
              <w:left w:val="single" w:color="auto" w:sz="4" w:space="0"/>
              <w:bottom w:val="single" w:color="auto" w:sz="4" w:space="0"/>
            </w:tcBorders>
            <w:vAlign w:val="center"/>
          </w:tcPr>
          <w:p w14:paraId="5F3487D3">
            <w:pPr>
              <w:rPr>
                <w:rFonts w:eastAsia="楷体_GB2312"/>
                <w:b/>
                <w:sz w:val="18"/>
                <w:szCs w:val="18"/>
                <w:lang w:eastAsia="zh-CN"/>
              </w:rPr>
            </w:pPr>
          </w:p>
        </w:tc>
      </w:tr>
      <w:tr w14:paraId="7019EB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2" w:hRule="atLeast"/>
        </w:trPr>
        <w:tc>
          <w:tcPr>
            <w:tcW w:w="2782" w:type="dxa"/>
            <w:tcBorders>
              <w:top w:val="single" w:color="auto" w:sz="4" w:space="0"/>
              <w:bottom w:val="single" w:color="auto" w:sz="4" w:space="0"/>
              <w:right w:val="single" w:color="auto" w:sz="4" w:space="0"/>
            </w:tcBorders>
            <w:vAlign w:val="center"/>
          </w:tcPr>
          <w:p w14:paraId="57F4486E">
            <w:pPr>
              <w:jc w:val="center"/>
              <w:rPr>
                <w:rFonts w:eastAsia="楷体_GB2312"/>
                <w:b/>
                <w:sz w:val="18"/>
                <w:szCs w:val="18"/>
                <w:lang w:eastAsia="zh-CN"/>
              </w:rPr>
            </w:pPr>
            <w:r>
              <w:rPr>
                <w:rFonts w:eastAsia="楷体_GB2312"/>
                <w:b/>
                <w:sz w:val="18"/>
                <w:szCs w:val="18"/>
                <w:lang w:eastAsia="zh-CN"/>
              </w:rPr>
              <w:t>二手车</w:t>
            </w:r>
          </w:p>
        </w:tc>
        <w:tc>
          <w:tcPr>
            <w:tcW w:w="966" w:type="dxa"/>
            <w:gridSpan w:val="2"/>
            <w:tcBorders>
              <w:top w:val="single" w:color="auto" w:sz="4" w:space="0"/>
              <w:left w:val="single" w:color="auto" w:sz="4" w:space="0"/>
              <w:bottom w:val="single" w:color="auto" w:sz="4" w:space="0"/>
              <w:right w:val="single" w:color="auto" w:sz="4" w:space="0"/>
            </w:tcBorders>
            <w:vAlign w:val="center"/>
          </w:tcPr>
          <w:p w14:paraId="518B9A1F">
            <w:pPr>
              <w:rPr>
                <w:rFonts w:eastAsia="楷体_GB2312"/>
                <w:b/>
                <w:sz w:val="18"/>
                <w:szCs w:val="18"/>
                <w:lang w:eastAsia="zh-CN"/>
              </w:rPr>
            </w:pPr>
          </w:p>
        </w:tc>
        <w:tc>
          <w:tcPr>
            <w:tcW w:w="881" w:type="dxa"/>
            <w:tcBorders>
              <w:top w:val="single" w:color="auto" w:sz="4" w:space="0"/>
              <w:left w:val="single" w:color="auto" w:sz="4" w:space="0"/>
              <w:bottom w:val="single" w:color="auto" w:sz="4" w:space="0"/>
              <w:right w:val="single" w:color="auto" w:sz="4" w:space="0"/>
            </w:tcBorders>
            <w:vAlign w:val="center"/>
          </w:tcPr>
          <w:p w14:paraId="73A48242">
            <w:pPr>
              <w:rPr>
                <w:rFonts w:eastAsia="楷体_GB2312"/>
                <w:b/>
                <w:sz w:val="18"/>
                <w:szCs w:val="18"/>
                <w:lang w:eastAsia="zh-CN"/>
              </w:rPr>
            </w:pPr>
          </w:p>
        </w:tc>
        <w:tc>
          <w:tcPr>
            <w:tcW w:w="856" w:type="dxa"/>
            <w:tcBorders>
              <w:top w:val="single" w:color="auto" w:sz="4" w:space="0"/>
              <w:left w:val="single" w:color="auto" w:sz="4" w:space="0"/>
              <w:bottom w:val="single" w:color="auto" w:sz="4" w:space="0"/>
              <w:right w:val="single" w:color="auto" w:sz="4" w:space="0"/>
            </w:tcBorders>
            <w:vAlign w:val="center"/>
          </w:tcPr>
          <w:p w14:paraId="09260681">
            <w:pPr>
              <w:rPr>
                <w:rFonts w:eastAsia="楷体_GB2312"/>
                <w:b/>
                <w:sz w:val="18"/>
                <w:szCs w:val="18"/>
                <w:lang w:eastAsia="zh-CN"/>
              </w:rPr>
            </w:pPr>
          </w:p>
        </w:tc>
        <w:tc>
          <w:tcPr>
            <w:tcW w:w="852" w:type="dxa"/>
            <w:tcBorders>
              <w:top w:val="single" w:color="auto" w:sz="4" w:space="0"/>
              <w:left w:val="single" w:color="auto" w:sz="4" w:space="0"/>
              <w:bottom w:val="single" w:color="auto" w:sz="4" w:space="0"/>
              <w:right w:val="single" w:color="auto" w:sz="4" w:space="0"/>
            </w:tcBorders>
            <w:vAlign w:val="center"/>
          </w:tcPr>
          <w:p w14:paraId="12D44554">
            <w:pPr>
              <w:rPr>
                <w:rFonts w:eastAsia="楷体_GB2312"/>
                <w:b/>
                <w:sz w:val="18"/>
                <w:szCs w:val="18"/>
                <w:lang w:eastAsia="zh-CN"/>
              </w:rPr>
            </w:pPr>
          </w:p>
        </w:tc>
        <w:tc>
          <w:tcPr>
            <w:tcW w:w="1299" w:type="dxa"/>
            <w:gridSpan w:val="2"/>
            <w:tcBorders>
              <w:top w:val="single" w:color="auto" w:sz="4" w:space="0"/>
              <w:left w:val="single" w:color="auto" w:sz="4" w:space="0"/>
              <w:bottom w:val="single" w:color="auto" w:sz="4" w:space="0"/>
              <w:right w:val="single" w:color="auto" w:sz="4" w:space="0"/>
            </w:tcBorders>
            <w:vAlign w:val="center"/>
          </w:tcPr>
          <w:p w14:paraId="74745F69">
            <w:pPr>
              <w:rPr>
                <w:rFonts w:eastAsia="楷体_GB2312"/>
                <w:b/>
                <w:sz w:val="18"/>
                <w:szCs w:val="18"/>
                <w:lang w:eastAsia="zh-CN"/>
              </w:rPr>
            </w:pPr>
          </w:p>
        </w:tc>
        <w:tc>
          <w:tcPr>
            <w:tcW w:w="975" w:type="dxa"/>
            <w:tcBorders>
              <w:top w:val="single" w:color="auto" w:sz="4" w:space="0"/>
              <w:left w:val="single" w:color="auto" w:sz="4" w:space="0"/>
              <w:bottom w:val="single" w:color="auto" w:sz="4" w:space="0"/>
            </w:tcBorders>
            <w:vAlign w:val="center"/>
          </w:tcPr>
          <w:p w14:paraId="2F7D2C51">
            <w:pPr>
              <w:rPr>
                <w:rFonts w:eastAsia="楷体_GB2312"/>
                <w:b/>
                <w:sz w:val="18"/>
                <w:szCs w:val="18"/>
                <w:lang w:eastAsia="zh-CN"/>
              </w:rPr>
            </w:pPr>
          </w:p>
        </w:tc>
      </w:tr>
      <w:tr w14:paraId="4CBE20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2" w:hRule="atLeast"/>
        </w:trPr>
        <w:tc>
          <w:tcPr>
            <w:tcW w:w="2782" w:type="dxa"/>
            <w:tcBorders>
              <w:top w:val="single" w:color="auto" w:sz="4" w:space="0"/>
              <w:bottom w:val="single" w:color="auto" w:sz="4" w:space="0"/>
              <w:right w:val="single" w:color="auto" w:sz="4" w:space="0"/>
            </w:tcBorders>
            <w:vAlign w:val="center"/>
          </w:tcPr>
          <w:p w14:paraId="2D7CCE65">
            <w:pPr>
              <w:jc w:val="center"/>
              <w:rPr>
                <w:rFonts w:eastAsia="楷体_GB2312"/>
                <w:b/>
                <w:sz w:val="18"/>
                <w:szCs w:val="18"/>
                <w:lang w:eastAsia="zh-CN"/>
              </w:rPr>
            </w:pPr>
            <w:r>
              <w:rPr>
                <w:rFonts w:eastAsia="楷体_GB2312"/>
                <w:b/>
                <w:sz w:val="18"/>
                <w:szCs w:val="18"/>
                <w:lang w:eastAsia="zh-CN"/>
              </w:rPr>
              <w:t>无抵押</w:t>
            </w:r>
          </w:p>
        </w:tc>
        <w:tc>
          <w:tcPr>
            <w:tcW w:w="966" w:type="dxa"/>
            <w:gridSpan w:val="2"/>
            <w:tcBorders>
              <w:top w:val="single" w:color="auto" w:sz="4" w:space="0"/>
              <w:left w:val="single" w:color="auto" w:sz="4" w:space="0"/>
              <w:bottom w:val="single" w:color="auto" w:sz="4" w:space="0"/>
              <w:right w:val="single" w:color="auto" w:sz="4" w:space="0"/>
            </w:tcBorders>
            <w:vAlign w:val="center"/>
          </w:tcPr>
          <w:p w14:paraId="2806D6BA">
            <w:pPr>
              <w:rPr>
                <w:rFonts w:eastAsia="楷体_GB2312"/>
                <w:b/>
                <w:sz w:val="18"/>
                <w:szCs w:val="18"/>
                <w:lang w:eastAsia="zh-CN"/>
              </w:rPr>
            </w:pPr>
          </w:p>
        </w:tc>
        <w:tc>
          <w:tcPr>
            <w:tcW w:w="881" w:type="dxa"/>
            <w:tcBorders>
              <w:top w:val="single" w:color="auto" w:sz="4" w:space="0"/>
              <w:left w:val="single" w:color="auto" w:sz="4" w:space="0"/>
              <w:bottom w:val="single" w:color="auto" w:sz="4" w:space="0"/>
              <w:right w:val="single" w:color="auto" w:sz="4" w:space="0"/>
            </w:tcBorders>
            <w:vAlign w:val="center"/>
          </w:tcPr>
          <w:p w14:paraId="296875D6">
            <w:pPr>
              <w:rPr>
                <w:rFonts w:eastAsia="楷体_GB2312"/>
                <w:b/>
                <w:sz w:val="18"/>
                <w:szCs w:val="18"/>
                <w:lang w:eastAsia="zh-CN"/>
              </w:rPr>
            </w:pPr>
          </w:p>
        </w:tc>
        <w:tc>
          <w:tcPr>
            <w:tcW w:w="856" w:type="dxa"/>
            <w:tcBorders>
              <w:top w:val="single" w:color="auto" w:sz="4" w:space="0"/>
              <w:left w:val="single" w:color="auto" w:sz="4" w:space="0"/>
              <w:bottom w:val="single" w:color="auto" w:sz="4" w:space="0"/>
              <w:right w:val="single" w:color="auto" w:sz="4" w:space="0"/>
            </w:tcBorders>
            <w:vAlign w:val="center"/>
          </w:tcPr>
          <w:p w14:paraId="277D6B89">
            <w:pPr>
              <w:rPr>
                <w:rFonts w:eastAsia="楷体_GB2312"/>
                <w:b/>
                <w:sz w:val="18"/>
                <w:szCs w:val="18"/>
                <w:lang w:eastAsia="zh-CN"/>
              </w:rPr>
            </w:pPr>
          </w:p>
        </w:tc>
        <w:tc>
          <w:tcPr>
            <w:tcW w:w="852" w:type="dxa"/>
            <w:tcBorders>
              <w:top w:val="single" w:color="auto" w:sz="4" w:space="0"/>
              <w:left w:val="single" w:color="auto" w:sz="4" w:space="0"/>
              <w:bottom w:val="single" w:color="auto" w:sz="4" w:space="0"/>
              <w:right w:val="single" w:color="auto" w:sz="4" w:space="0"/>
            </w:tcBorders>
            <w:vAlign w:val="center"/>
          </w:tcPr>
          <w:p w14:paraId="1193239D">
            <w:pPr>
              <w:rPr>
                <w:rFonts w:eastAsia="楷体_GB2312"/>
                <w:b/>
                <w:sz w:val="18"/>
                <w:szCs w:val="18"/>
                <w:lang w:eastAsia="zh-CN"/>
              </w:rPr>
            </w:pPr>
          </w:p>
        </w:tc>
        <w:tc>
          <w:tcPr>
            <w:tcW w:w="1299" w:type="dxa"/>
            <w:gridSpan w:val="2"/>
            <w:tcBorders>
              <w:top w:val="single" w:color="auto" w:sz="4" w:space="0"/>
              <w:left w:val="single" w:color="auto" w:sz="4" w:space="0"/>
              <w:bottom w:val="single" w:color="auto" w:sz="4" w:space="0"/>
              <w:right w:val="single" w:color="auto" w:sz="4" w:space="0"/>
            </w:tcBorders>
            <w:vAlign w:val="center"/>
          </w:tcPr>
          <w:p w14:paraId="54CA0464">
            <w:pPr>
              <w:rPr>
                <w:rFonts w:eastAsia="楷体_GB2312"/>
                <w:b/>
                <w:sz w:val="18"/>
                <w:szCs w:val="18"/>
                <w:lang w:eastAsia="zh-CN"/>
              </w:rPr>
            </w:pPr>
          </w:p>
        </w:tc>
        <w:tc>
          <w:tcPr>
            <w:tcW w:w="975" w:type="dxa"/>
            <w:tcBorders>
              <w:top w:val="single" w:color="auto" w:sz="4" w:space="0"/>
              <w:left w:val="single" w:color="auto" w:sz="4" w:space="0"/>
              <w:bottom w:val="single" w:color="auto" w:sz="4" w:space="0"/>
            </w:tcBorders>
            <w:vAlign w:val="center"/>
          </w:tcPr>
          <w:p w14:paraId="65175FAB">
            <w:pPr>
              <w:rPr>
                <w:rFonts w:eastAsia="楷体_GB2312"/>
                <w:b/>
                <w:sz w:val="18"/>
                <w:szCs w:val="18"/>
                <w:lang w:eastAsia="zh-CN"/>
              </w:rPr>
            </w:pPr>
          </w:p>
        </w:tc>
      </w:tr>
      <w:tr w14:paraId="58609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2" w:hRule="atLeast"/>
        </w:trPr>
        <w:tc>
          <w:tcPr>
            <w:tcW w:w="8611" w:type="dxa"/>
            <w:gridSpan w:val="9"/>
            <w:tcBorders>
              <w:top w:val="single" w:color="auto" w:sz="4" w:space="0"/>
              <w:bottom w:val="single" w:color="auto" w:sz="4" w:space="0"/>
            </w:tcBorders>
            <w:vAlign w:val="center"/>
          </w:tcPr>
          <w:p w14:paraId="34E53E42">
            <w:pPr>
              <w:rPr>
                <w:rFonts w:eastAsia="楷体_GB2312"/>
                <w:b/>
                <w:lang w:eastAsia="zh-CN"/>
              </w:rPr>
            </w:pPr>
          </w:p>
          <w:p w14:paraId="599230A2">
            <w:pPr>
              <w:rPr>
                <w:rFonts w:eastAsia="楷体_GB2312"/>
                <w:b/>
                <w:lang w:eastAsia="zh-CN"/>
              </w:rPr>
            </w:pPr>
            <w:r>
              <w:rPr>
                <w:rFonts w:eastAsia="楷体_GB2312"/>
                <w:b/>
                <w:lang w:eastAsia="zh-CN"/>
              </w:rPr>
              <w:t>2、贷款的初始价值比</w:t>
            </w:r>
          </w:p>
        </w:tc>
      </w:tr>
      <w:tr w14:paraId="750A50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2" w:hRule="atLeast"/>
        </w:trPr>
        <w:tc>
          <w:tcPr>
            <w:tcW w:w="2782" w:type="dxa"/>
            <w:vMerge w:val="restart"/>
            <w:tcBorders>
              <w:top w:val="single" w:color="auto" w:sz="4" w:space="0"/>
              <w:right w:val="single" w:color="auto" w:sz="4" w:space="0"/>
            </w:tcBorders>
            <w:vAlign w:val="center"/>
          </w:tcPr>
          <w:p w14:paraId="0D4234F7">
            <w:pPr>
              <w:jc w:val="center"/>
              <w:rPr>
                <w:rFonts w:eastAsia="楷体_GB2312"/>
                <w:b/>
                <w:sz w:val="18"/>
                <w:szCs w:val="18"/>
                <w:lang w:eastAsia="zh-CN"/>
              </w:rPr>
            </w:pPr>
            <w:r>
              <w:rPr>
                <w:rFonts w:eastAsia="楷体_GB2312"/>
                <w:b/>
                <w:sz w:val="18"/>
                <w:szCs w:val="18"/>
                <w:lang w:eastAsia="zh-CN"/>
              </w:rPr>
              <w:t>初始价值比（%）</w:t>
            </w:r>
          </w:p>
        </w:tc>
        <w:tc>
          <w:tcPr>
            <w:tcW w:w="1847" w:type="dxa"/>
            <w:gridSpan w:val="3"/>
            <w:tcBorders>
              <w:top w:val="single" w:color="auto" w:sz="4" w:space="0"/>
              <w:left w:val="single" w:color="auto" w:sz="4" w:space="0"/>
              <w:bottom w:val="single" w:color="auto" w:sz="4" w:space="0"/>
              <w:right w:val="single" w:color="auto" w:sz="4" w:space="0"/>
            </w:tcBorders>
            <w:vAlign w:val="center"/>
          </w:tcPr>
          <w:p w14:paraId="3FF6A2C6">
            <w:pPr>
              <w:jc w:val="center"/>
              <w:rPr>
                <w:rFonts w:eastAsia="楷体_GB2312"/>
                <w:b/>
                <w:sz w:val="18"/>
                <w:szCs w:val="18"/>
                <w:lang w:eastAsia="zh-CN"/>
              </w:rPr>
            </w:pPr>
            <w:r>
              <w:rPr>
                <w:rFonts w:eastAsia="楷体_GB2312"/>
                <w:b/>
                <w:sz w:val="18"/>
                <w:szCs w:val="18"/>
              </w:rPr>
              <w:t>初始起算日</w:t>
            </w:r>
          </w:p>
        </w:tc>
        <w:tc>
          <w:tcPr>
            <w:tcW w:w="1708" w:type="dxa"/>
            <w:gridSpan w:val="2"/>
            <w:tcBorders>
              <w:top w:val="single" w:color="auto" w:sz="4" w:space="0"/>
              <w:left w:val="single" w:color="auto" w:sz="4" w:space="0"/>
              <w:bottom w:val="single" w:color="auto" w:sz="4" w:space="0"/>
              <w:right w:val="single" w:color="auto" w:sz="4" w:space="0"/>
            </w:tcBorders>
            <w:vAlign w:val="center"/>
          </w:tcPr>
          <w:p w14:paraId="73CF64DC">
            <w:pPr>
              <w:jc w:val="center"/>
              <w:rPr>
                <w:rFonts w:eastAsia="楷体_GB2312"/>
                <w:b/>
                <w:sz w:val="18"/>
                <w:szCs w:val="18"/>
                <w:lang w:eastAsia="zh-CN"/>
              </w:rPr>
            </w:pPr>
            <w:r>
              <w:rPr>
                <w:rFonts w:eastAsia="楷体_GB2312"/>
                <w:b/>
                <w:sz w:val="18"/>
                <w:szCs w:val="18"/>
              </w:rPr>
              <w:t>上一</w:t>
            </w:r>
            <w:r>
              <w:rPr>
                <w:rFonts w:eastAsia="楷体_GB2312"/>
                <w:b/>
                <w:sz w:val="18"/>
                <w:szCs w:val="18"/>
                <w:lang w:eastAsia="zh-CN"/>
              </w:rPr>
              <w:t>报告</w:t>
            </w:r>
            <w:r>
              <w:rPr>
                <w:rFonts w:eastAsia="楷体_GB2312"/>
                <w:b/>
                <w:sz w:val="18"/>
                <w:szCs w:val="18"/>
              </w:rPr>
              <w:t>期末</w:t>
            </w:r>
          </w:p>
        </w:tc>
        <w:tc>
          <w:tcPr>
            <w:tcW w:w="2274" w:type="dxa"/>
            <w:gridSpan w:val="3"/>
            <w:tcBorders>
              <w:top w:val="single" w:color="auto" w:sz="4" w:space="0"/>
              <w:left w:val="single" w:color="auto" w:sz="4" w:space="0"/>
              <w:bottom w:val="single" w:color="auto" w:sz="4" w:space="0"/>
            </w:tcBorders>
            <w:vAlign w:val="center"/>
          </w:tcPr>
          <w:p w14:paraId="765D5171">
            <w:pPr>
              <w:jc w:val="center"/>
              <w:rPr>
                <w:rFonts w:eastAsia="楷体_GB2312"/>
                <w:b/>
                <w:sz w:val="18"/>
                <w:szCs w:val="18"/>
                <w:lang w:eastAsia="zh-CN"/>
              </w:rPr>
            </w:pPr>
            <w:r>
              <w:rPr>
                <w:rFonts w:eastAsia="楷体_GB2312"/>
                <w:b/>
                <w:sz w:val="18"/>
                <w:szCs w:val="18"/>
              </w:rPr>
              <w:t>本</w:t>
            </w:r>
            <w:r>
              <w:rPr>
                <w:rFonts w:eastAsia="楷体_GB2312"/>
                <w:b/>
                <w:sz w:val="18"/>
                <w:szCs w:val="18"/>
                <w:lang w:eastAsia="zh-CN"/>
              </w:rPr>
              <w:t>报告</w:t>
            </w:r>
            <w:r>
              <w:rPr>
                <w:rFonts w:eastAsia="楷体_GB2312"/>
                <w:b/>
                <w:sz w:val="18"/>
                <w:szCs w:val="18"/>
              </w:rPr>
              <w:t>期末</w:t>
            </w:r>
          </w:p>
        </w:tc>
      </w:tr>
      <w:tr w14:paraId="45136E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2" w:hRule="atLeast"/>
        </w:trPr>
        <w:tc>
          <w:tcPr>
            <w:tcW w:w="2782" w:type="dxa"/>
            <w:vMerge w:val="continue"/>
            <w:tcBorders>
              <w:bottom w:val="single" w:color="auto" w:sz="4" w:space="0"/>
              <w:right w:val="single" w:color="auto" w:sz="4" w:space="0"/>
            </w:tcBorders>
            <w:vAlign w:val="center"/>
          </w:tcPr>
          <w:p w14:paraId="27B6100E">
            <w:pPr>
              <w:jc w:val="center"/>
              <w:rPr>
                <w:rFonts w:eastAsia="楷体_GB2312"/>
                <w:b/>
                <w:sz w:val="18"/>
                <w:szCs w:val="18"/>
                <w:lang w:eastAsia="zh-CN"/>
              </w:rPr>
            </w:pPr>
          </w:p>
        </w:tc>
        <w:tc>
          <w:tcPr>
            <w:tcW w:w="966" w:type="dxa"/>
            <w:gridSpan w:val="2"/>
            <w:tcBorders>
              <w:top w:val="single" w:color="auto" w:sz="4" w:space="0"/>
              <w:left w:val="single" w:color="auto" w:sz="4" w:space="0"/>
              <w:bottom w:val="single" w:color="auto" w:sz="4" w:space="0"/>
              <w:right w:val="single" w:color="auto" w:sz="4" w:space="0"/>
            </w:tcBorders>
            <w:vAlign w:val="center"/>
          </w:tcPr>
          <w:p w14:paraId="0E92AA5A">
            <w:pPr>
              <w:jc w:val="center"/>
              <w:rPr>
                <w:rFonts w:eastAsia="楷体_GB2312"/>
                <w:b/>
                <w:sz w:val="18"/>
                <w:szCs w:val="18"/>
                <w:lang w:eastAsia="zh-CN"/>
              </w:rPr>
            </w:pPr>
            <w:r>
              <w:rPr>
                <w:rFonts w:eastAsia="楷体_GB2312"/>
                <w:b/>
                <w:sz w:val="18"/>
                <w:szCs w:val="18"/>
              </w:rPr>
              <w:t>未偿本金余额</w:t>
            </w:r>
          </w:p>
        </w:tc>
        <w:tc>
          <w:tcPr>
            <w:tcW w:w="881" w:type="dxa"/>
            <w:tcBorders>
              <w:top w:val="single" w:color="auto" w:sz="4" w:space="0"/>
              <w:left w:val="single" w:color="auto" w:sz="4" w:space="0"/>
              <w:bottom w:val="single" w:color="auto" w:sz="4" w:space="0"/>
              <w:right w:val="single" w:color="auto" w:sz="4" w:space="0"/>
            </w:tcBorders>
            <w:vAlign w:val="center"/>
          </w:tcPr>
          <w:p w14:paraId="2B9DFA31">
            <w:pPr>
              <w:jc w:val="center"/>
              <w:rPr>
                <w:rFonts w:eastAsia="楷体_GB2312"/>
                <w:b/>
                <w:sz w:val="18"/>
                <w:szCs w:val="18"/>
                <w:lang w:eastAsia="zh-CN"/>
              </w:rPr>
            </w:pPr>
            <w:r>
              <w:rPr>
                <w:rFonts w:eastAsia="楷体_GB2312"/>
                <w:b/>
                <w:sz w:val="18"/>
                <w:szCs w:val="18"/>
              </w:rPr>
              <w:t>占比</w:t>
            </w:r>
          </w:p>
        </w:tc>
        <w:tc>
          <w:tcPr>
            <w:tcW w:w="856" w:type="dxa"/>
            <w:tcBorders>
              <w:top w:val="single" w:color="auto" w:sz="4" w:space="0"/>
              <w:left w:val="single" w:color="auto" w:sz="4" w:space="0"/>
              <w:bottom w:val="single" w:color="auto" w:sz="4" w:space="0"/>
              <w:right w:val="single" w:color="auto" w:sz="4" w:space="0"/>
            </w:tcBorders>
            <w:vAlign w:val="center"/>
          </w:tcPr>
          <w:p w14:paraId="6693E5D1">
            <w:pPr>
              <w:jc w:val="center"/>
              <w:rPr>
                <w:rFonts w:eastAsia="楷体_GB2312"/>
                <w:b/>
                <w:sz w:val="18"/>
                <w:szCs w:val="18"/>
                <w:lang w:eastAsia="zh-CN"/>
              </w:rPr>
            </w:pPr>
            <w:r>
              <w:rPr>
                <w:rFonts w:eastAsia="楷体_GB2312"/>
                <w:b/>
                <w:sz w:val="18"/>
                <w:szCs w:val="18"/>
              </w:rPr>
              <w:t>未偿本金余额</w:t>
            </w:r>
          </w:p>
        </w:tc>
        <w:tc>
          <w:tcPr>
            <w:tcW w:w="852" w:type="dxa"/>
            <w:tcBorders>
              <w:top w:val="single" w:color="auto" w:sz="4" w:space="0"/>
              <w:left w:val="single" w:color="auto" w:sz="4" w:space="0"/>
              <w:bottom w:val="single" w:color="auto" w:sz="4" w:space="0"/>
              <w:right w:val="single" w:color="auto" w:sz="4" w:space="0"/>
            </w:tcBorders>
            <w:vAlign w:val="center"/>
          </w:tcPr>
          <w:p w14:paraId="52E46FB9">
            <w:pPr>
              <w:jc w:val="center"/>
              <w:rPr>
                <w:rFonts w:eastAsia="楷体_GB2312"/>
                <w:b/>
                <w:sz w:val="18"/>
                <w:szCs w:val="18"/>
                <w:lang w:eastAsia="zh-CN"/>
              </w:rPr>
            </w:pPr>
            <w:r>
              <w:rPr>
                <w:rFonts w:eastAsia="楷体_GB2312"/>
                <w:b/>
                <w:sz w:val="18"/>
                <w:szCs w:val="18"/>
              </w:rPr>
              <w:t>占比</w:t>
            </w:r>
          </w:p>
        </w:tc>
        <w:tc>
          <w:tcPr>
            <w:tcW w:w="1299" w:type="dxa"/>
            <w:gridSpan w:val="2"/>
            <w:tcBorders>
              <w:top w:val="single" w:color="auto" w:sz="4" w:space="0"/>
              <w:left w:val="single" w:color="auto" w:sz="4" w:space="0"/>
              <w:bottom w:val="single" w:color="auto" w:sz="4" w:space="0"/>
              <w:right w:val="single" w:color="auto" w:sz="4" w:space="0"/>
            </w:tcBorders>
            <w:vAlign w:val="center"/>
          </w:tcPr>
          <w:p w14:paraId="209EDC28">
            <w:pPr>
              <w:jc w:val="center"/>
              <w:rPr>
                <w:rFonts w:eastAsia="楷体_GB2312"/>
                <w:b/>
                <w:sz w:val="18"/>
                <w:szCs w:val="18"/>
                <w:lang w:eastAsia="zh-CN"/>
              </w:rPr>
            </w:pPr>
            <w:r>
              <w:rPr>
                <w:rFonts w:eastAsia="楷体_GB2312"/>
                <w:b/>
                <w:sz w:val="18"/>
                <w:szCs w:val="18"/>
              </w:rPr>
              <w:t>未偿本金余额</w:t>
            </w:r>
          </w:p>
        </w:tc>
        <w:tc>
          <w:tcPr>
            <w:tcW w:w="975" w:type="dxa"/>
            <w:tcBorders>
              <w:top w:val="single" w:color="auto" w:sz="4" w:space="0"/>
              <w:left w:val="single" w:color="auto" w:sz="4" w:space="0"/>
              <w:bottom w:val="single" w:color="auto" w:sz="4" w:space="0"/>
            </w:tcBorders>
            <w:vAlign w:val="center"/>
          </w:tcPr>
          <w:p w14:paraId="0970BD1B">
            <w:pPr>
              <w:jc w:val="center"/>
              <w:rPr>
                <w:rFonts w:eastAsia="楷体_GB2312"/>
                <w:b/>
                <w:sz w:val="18"/>
                <w:szCs w:val="18"/>
                <w:lang w:eastAsia="zh-CN"/>
              </w:rPr>
            </w:pPr>
            <w:r>
              <w:rPr>
                <w:rFonts w:eastAsia="楷体_GB2312"/>
                <w:b/>
                <w:sz w:val="18"/>
                <w:szCs w:val="18"/>
              </w:rPr>
              <w:t>占比</w:t>
            </w:r>
          </w:p>
        </w:tc>
      </w:tr>
      <w:tr w14:paraId="06D324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2" w:hRule="atLeast"/>
        </w:trPr>
        <w:tc>
          <w:tcPr>
            <w:tcW w:w="2782" w:type="dxa"/>
            <w:tcBorders>
              <w:top w:val="single" w:color="auto" w:sz="4" w:space="0"/>
              <w:bottom w:val="single" w:color="auto" w:sz="4" w:space="0"/>
              <w:right w:val="single" w:color="auto" w:sz="4" w:space="0"/>
            </w:tcBorders>
            <w:vAlign w:val="center"/>
          </w:tcPr>
          <w:p w14:paraId="158BBF12">
            <w:pPr>
              <w:jc w:val="center"/>
              <w:rPr>
                <w:rFonts w:eastAsia="楷体_GB2312"/>
                <w:b/>
                <w:sz w:val="18"/>
                <w:szCs w:val="18"/>
                <w:lang w:eastAsia="zh-CN"/>
              </w:rPr>
            </w:pPr>
            <w:r>
              <w:rPr>
                <w:rFonts w:eastAsia="楷体_GB2312"/>
                <w:sz w:val="18"/>
                <w:szCs w:val="18"/>
                <w:lang w:eastAsia="zh-CN"/>
              </w:rPr>
              <w:t>(0-10)</w:t>
            </w:r>
          </w:p>
        </w:tc>
        <w:tc>
          <w:tcPr>
            <w:tcW w:w="966" w:type="dxa"/>
            <w:gridSpan w:val="2"/>
            <w:tcBorders>
              <w:top w:val="single" w:color="auto" w:sz="4" w:space="0"/>
              <w:left w:val="single" w:color="auto" w:sz="4" w:space="0"/>
              <w:bottom w:val="single" w:color="auto" w:sz="4" w:space="0"/>
              <w:right w:val="single" w:color="auto" w:sz="4" w:space="0"/>
            </w:tcBorders>
            <w:vAlign w:val="center"/>
          </w:tcPr>
          <w:p w14:paraId="2D2DE5CA">
            <w:pPr>
              <w:rPr>
                <w:rFonts w:eastAsia="楷体_GB2312"/>
                <w:b/>
                <w:sz w:val="18"/>
                <w:szCs w:val="18"/>
                <w:lang w:eastAsia="zh-CN"/>
              </w:rPr>
            </w:pPr>
          </w:p>
        </w:tc>
        <w:tc>
          <w:tcPr>
            <w:tcW w:w="881" w:type="dxa"/>
            <w:tcBorders>
              <w:top w:val="single" w:color="auto" w:sz="4" w:space="0"/>
              <w:left w:val="single" w:color="auto" w:sz="4" w:space="0"/>
              <w:bottom w:val="single" w:color="auto" w:sz="4" w:space="0"/>
              <w:right w:val="single" w:color="auto" w:sz="4" w:space="0"/>
            </w:tcBorders>
            <w:vAlign w:val="center"/>
          </w:tcPr>
          <w:p w14:paraId="54D53E76">
            <w:pPr>
              <w:rPr>
                <w:rFonts w:eastAsia="楷体_GB2312"/>
                <w:b/>
                <w:sz w:val="18"/>
                <w:szCs w:val="18"/>
                <w:lang w:eastAsia="zh-CN"/>
              </w:rPr>
            </w:pPr>
          </w:p>
        </w:tc>
        <w:tc>
          <w:tcPr>
            <w:tcW w:w="856" w:type="dxa"/>
            <w:tcBorders>
              <w:top w:val="single" w:color="auto" w:sz="4" w:space="0"/>
              <w:left w:val="single" w:color="auto" w:sz="4" w:space="0"/>
              <w:bottom w:val="single" w:color="auto" w:sz="4" w:space="0"/>
              <w:right w:val="single" w:color="auto" w:sz="4" w:space="0"/>
            </w:tcBorders>
            <w:vAlign w:val="center"/>
          </w:tcPr>
          <w:p w14:paraId="13CA2B08">
            <w:pPr>
              <w:rPr>
                <w:rFonts w:eastAsia="楷体_GB2312"/>
                <w:b/>
                <w:sz w:val="18"/>
                <w:szCs w:val="18"/>
                <w:lang w:eastAsia="zh-CN"/>
              </w:rPr>
            </w:pPr>
          </w:p>
        </w:tc>
        <w:tc>
          <w:tcPr>
            <w:tcW w:w="852" w:type="dxa"/>
            <w:tcBorders>
              <w:top w:val="single" w:color="auto" w:sz="4" w:space="0"/>
              <w:left w:val="single" w:color="auto" w:sz="4" w:space="0"/>
              <w:bottom w:val="single" w:color="auto" w:sz="4" w:space="0"/>
              <w:right w:val="single" w:color="auto" w:sz="4" w:space="0"/>
            </w:tcBorders>
            <w:vAlign w:val="center"/>
          </w:tcPr>
          <w:p w14:paraId="4DE1968A">
            <w:pPr>
              <w:rPr>
                <w:rFonts w:eastAsia="楷体_GB2312"/>
                <w:b/>
                <w:sz w:val="18"/>
                <w:szCs w:val="18"/>
                <w:lang w:eastAsia="zh-CN"/>
              </w:rPr>
            </w:pPr>
          </w:p>
        </w:tc>
        <w:tc>
          <w:tcPr>
            <w:tcW w:w="1299" w:type="dxa"/>
            <w:gridSpan w:val="2"/>
            <w:tcBorders>
              <w:top w:val="single" w:color="auto" w:sz="4" w:space="0"/>
              <w:left w:val="single" w:color="auto" w:sz="4" w:space="0"/>
              <w:bottom w:val="single" w:color="auto" w:sz="4" w:space="0"/>
              <w:right w:val="single" w:color="auto" w:sz="4" w:space="0"/>
            </w:tcBorders>
            <w:vAlign w:val="center"/>
          </w:tcPr>
          <w:p w14:paraId="625914A8">
            <w:pPr>
              <w:rPr>
                <w:rFonts w:eastAsia="楷体_GB2312"/>
                <w:b/>
                <w:sz w:val="18"/>
                <w:szCs w:val="18"/>
                <w:lang w:eastAsia="zh-CN"/>
              </w:rPr>
            </w:pPr>
          </w:p>
        </w:tc>
        <w:tc>
          <w:tcPr>
            <w:tcW w:w="975" w:type="dxa"/>
            <w:tcBorders>
              <w:top w:val="single" w:color="auto" w:sz="4" w:space="0"/>
              <w:left w:val="single" w:color="auto" w:sz="4" w:space="0"/>
              <w:bottom w:val="single" w:color="auto" w:sz="4" w:space="0"/>
            </w:tcBorders>
            <w:vAlign w:val="center"/>
          </w:tcPr>
          <w:p w14:paraId="0E7A59C9">
            <w:pPr>
              <w:rPr>
                <w:rFonts w:eastAsia="楷体_GB2312"/>
                <w:b/>
                <w:sz w:val="18"/>
                <w:szCs w:val="18"/>
                <w:lang w:eastAsia="zh-CN"/>
              </w:rPr>
            </w:pPr>
          </w:p>
        </w:tc>
      </w:tr>
      <w:tr w14:paraId="7275CA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2" w:hRule="atLeast"/>
        </w:trPr>
        <w:tc>
          <w:tcPr>
            <w:tcW w:w="2782" w:type="dxa"/>
            <w:tcBorders>
              <w:top w:val="single" w:color="auto" w:sz="4" w:space="0"/>
              <w:bottom w:val="single" w:color="auto" w:sz="4" w:space="0"/>
              <w:right w:val="single" w:color="auto" w:sz="4" w:space="0"/>
            </w:tcBorders>
            <w:vAlign w:val="center"/>
          </w:tcPr>
          <w:p w14:paraId="6D3D4934">
            <w:pPr>
              <w:jc w:val="center"/>
              <w:rPr>
                <w:rFonts w:eastAsia="楷体_GB2312"/>
                <w:b/>
                <w:sz w:val="18"/>
                <w:szCs w:val="18"/>
                <w:lang w:eastAsia="zh-CN"/>
              </w:rPr>
            </w:pPr>
            <w:r>
              <w:rPr>
                <w:rFonts w:eastAsia="楷体_GB2312"/>
                <w:sz w:val="18"/>
                <w:szCs w:val="18"/>
                <w:lang w:eastAsia="zh-CN"/>
              </w:rPr>
              <w:t>[10-20)</w:t>
            </w:r>
          </w:p>
        </w:tc>
        <w:tc>
          <w:tcPr>
            <w:tcW w:w="966" w:type="dxa"/>
            <w:gridSpan w:val="2"/>
            <w:tcBorders>
              <w:top w:val="single" w:color="auto" w:sz="4" w:space="0"/>
              <w:left w:val="single" w:color="auto" w:sz="4" w:space="0"/>
              <w:bottom w:val="single" w:color="auto" w:sz="4" w:space="0"/>
              <w:right w:val="single" w:color="auto" w:sz="4" w:space="0"/>
            </w:tcBorders>
            <w:vAlign w:val="center"/>
          </w:tcPr>
          <w:p w14:paraId="632E424E">
            <w:pPr>
              <w:rPr>
                <w:rFonts w:eastAsia="楷体_GB2312"/>
                <w:b/>
                <w:sz w:val="18"/>
                <w:szCs w:val="18"/>
                <w:lang w:eastAsia="zh-CN"/>
              </w:rPr>
            </w:pPr>
          </w:p>
        </w:tc>
        <w:tc>
          <w:tcPr>
            <w:tcW w:w="881" w:type="dxa"/>
            <w:tcBorders>
              <w:top w:val="single" w:color="auto" w:sz="4" w:space="0"/>
              <w:left w:val="single" w:color="auto" w:sz="4" w:space="0"/>
              <w:bottom w:val="single" w:color="auto" w:sz="4" w:space="0"/>
              <w:right w:val="single" w:color="auto" w:sz="4" w:space="0"/>
            </w:tcBorders>
            <w:vAlign w:val="center"/>
          </w:tcPr>
          <w:p w14:paraId="00B29244">
            <w:pPr>
              <w:rPr>
                <w:rFonts w:eastAsia="楷体_GB2312"/>
                <w:b/>
                <w:sz w:val="18"/>
                <w:szCs w:val="18"/>
                <w:lang w:eastAsia="zh-CN"/>
              </w:rPr>
            </w:pPr>
          </w:p>
        </w:tc>
        <w:tc>
          <w:tcPr>
            <w:tcW w:w="856" w:type="dxa"/>
            <w:tcBorders>
              <w:top w:val="single" w:color="auto" w:sz="4" w:space="0"/>
              <w:left w:val="single" w:color="auto" w:sz="4" w:space="0"/>
              <w:bottom w:val="single" w:color="auto" w:sz="4" w:space="0"/>
              <w:right w:val="single" w:color="auto" w:sz="4" w:space="0"/>
            </w:tcBorders>
            <w:vAlign w:val="center"/>
          </w:tcPr>
          <w:p w14:paraId="5DA1EBB4">
            <w:pPr>
              <w:rPr>
                <w:rFonts w:eastAsia="楷体_GB2312"/>
                <w:b/>
                <w:sz w:val="18"/>
                <w:szCs w:val="18"/>
                <w:lang w:eastAsia="zh-CN"/>
              </w:rPr>
            </w:pPr>
          </w:p>
        </w:tc>
        <w:tc>
          <w:tcPr>
            <w:tcW w:w="852" w:type="dxa"/>
            <w:tcBorders>
              <w:top w:val="single" w:color="auto" w:sz="4" w:space="0"/>
              <w:left w:val="single" w:color="auto" w:sz="4" w:space="0"/>
              <w:bottom w:val="single" w:color="auto" w:sz="4" w:space="0"/>
              <w:right w:val="single" w:color="auto" w:sz="4" w:space="0"/>
            </w:tcBorders>
            <w:vAlign w:val="center"/>
          </w:tcPr>
          <w:p w14:paraId="27DC50A7">
            <w:pPr>
              <w:rPr>
                <w:rFonts w:eastAsia="楷体_GB2312"/>
                <w:b/>
                <w:sz w:val="18"/>
                <w:szCs w:val="18"/>
                <w:lang w:eastAsia="zh-CN"/>
              </w:rPr>
            </w:pPr>
          </w:p>
        </w:tc>
        <w:tc>
          <w:tcPr>
            <w:tcW w:w="1299" w:type="dxa"/>
            <w:gridSpan w:val="2"/>
            <w:tcBorders>
              <w:top w:val="single" w:color="auto" w:sz="4" w:space="0"/>
              <w:left w:val="single" w:color="auto" w:sz="4" w:space="0"/>
              <w:bottom w:val="single" w:color="auto" w:sz="4" w:space="0"/>
              <w:right w:val="single" w:color="auto" w:sz="4" w:space="0"/>
            </w:tcBorders>
            <w:vAlign w:val="center"/>
          </w:tcPr>
          <w:p w14:paraId="4A0EEA10">
            <w:pPr>
              <w:rPr>
                <w:rFonts w:eastAsia="楷体_GB2312"/>
                <w:b/>
                <w:sz w:val="18"/>
                <w:szCs w:val="18"/>
                <w:lang w:eastAsia="zh-CN"/>
              </w:rPr>
            </w:pPr>
          </w:p>
        </w:tc>
        <w:tc>
          <w:tcPr>
            <w:tcW w:w="975" w:type="dxa"/>
            <w:tcBorders>
              <w:top w:val="single" w:color="auto" w:sz="4" w:space="0"/>
              <w:left w:val="single" w:color="auto" w:sz="4" w:space="0"/>
              <w:bottom w:val="single" w:color="auto" w:sz="4" w:space="0"/>
            </w:tcBorders>
            <w:vAlign w:val="center"/>
          </w:tcPr>
          <w:p w14:paraId="39364805">
            <w:pPr>
              <w:rPr>
                <w:rFonts w:eastAsia="楷体_GB2312"/>
                <w:b/>
                <w:sz w:val="18"/>
                <w:szCs w:val="18"/>
                <w:lang w:eastAsia="zh-CN"/>
              </w:rPr>
            </w:pPr>
          </w:p>
        </w:tc>
      </w:tr>
      <w:tr w14:paraId="712BCF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2" w:hRule="atLeast"/>
        </w:trPr>
        <w:tc>
          <w:tcPr>
            <w:tcW w:w="2782" w:type="dxa"/>
            <w:tcBorders>
              <w:top w:val="single" w:color="auto" w:sz="4" w:space="0"/>
              <w:bottom w:val="single" w:color="auto" w:sz="4" w:space="0"/>
              <w:right w:val="single" w:color="auto" w:sz="4" w:space="0"/>
            </w:tcBorders>
            <w:vAlign w:val="center"/>
          </w:tcPr>
          <w:p w14:paraId="2BE08CB4">
            <w:pPr>
              <w:jc w:val="center"/>
              <w:rPr>
                <w:rFonts w:eastAsia="楷体_GB2312"/>
                <w:b/>
                <w:sz w:val="18"/>
                <w:szCs w:val="18"/>
                <w:lang w:eastAsia="zh-CN"/>
              </w:rPr>
            </w:pPr>
            <w:r>
              <w:rPr>
                <w:rFonts w:eastAsia="楷体_GB2312"/>
                <w:sz w:val="18"/>
                <w:szCs w:val="18"/>
                <w:lang w:eastAsia="zh-CN"/>
              </w:rPr>
              <w:t>[20-30)</w:t>
            </w:r>
          </w:p>
        </w:tc>
        <w:tc>
          <w:tcPr>
            <w:tcW w:w="966" w:type="dxa"/>
            <w:gridSpan w:val="2"/>
            <w:tcBorders>
              <w:top w:val="single" w:color="auto" w:sz="4" w:space="0"/>
              <w:left w:val="single" w:color="auto" w:sz="4" w:space="0"/>
              <w:bottom w:val="single" w:color="auto" w:sz="4" w:space="0"/>
              <w:right w:val="single" w:color="auto" w:sz="4" w:space="0"/>
            </w:tcBorders>
            <w:vAlign w:val="center"/>
          </w:tcPr>
          <w:p w14:paraId="60829D3F">
            <w:pPr>
              <w:rPr>
                <w:rFonts w:eastAsia="楷体_GB2312"/>
                <w:b/>
                <w:sz w:val="18"/>
                <w:szCs w:val="18"/>
                <w:lang w:eastAsia="zh-CN"/>
              </w:rPr>
            </w:pPr>
          </w:p>
        </w:tc>
        <w:tc>
          <w:tcPr>
            <w:tcW w:w="881" w:type="dxa"/>
            <w:tcBorders>
              <w:top w:val="single" w:color="auto" w:sz="4" w:space="0"/>
              <w:left w:val="single" w:color="auto" w:sz="4" w:space="0"/>
              <w:bottom w:val="single" w:color="auto" w:sz="4" w:space="0"/>
              <w:right w:val="single" w:color="auto" w:sz="4" w:space="0"/>
            </w:tcBorders>
            <w:vAlign w:val="center"/>
          </w:tcPr>
          <w:p w14:paraId="0DD75B26">
            <w:pPr>
              <w:rPr>
                <w:rFonts w:eastAsia="楷体_GB2312"/>
                <w:b/>
                <w:sz w:val="18"/>
                <w:szCs w:val="18"/>
                <w:lang w:eastAsia="zh-CN"/>
              </w:rPr>
            </w:pPr>
          </w:p>
        </w:tc>
        <w:tc>
          <w:tcPr>
            <w:tcW w:w="856" w:type="dxa"/>
            <w:tcBorders>
              <w:top w:val="single" w:color="auto" w:sz="4" w:space="0"/>
              <w:left w:val="single" w:color="auto" w:sz="4" w:space="0"/>
              <w:bottom w:val="single" w:color="auto" w:sz="4" w:space="0"/>
              <w:right w:val="single" w:color="auto" w:sz="4" w:space="0"/>
            </w:tcBorders>
            <w:vAlign w:val="center"/>
          </w:tcPr>
          <w:p w14:paraId="19D06B71">
            <w:pPr>
              <w:rPr>
                <w:rFonts w:eastAsia="楷体_GB2312"/>
                <w:b/>
                <w:sz w:val="18"/>
                <w:szCs w:val="18"/>
                <w:lang w:eastAsia="zh-CN"/>
              </w:rPr>
            </w:pPr>
          </w:p>
        </w:tc>
        <w:tc>
          <w:tcPr>
            <w:tcW w:w="852" w:type="dxa"/>
            <w:tcBorders>
              <w:top w:val="single" w:color="auto" w:sz="4" w:space="0"/>
              <w:left w:val="single" w:color="auto" w:sz="4" w:space="0"/>
              <w:bottom w:val="single" w:color="auto" w:sz="4" w:space="0"/>
              <w:right w:val="single" w:color="auto" w:sz="4" w:space="0"/>
            </w:tcBorders>
            <w:vAlign w:val="center"/>
          </w:tcPr>
          <w:p w14:paraId="6BB68F16">
            <w:pPr>
              <w:rPr>
                <w:rFonts w:eastAsia="楷体_GB2312"/>
                <w:b/>
                <w:sz w:val="18"/>
                <w:szCs w:val="18"/>
                <w:lang w:eastAsia="zh-CN"/>
              </w:rPr>
            </w:pPr>
          </w:p>
        </w:tc>
        <w:tc>
          <w:tcPr>
            <w:tcW w:w="1299" w:type="dxa"/>
            <w:gridSpan w:val="2"/>
            <w:tcBorders>
              <w:top w:val="single" w:color="auto" w:sz="4" w:space="0"/>
              <w:left w:val="single" w:color="auto" w:sz="4" w:space="0"/>
              <w:bottom w:val="single" w:color="auto" w:sz="4" w:space="0"/>
              <w:right w:val="single" w:color="auto" w:sz="4" w:space="0"/>
            </w:tcBorders>
            <w:vAlign w:val="center"/>
          </w:tcPr>
          <w:p w14:paraId="559C324E">
            <w:pPr>
              <w:rPr>
                <w:rFonts w:eastAsia="楷体_GB2312"/>
                <w:b/>
                <w:sz w:val="18"/>
                <w:szCs w:val="18"/>
                <w:lang w:eastAsia="zh-CN"/>
              </w:rPr>
            </w:pPr>
          </w:p>
        </w:tc>
        <w:tc>
          <w:tcPr>
            <w:tcW w:w="975" w:type="dxa"/>
            <w:tcBorders>
              <w:top w:val="single" w:color="auto" w:sz="4" w:space="0"/>
              <w:left w:val="single" w:color="auto" w:sz="4" w:space="0"/>
              <w:bottom w:val="single" w:color="auto" w:sz="4" w:space="0"/>
            </w:tcBorders>
            <w:vAlign w:val="center"/>
          </w:tcPr>
          <w:p w14:paraId="6442C927">
            <w:pPr>
              <w:rPr>
                <w:rFonts w:eastAsia="楷体_GB2312"/>
                <w:b/>
                <w:sz w:val="18"/>
                <w:szCs w:val="18"/>
                <w:lang w:eastAsia="zh-CN"/>
              </w:rPr>
            </w:pPr>
          </w:p>
        </w:tc>
      </w:tr>
      <w:tr w14:paraId="55D66B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2" w:hRule="atLeast"/>
        </w:trPr>
        <w:tc>
          <w:tcPr>
            <w:tcW w:w="2782" w:type="dxa"/>
            <w:tcBorders>
              <w:top w:val="single" w:color="auto" w:sz="4" w:space="0"/>
              <w:bottom w:val="single" w:color="auto" w:sz="4" w:space="0"/>
              <w:right w:val="single" w:color="auto" w:sz="4" w:space="0"/>
            </w:tcBorders>
            <w:vAlign w:val="center"/>
          </w:tcPr>
          <w:p w14:paraId="38D00E98">
            <w:pPr>
              <w:jc w:val="center"/>
              <w:rPr>
                <w:rFonts w:eastAsia="楷体_GB2312"/>
                <w:b/>
                <w:sz w:val="18"/>
                <w:szCs w:val="18"/>
                <w:lang w:eastAsia="zh-CN"/>
              </w:rPr>
            </w:pPr>
            <w:r>
              <w:rPr>
                <w:rFonts w:eastAsia="楷体_GB2312"/>
                <w:sz w:val="18"/>
                <w:szCs w:val="18"/>
                <w:lang w:eastAsia="zh-CN"/>
              </w:rPr>
              <w:t>[30-40)</w:t>
            </w:r>
          </w:p>
        </w:tc>
        <w:tc>
          <w:tcPr>
            <w:tcW w:w="966" w:type="dxa"/>
            <w:gridSpan w:val="2"/>
            <w:tcBorders>
              <w:top w:val="single" w:color="auto" w:sz="4" w:space="0"/>
              <w:left w:val="single" w:color="auto" w:sz="4" w:space="0"/>
              <w:bottom w:val="single" w:color="auto" w:sz="4" w:space="0"/>
              <w:right w:val="single" w:color="auto" w:sz="4" w:space="0"/>
            </w:tcBorders>
            <w:vAlign w:val="center"/>
          </w:tcPr>
          <w:p w14:paraId="20CCA155">
            <w:pPr>
              <w:rPr>
                <w:rFonts w:eastAsia="楷体_GB2312"/>
                <w:b/>
                <w:sz w:val="18"/>
                <w:szCs w:val="18"/>
                <w:lang w:eastAsia="zh-CN"/>
              </w:rPr>
            </w:pPr>
          </w:p>
        </w:tc>
        <w:tc>
          <w:tcPr>
            <w:tcW w:w="881" w:type="dxa"/>
            <w:tcBorders>
              <w:top w:val="single" w:color="auto" w:sz="4" w:space="0"/>
              <w:left w:val="single" w:color="auto" w:sz="4" w:space="0"/>
              <w:bottom w:val="single" w:color="auto" w:sz="4" w:space="0"/>
              <w:right w:val="single" w:color="auto" w:sz="4" w:space="0"/>
            </w:tcBorders>
            <w:vAlign w:val="center"/>
          </w:tcPr>
          <w:p w14:paraId="6555F1A0">
            <w:pPr>
              <w:rPr>
                <w:rFonts w:eastAsia="楷体_GB2312"/>
                <w:b/>
                <w:sz w:val="18"/>
                <w:szCs w:val="18"/>
                <w:lang w:eastAsia="zh-CN"/>
              </w:rPr>
            </w:pPr>
          </w:p>
        </w:tc>
        <w:tc>
          <w:tcPr>
            <w:tcW w:w="856" w:type="dxa"/>
            <w:tcBorders>
              <w:top w:val="single" w:color="auto" w:sz="4" w:space="0"/>
              <w:left w:val="single" w:color="auto" w:sz="4" w:space="0"/>
              <w:bottom w:val="single" w:color="auto" w:sz="4" w:space="0"/>
              <w:right w:val="single" w:color="auto" w:sz="4" w:space="0"/>
            </w:tcBorders>
            <w:vAlign w:val="center"/>
          </w:tcPr>
          <w:p w14:paraId="2D23665C">
            <w:pPr>
              <w:rPr>
                <w:rFonts w:eastAsia="楷体_GB2312"/>
                <w:b/>
                <w:sz w:val="18"/>
                <w:szCs w:val="18"/>
                <w:lang w:eastAsia="zh-CN"/>
              </w:rPr>
            </w:pPr>
          </w:p>
        </w:tc>
        <w:tc>
          <w:tcPr>
            <w:tcW w:w="852" w:type="dxa"/>
            <w:tcBorders>
              <w:top w:val="single" w:color="auto" w:sz="4" w:space="0"/>
              <w:left w:val="single" w:color="auto" w:sz="4" w:space="0"/>
              <w:bottom w:val="single" w:color="auto" w:sz="4" w:space="0"/>
              <w:right w:val="single" w:color="auto" w:sz="4" w:space="0"/>
            </w:tcBorders>
            <w:vAlign w:val="center"/>
          </w:tcPr>
          <w:p w14:paraId="421AAC17">
            <w:pPr>
              <w:rPr>
                <w:rFonts w:eastAsia="楷体_GB2312"/>
                <w:b/>
                <w:sz w:val="18"/>
                <w:szCs w:val="18"/>
                <w:lang w:eastAsia="zh-CN"/>
              </w:rPr>
            </w:pPr>
          </w:p>
        </w:tc>
        <w:tc>
          <w:tcPr>
            <w:tcW w:w="1299" w:type="dxa"/>
            <w:gridSpan w:val="2"/>
            <w:tcBorders>
              <w:top w:val="single" w:color="auto" w:sz="4" w:space="0"/>
              <w:left w:val="single" w:color="auto" w:sz="4" w:space="0"/>
              <w:bottom w:val="single" w:color="auto" w:sz="4" w:space="0"/>
              <w:right w:val="single" w:color="auto" w:sz="4" w:space="0"/>
            </w:tcBorders>
            <w:vAlign w:val="center"/>
          </w:tcPr>
          <w:p w14:paraId="1448D1F0">
            <w:pPr>
              <w:rPr>
                <w:rFonts w:eastAsia="楷体_GB2312"/>
                <w:b/>
                <w:sz w:val="18"/>
                <w:szCs w:val="18"/>
                <w:lang w:eastAsia="zh-CN"/>
              </w:rPr>
            </w:pPr>
          </w:p>
        </w:tc>
        <w:tc>
          <w:tcPr>
            <w:tcW w:w="975" w:type="dxa"/>
            <w:tcBorders>
              <w:top w:val="single" w:color="auto" w:sz="4" w:space="0"/>
              <w:left w:val="single" w:color="auto" w:sz="4" w:space="0"/>
              <w:bottom w:val="single" w:color="auto" w:sz="4" w:space="0"/>
            </w:tcBorders>
            <w:vAlign w:val="center"/>
          </w:tcPr>
          <w:p w14:paraId="48AAA706">
            <w:pPr>
              <w:rPr>
                <w:rFonts w:eastAsia="楷体_GB2312"/>
                <w:b/>
                <w:sz w:val="18"/>
                <w:szCs w:val="18"/>
                <w:lang w:eastAsia="zh-CN"/>
              </w:rPr>
            </w:pPr>
          </w:p>
        </w:tc>
      </w:tr>
      <w:tr w14:paraId="484810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2" w:hRule="atLeast"/>
        </w:trPr>
        <w:tc>
          <w:tcPr>
            <w:tcW w:w="2782" w:type="dxa"/>
            <w:tcBorders>
              <w:top w:val="single" w:color="auto" w:sz="4" w:space="0"/>
              <w:bottom w:val="single" w:color="auto" w:sz="4" w:space="0"/>
              <w:right w:val="single" w:color="auto" w:sz="4" w:space="0"/>
            </w:tcBorders>
            <w:vAlign w:val="center"/>
          </w:tcPr>
          <w:p w14:paraId="1DF6EEF0">
            <w:pPr>
              <w:jc w:val="center"/>
              <w:rPr>
                <w:rFonts w:eastAsia="楷体_GB2312"/>
                <w:b/>
                <w:sz w:val="18"/>
                <w:szCs w:val="18"/>
                <w:lang w:eastAsia="zh-CN"/>
              </w:rPr>
            </w:pPr>
            <w:r>
              <w:rPr>
                <w:rFonts w:eastAsia="楷体_GB2312"/>
                <w:sz w:val="18"/>
                <w:szCs w:val="18"/>
                <w:lang w:eastAsia="zh-CN"/>
              </w:rPr>
              <w:t>[40-50)</w:t>
            </w:r>
          </w:p>
        </w:tc>
        <w:tc>
          <w:tcPr>
            <w:tcW w:w="966" w:type="dxa"/>
            <w:gridSpan w:val="2"/>
            <w:tcBorders>
              <w:top w:val="single" w:color="auto" w:sz="4" w:space="0"/>
              <w:left w:val="single" w:color="auto" w:sz="4" w:space="0"/>
              <w:bottom w:val="single" w:color="auto" w:sz="4" w:space="0"/>
              <w:right w:val="single" w:color="auto" w:sz="4" w:space="0"/>
            </w:tcBorders>
            <w:vAlign w:val="center"/>
          </w:tcPr>
          <w:p w14:paraId="25393B7D">
            <w:pPr>
              <w:rPr>
                <w:rFonts w:eastAsia="楷体_GB2312"/>
                <w:b/>
                <w:sz w:val="18"/>
                <w:szCs w:val="18"/>
                <w:lang w:eastAsia="zh-CN"/>
              </w:rPr>
            </w:pPr>
          </w:p>
        </w:tc>
        <w:tc>
          <w:tcPr>
            <w:tcW w:w="881" w:type="dxa"/>
            <w:tcBorders>
              <w:top w:val="single" w:color="auto" w:sz="4" w:space="0"/>
              <w:left w:val="single" w:color="auto" w:sz="4" w:space="0"/>
              <w:bottom w:val="single" w:color="auto" w:sz="4" w:space="0"/>
              <w:right w:val="single" w:color="auto" w:sz="4" w:space="0"/>
            </w:tcBorders>
            <w:vAlign w:val="center"/>
          </w:tcPr>
          <w:p w14:paraId="1FABFD22">
            <w:pPr>
              <w:rPr>
                <w:rFonts w:eastAsia="楷体_GB2312"/>
                <w:b/>
                <w:sz w:val="18"/>
                <w:szCs w:val="18"/>
                <w:lang w:eastAsia="zh-CN"/>
              </w:rPr>
            </w:pPr>
          </w:p>
        </w:tc>
        <w:tc>
          <w:tcPr>
            <w:tcW w:w="856" w:type="dxa"/>
            <w:tcBorders>
              <w:top w:val="single" w:color="auto" w:sz="4" w:space="0"/>
              <w:left w:val="single" w:color="auto" w:sz="4" w:space="0"/>
              <w:bottom w:val="single" w:color="auto" w:sz="4" w:space="0"/>
              <w:right w:val="single" w:color="auto" w:sz="4" w:space="0"/>
            </w:tcBorders>
            <w:vAlign w:val="center"/>
          </w:tcPr>
          <w:p w14:paraId="241AC936">
            <w:pPr>
              <w:rPr>
                <w:rFonts w:eastAsia="楷体_GB2312"/>
                <w:b/>
                <w:sz w:val="18"/>
                <w:szCs w:val="18"/>
                <w:lang w:eastAsia="zh-CN"/>
              </w:rPr>
            </w:pPr>
          </w:p>
        </w:tc>
        <w:tc>
          <w:tcPr>
            <w:tcW w:w="852" w:type="dxa"/>
            <w:tcBorders>
              <w:top w:val="single" w:color="auto" w:sz="4" w:space="0"/>
              <w:left w:val="single" w:color="auto" w:sz="4" w:space="0"/>
              <w:bottom w:val="single" w:color="auto" w:sz="4" w:space="0"/>
              <w:right w:val="single" w:color="auto" w:sz="4" w:space="0"/>
            </w:tcBorders>
            <w:vAlign w:val="center"/>
          </w:tcPr>
          <w:p w14:paraId="32A5D783">
            <w:pPr>
              <w:rPr>
                <w:rFonts w:eastAsia="楷体_GB2312"/>
                <w:b/>
                <w:sz w:val="18"/>
                <w:szCs w:val="18"/>
                <w:lang w:eastAsia="zh-CN"/>
              </w:rPr>
            </w:pPr>
          </w:p>
        </w:tc>
        <w:tc>
          <w:tcPr>
            <w:tcW w:w="1299" w:type="dxa"/>
            <w:gridSpan w:val="2"/>
            <w:tcBorders>
              <w:top w:val="single" w:color="auto" w:sz="4" w:space="0"/>
              <w:left w:val="single" w:color="auto" w:sz="4" w:space="0"/>
              <w:bottom w:val="single" w:color="auto" w:sz="4" w:space="0"/>
              <w:right w:val="single" w:color="auto" w:sz="4" w:space="0"/>
            </w:tcBorders>
            <w:vAlign w:val="center"/>
          </w:tcPr>
          <w:p w14:paraId="1F498D97">
            <w:pPr>
              <w:rPr>
                <w:rFonts w:eastAsia="楷体_GB2312"/>
                <w:b/>
                <w:sz w:val="18"/>
                <w:szCs w:val="18"/>
                <w:lang w:eastAsia="zh-CN"/>
              </w:rPr>
            </w:pPr>
          </w:p>
        </w:tc>
        <w:tc>
          <w:tcPr>
            <w:tcW w:w="975" w:type="dxa"/>
            <w:tcBorders>
              <w:top w:val="single" w:color="auto" w:sz="4" w:space="0"/>
              <w:left w:val="single" w:color="auto" w:sz="4" w:space="0"/>
              <w:bottom w:val="single" w:color="auto" w:sz="4" w:space="0"/>
            </w:tcBorders>
            <w:vAlign w:val="center"/>
          </w:tcPr>
          <w:p w14:paraId="63C99AE4">
            <w:pPr>
              <w:rPr>
                <w:rFonts w:eastAsia="楷体_GB2312"/>
                <w:b/>
                <w:sz w:val="18"/>
                <w:szCs w:val="18"/>
                <w:lang w:eastAsia="zh-CN"/>
              </w:rPr>
            </w:pPr>
          </w:p>
        </w:tc>
      </w:tr>
      <w:tr w14:paraId="6D4161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2" w:hRule="atLeast"/>
        </w:trPr>
        <w:tc>
          <w:tcPr>
            <w:tcW w:w="2782" w:type="dxa"/>
            <w:tcBorders>
              <w:top w:val="single" w:color="auto" w:sz="4" w:space="0"/>
              <w:bottom w:val="single" w:color="auto" w:sz="4" w:space="0"/>
              <w:right w:val="single" w:color="auto" w:sz="4" w:space="0"/>
            </w:tcBorders>
            <w:vAlign w:val="center"/>
          </w:tcPr>
          <w:p w14:paraId="0FA023D3">
            <w:pPr>
              <w:jc w:val="center"/>
              <w:rPr>
                <w:rFonts w:eastAsia="楷体_GB2312"/>
                <w:b/>
                <w:sz w:val="18"/>
                <w:szCs w:val="18"/>
                <w:lang w:eastAsia="zh-CN"/>
              </w:rPr>
            </w:pPr>
            <w:r>
              <w:rPr>
                <w:rFonts w:eastAsia="楷体_GB2312"/>
                <w:sz w:val="18"/>
                <w:szCs w:val="18"/>
                <w:lang w:eastAsia="zh-CN"/>
              </w:rPr>
              <w:t>[50-60)</w:t>
            </w:r>
          </w:p>
        </w:tc>
        <w:tc>
          <w:tcPr>
            <w:tcW w:w="966" w:type="dxa"/>
            <w:gridSpan w:val="2"/>
            <w:tcBorders>
              <w:top w:val="single" w:color="auto" w:sz="4" w:space="0"/>
              <w:left w:val="single" w:color="auto" w:sz="4" w:space="0"/>
              <w:bottom w:val="single" w:color="auto" w:sz="4" w:space="0"/>
              <w:right w:val="single" w:color="auto" w:sz="4" w:space="0"/>
            </w:tcBorders>
            <w:vAlign w:val="center"/>
          </w:tcPr>
          <w:p w14:paraId="0D8B1AF7">
            <w:pPr>
              <w:rPr>
                <w:rFonts w:eastAsia="楷体_GB2312"/>
                <w:b/>
                <w:sz w:val="18"/>
                <w:szCs w:val="18"/>
                <w:lang w:eastAsia="zh-CN"/>
              </w:rPr>
            </w:pPr>
          </w:p>
        </w:tc>
        <w:tc>
          <w:tcPr>
            <w:tcW w:w="881" w:type="dxa"/>
            <w:tcBorders>
              <w:top w:val="single" w:color="auto" w:sz="4" w:space="0"/>
              <w:left w:val="single" w:color="auto" w:sz="4" w:space="0"/>
              <w:bottom w:val="single" w:color="auto" w:sz="4" w:space="0"/>
              <w:right w:val="single" w:color="auto" w:sz="4" w:space="0"/>
            </w:tcBorders>
            <w:vAlign w:val="center"/>
          </w:tcPr>
          <w:p w14:paraId="2C9629E2">
            <w:pPr>
              <w:rPr>
                <w:rFonts w:eastAsia="楷体_GB2312"/>
                <w:b/>
                <w:sz w:val="18"/>
                <w:szCs w:val="18"/>
                <w:lang w:eastAsia="zh-CN"/>
              </w:rPr>
            </w:pPr>
          </w:p>
        </w:tc>
        <w:tc>
          <w:tcPr>
            <w:tcW w:w="856" w:type="dxa"/>
            <w:tcBorders>
              <w:top w:val="single" w:color="auto" w:sz="4" w:space="0"/>
              <w:left w:val="single" w:color="auto" w:sz="4" w:space="0"/>
              <w:bottom w:val="single" w:color="auto" w:sz="4" w:space="0"/>
              <w:right w:val="single" w:color="auto" w:sz="4" w:space="0"/>
            </w:tcBorders>
            <w:vAlign w:val="center"/>
          </w:tcPr>
          <w:p w14:paraId="17D186C4">
            <w:pPr>
              <w:rPr>
                <w:rFonts w:eastAsia="楷体_GB2312"/>
                <w:b/>
                <w:sz w:val="18"/>
                <w:szCs w:val="18"/>
                <w:lang w:eastAsia="zh-CN"/>
              </w:rPr>
            </w:pPr>
          </w:p>
        </w:tc>
        <w:tc>
          <w:tcPr>
            <w:tcW w:w="852" w:type="dxa"/>
            <w:tcBorders>
              <w:top w:val="single" w:color="auto" w:sz="4" w:space="0"/>
              <w:left w:val="single" w:color="auto" w:sz="4" w:space="0"/>
              <w:bottom w:val="single" w:color="auto" w:sz="4" w:space="0"/>
              <w:right w:val="single" w:color="auto" w:sz="4" w:space="0"/>
            </w:tcBorders>
            <w:vAlign w:val="center"/>
          </w:tcPr>
          <w:p w14:paraId="5C2BC180">
            <w:pPr>
              <w:rPr>
                <w:rFonts w:eastAsia="楷体_GB2312"/>
                <w:b/>
                <w:sz w:val="18"/>
                <w:szCs w:val="18"/>
                <w:lang w:eastAsia="zh-CN"/>
              </w:rPr>
            </w:pPr>
          </w:p>
        </w:tc>
        <w:tc>
          <w:tcPr>
            <w:tcW w:w="1299" w:type="dxa"/>
            <w:gridSpan w:val="2"/>
            <w:tcBorders>
              <w:top w:val="single" w:color="auto" w:sz="4" w:space="0"/>
              <w:left w:val="single" w:color="auto" w:sz="4" w:space="0"/>
              <w:bottom w:val="single" w:color="auto" w:sz="4" w:space="0"/>
              <w:right w:val="single" w:color="auto" w:sz="4" w:space="0"/>
            </w:tcBorders>
            <w:vAlign w:val="center"/>
          </w:tcPr>
          <w:p w14:paraId="15AB4377">
            <w:pPr>
              <w:rPr>
                <w:rFonts w:eastAsia="楷体_GB2312"/>
                <w:b/>
                <w:sz w:val="18"/>
                <w:szCs w:val="18"/>
                <w:lang w:eastAsia="zh-CN"/>
              </w:rPr>
            </w:pPr>
          </w:p>
        </w:tc>
        <w:tc>
          <w:tcPr>
            <w:tcW w:w="975" w:type="dxa"/>
            <w:tcBorders>
              <w:top w:val="single" w:color="auto" w:sz="4" w:space="0"/>
              <w:left w:val="single" w:color="auto" w:sz="4" w:space="0"/>
              <w:bottom w:val="single" w:color="auto" w:sz="4" w:space="0"/>
            </w:tcBorders>
            <w:vAlign w:val="center"/>
          </w:tcPr>
          <w:p w14:paraId="6647D849">
            <w:pPr>
              <w:rPr>
                <w:rFonts w:eastAsia="楷体_GB2312"/>
                <w:b/>
                <w:sz w:val="18"/>
                <w:szCs w:val="18"/>
                <w:lang w:eastAsia="zh-CN"/>
              </w:rPr>
            </w:pPr>
          </w:p>
        </w:tc>
      </w:tr>
    </w:tbl>
    <w:p w14:paraId="003BDFD1">
      <w:pPr>
        <w:rPr>
          <w:rFonts w:eastAsia="楷体_GB2312"/>
        </w:rPr>
      </w:pPr>
    </w:p>
    <w:p w14:paraId="1405FE37">
      <w:pPr>
        <w:rPr>
          <w:rFonts w:eastAsia="楷体_GB2312"/>
        </w:rPr>
      </w:pPr>
      <w:r>
        <w:rPr>
          <w:rFonts w:eastAsia="楷体_GB2312"/>
        </w:rPr>
        <w:br w:type="page"/>
      </w:r>
    </w:p>
    <w:p w14:paraId="44F63AAE">
      <w:pPr>
        <w:spacing w:line="360" w:lineRule="auto"/>
        <w:rPr>
          <w:rFonts w:eastAsia="楷体_GB2312"/>
        </w:rPr>
      </w:pPr>
    </w:p>
    <w:tbl>
      <w:tblPr>
        <w:tblStyle w:val="31"/>
        <w:tblW w:w="864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106"/>
        <w:gridCol w:w="2055"/>
        <w:gridCol w:w="2481"/>
      </w:tblGrid>
      <w:tr w14:paraId="62CEBA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8642" w:type="dxa"/>
            <w:gridSpan w:val="3"/>
            <w:tcBorders>
              <w:top w:val="single" w:color="auto" w:sz="4" w:space="0"/>
              <w:left w:val="single" w:color="auto" w:sz="4" w:space="0"/>
              <w:bottom w:val="single" w:color="auto" w:sz="4" w:space="0"/>
              <w:right w:val="single" w:color="auto" w:sz="4" w:space="0"/>
            </w:tcBorders>
          </w:tcPr>
          <w:p w14:paraId="3535FDFC">
            <w:pPr>
              <w:snapToGrid w:val="0"/>
              <w:spacing w:line="276" w:lineRule="auto"/>
              <w:jc w:val="center"/>
              <w:rPr>
                <w:rFonts w:eastAsia="楷体_GB2312"/>
                <w:b/>
                <w:sz w:val="28"/>
                <w:lang w:eastAsia="zh-CN"/>
              </w:rPr>
            </w:pPr>
            <w:r>
              <w:rPr>
                <w:rFonts w:eastAsia="楷体_GB2312"/>
                <w:b/>
                <w:sz w:val="28"/>
                <w:lang w:eastAsia="zh-CN"/>
              </w:rPr>
              <w:t>【信托名称】</w:t>
            </w:r>
          </w:p>
          <w:p w14:paraId="735D7141">
            <w:pPr>
              <w:ind w:right="-36" w:rightChars="-15"/>
              <w:jc w:val="center"/>
              <w:rPr>
                <w:rFonts w:eastAsia="楷体_GB2312"/>
                <w:b/>
                <w:lang w:eastAsia="zh-CN"/>
              </w:rPr>
            </w:pPr>
            <w:r>
              <w:rPr>
                <w:rFonts w:eastAsia="楷体_GB2312"/>
                <w:b/>
                <w:sz w:val="28"/>
                <w:lang w:eastAsia="zh-CN"/>
              </w:rPr>
              <w:t>受托机构月度/年度报告</w:t>
            </w:r>
          </w:p>
        </w:tc>
      </w:tr>
      <w:tr w14:paraId="6D86DA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8642" w:type="dxa"/>
            <w:gridSpan w:val="3"/>
            <w:tcBorders>
              <w:top w:val="single" w:color="auto" w:sz="4" w:space="0"/>
              <w:left w:val="single" w:color="auto" w:sz="4" w:space="0"/>
              <w:bottom w:val="single" w:color="auto" w:sz="4" w:space="0"/>
              <w:right w:val="single" w:color="auto" w:sz="4" w:space="0"/>
            </w:tcBorders>
          </w:tcPr>
          <w:p w14:paraId="2FC68270">
            <w:pPr>
              <w:ind w:right="-36" w:rightChars="-15"/>
              <w:rPr>
                <w:rFonts w:eastAsia="楷体_GB2312"/>
                <w:b/>
                <w:lang w:eastAsia="zh-CN"/>
              </w:rPr>
            </w:pPr>
            <w:bookmarkStart w:id="888" w:name="_Hlk38555116"/>
            <w:r>
              <w:rPr>
                <w:rFonts w:eastAsia="楷体_GB2312"/>
                <w:b/>
                <w:szCs w:val="21"/>
                <w:lang w:eastAsia="zh-CN"/>
              </w:rPr>
              <w:t>六、存续期基础资产持续购买总体情况</w:t>
            </w:r>
          </w:p>
        </w:tc>
      </w:tr>
      <w:tr w14:paraId="7896AE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4106" w:type="dxa"/>
            <w:tcBorders>
              <w:top w:val="single" w:color="auto" w:sz="4" w:space="0"/>
              <w:left w:val="single" w:color="auto" w:sz="4" w:space="0"/>
              <w:bottom w:val="single" w:color="auto" w:sz="4" w:space="0"/>
              <w:right w:val="single" w:color="auto" w:sz="4" w:space="0"/>
            </w:tcBorders>
          </w:tcPr>
          <w:p w14:paraId="69739C77">
            <w:pPr>
              <w:ind w:right="-36" w:rightChars="-15"/>
              <w:rPr>
                <w:rFonts w:eastAsia="楷体_GB2312"/>
                <w:b/>
                <w:lang w:eastAsia="zh-CN"/>
              </w:rPr>
            </w:pPr>
          </w:p>
        </w:tc>
        <w:tc>
          <w:tcPr>
            <w:tcW w:w="2055" w:type="dxa"/>
            <w:tcBorders>
              <w:top w:val="single" w:color="auto" w:sz="4" w:space="0"/>
              <w:left w:val="single" w:color="auto" w:sz="4" w:space="0"/>
              <w:bottom w:val="single" w:color="auto" w:sz="4" w:space="0"/>
              <w:right w:val="single" w:color="auto" w:sz="4" w:space="0"/>
            </w:tcBorders>
          </w:tcPr>
          <w:p w14:paraId="13465F1E">
            <w:pPr>
              <w:ind w:right="-36" w:rightChars="-15"/>
              <w:jc w:val="center"/>
              <w:rPr>
                <w:rFonts w:eastAsia="楷体_GB2312"/>
                <w:b/>
                <w:sz w:val="18"/>
                <w:szCs w:val="18"/>
              </w:rPr>
            </w:pPr>
            <w:r>
              <w:rPr>
                <w:rFonts w:eastAsia="楷体_GB2312"/>
                <w:b/>
                <w:szCs w:val="21"/>
              </w:rPr>
              <w:t>上一报告期间</w:t>
            </w:r>
          </w:p>
        </w:tc>
        <w:tc>
          <w:tcPr>
            <w:tcW w:w="2481" w:type="dxa"/>
            <w:tcBorders>
              <w:top w:val="single" w:color="auto" w:sz="4" w:space="0"/>
              <w:left w:val="single" w:color="auto" w:sz="4" w:space="0"/>
              <w:bottom w:val="single" w:color="auto" w:sz="4" w:space="0"/>
              <w:right w:val="single" w:color="auto" w:sz="4" w:space="0"/>
            </w:tcBorders>
          </w:tcPr>
          <w:p w14:paraId="0DBBCC3B">
            <w:pPr>
              <w:ind w:right="-36" w:rightChars="-15"/>
              <w:jc w:val="center"/>
              <w:rPr>
                <w:rFonts w:eastAsia="楷体_GB2312"/>
                <w:b/>
                <w:sz w:val="18"/>
                <w:szCs w:val="18"/>
              </w:rPr>
            </w:pPr>
            <w:r>
              <w:rPr>
                <w:rFonts w:eastAsia="楷体_GB2312"/>
                <w:b/>
                <w:szCs w:val="21"/>
              </w:rPr>
              <w:t>本报告期间</w:t>
            </w:r>
          </w:p>
        </w:tc>
      </w:tr>
      <w:tr w14:paraId="2C9654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8642" w:type="dxa"/>
            <w:gridSpan w:val="3"/>
            <w:tcBorders>
              <w:top w:val="single" w:color="auto" w:sz="4" w:space="0"/>
              <w:left w:val="single" w:color="auto" w:sz="4" w:space="0"/>
              <w:bottom w:val="single" w:color="auto" w:sz="4" w:space="0"/>
              <w:right w:val="single" w:color="auto" w:sz="4" w:space="0"/>
            </w:tcBorders>
          </w:tcPr>
          <w:p w14:paraId="47A1FDE7">
            <w:pPr>
              <w:ind w:right="-36" w:rightChars="-15"/>
              <w:rPr>
                <w:rFonts w:eastAsia="楷体_GB2312"/>
                <w:sz w:val="21"/>
                <w:lang w:eastAsia="zh-CN"/>
              </w:rPr>
            </w:pPr>
            <w:r>
              <w:rPr>
                <w:rFonts w:eastAsia="楷体_GB2312"/>
                <w:b/>
                <w:sz w:val="21"/>
                <w:lang w:eastAsia="zh-CN"/>
              </w:rPr>
              <w:t>（一）资产池持续运营情况</w:t>
            </w:r>
          </w:p>
        </w:tc>
      </w:tr>
      <w:tr w14:paraId="723D62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4106" w:type="dxa"/>
            <w:tcBorders>
              <w:top w:val="single" w:color="auto" w:sz="4" w:space="0"/>
              <w:left w:val="single" w:color="auto" w:sz="4" w:space="0"/>
              <w:bottom w:val="single" w:color="auto" w:sz="4" w:space="0"/>
              <w:right w:val="single" w:color="auto" w:sz="4" w:space="0"/>
            </w:tcBorders>
          </w:tcPr>
          <w:p w14:paraId="1E33595C">
            <w:pPr>
              <w:ind w:right="-36" w:rightChars="-15"/>
              <w:jc w:val="center"/>
              <w:rPr>
                <w:rFonts w:eastAsia="楷体_GB2312"/>
                <w:sz w:val="18"/>
              </w:rPr>
            </w:pPr>
            <w:r>
              <w:rPr>
                <w:rFonts w:eastAsia="楷体_GB2312"/>
                <w:sz w:val="18"/>
              </w:rPr>
              <w:t>持续购买次数</w:t>
            </w:r>
          </w:p>
        </w:tc>
        <w:tc>
          <w:tcPr>
            <w:tcW w:w="2055" w:type="dxa"/>
            <w:tcBorders>
              <w:top w:val="single" w:color="auto" w:sz="4" w:space="0"/>
              <w:left w:val="single" w:color="auto" w:sz="4" w:space="0"/>
              <w:bottom w:val="single" w:color="auto" w:sz="4" w:space="0"/>
              <w:right w:val="single" w:color="auto" w:sz="4" w:space="0"/>
            </w:tcBorders>
          </w:tcPr>
          <w:p w14:paraId="32F7E920">
            <w:pPr>
              <w:ind w:right="-36" w:rightChars="-15"/>
              <w:jc w:val="center"/>
              <w:rPr>
                <w:rFonts w:eastAsia="楷体_GB2312"/>
                <w:sz w:val="18"/>
                <w:szCs w:val="18"/>
              </w:rPr>
            </w:pPr>
          </w:p>
        </w:tc>
        <w:tc>
          <w:tcPr>
            <w:tcW w:w="2481" w:type="dxa"/>
            <w:tcBorders>
              <w:top w:val="single" w:color="auto" w:sz="4" w:space="0"/>
              <w:left w:val="single" w:color="auto" w:sz="4" w:space="0"/>
              <w:bottom w:val="single" w:color="auto" w:sz="4" w:space="0"/>
              <w:right w:val="single" w:color="auto" w:sz="4" w:space="0"/>
            </w:tcBorders>
          </w:tcPr>
          <w:p w14:paraId="6BB74E22">
            <w:pPr>
              <w:ind w:right="-36" w:rightChars="-15"/>
              <w:jc w:val="center"/>
              <w:rPr>
                <w:rFonts w:eastAsia="楷体_GB2312"/>
                <w:sz w:val="18"/>
                <w:szCs w:val="18"/>
              </w:rPr>
            </w:pPr>
          </w:p>
        </w:tc>
      </w:tr>
      <w:tr w14:paraId="51C2D1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4106" w:type="dxa"/>
            <w:tcBorders>
              <w:top w:val="single" w:color="auto" w:sz="4" w:space="0"/>
              <w:left w:val="single" w:color="auto" w:sz="4" w:space="0"/>
              <w:bottom w:val="single" w:color="auto" w:sz="4" w:space="0"/>
              <w:right w:val="single" w:color="auto" w:sz="4" w:space="0"/>
            </w:tcBorders>
          </w:tcPr>
          <w:p w14:paraId="37FB2407">
            <w:pPr>
              <w:ind w:right="-36" w:rightChars="-15"/>
              <w:jc w:val="center"/>
              <w:rPr>
                <w:rFonts w:eastAsia="楷体_GB2312"/>
                <w:sz w:val="18"/>
                <w:lang w:eastAsia="zh-CN"/>
              </w:rPr>
            </w:pPr>
            <w:r>
              <w:rPr>
                <w:rFonts w:eastAsia="楷体_GB2312"/>
                <w:sz w:val="18"/>
                <w:lang w:eastAsia="zh-CN"/>
              </w:rPr>
              <w:t>持续购买基础资产笔数</w:t>
            </w:r>
          </w:p>
        </w:tc>
        <w:tc>
          <w:tcPr>
            <w:tcW w:w="2055" w:type="dxa"/>
            <w:tcBorders>
              <w:top w:val="single" w:color="auto" w:sz="4" w:space="0"/>
              <w:left w:val="single" w:color="auto" w:sz="4" w:space="0"/>
              <w:bottom w:val="single" w:color="auto" w:sz="4" w:space="0"/>
              <w:right w:val="single" w:color="auto" w:sz="4" w:space="0"/>
            </w:tcBorders>
          </w:tcPr>
          <w:p w14:paraId="38A1E1CE">
            <w:pPr>
              <w:ind w:right="-36" w:rightChars="-15"/>
              <w:jc w:val="center"/>
              <w:rPr>
                <w:rFonts w:eastAsia="楷体_GB2312"/>
                <w:sz w:val="18"/>
                <w:szCs w:val="18"/>
                <w:lang w:eastAsia="zh-CN"/>
              </w:rPr>
            </w:pPr>
          </w:p>
        </w:tc>
        <w:tc>
          <w:tcPr>
            <w:tcW w:w="2481" w:type="dxa"/>
            <w:tcBorders>
              <w:top w:val="single" w:color="auto" w:sz="4" w:space="0"/>
              <w:left w:val="single" w:color="auto" w:sz="4" w:space="0"/>
              <w:bottom w:val="single" w:color="auto" w:sz="4" w:space="0"/>
              <w:right w:val="single" w:color="auto" w:sz="4" w:space="0"/>
            </w:tcBorders>
          </w:tcPr>
          <w:p w14:paraId="35607DB1">
            <w:pPr>
              <w:ind w:right="-36" w:rightChars="-15"/>
              <w:jc w:val="center"/>
              <w:rPr>
                <w:rFonts w:eastAsia="楷体_GB2312"/>
                <w:sz w:val="18"/>
                <w:szCs w:val="18"/>
                <w:lang w:eastAsia="zh-CN"/>
              </w:rPr>
            </w:pPr>
          </w:p>
        </w:tc>
      </w:tr>
      <w:tr w14:paraId="4967E9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4106" w:type="dxa"/>
            <w:tcBorders>
              <w:top w:val="single" w:color="auto" w:sz="4" w:space="0"/>
              <w:left w:val="single" w:color="auto" w:sz="4" w:space="0"/>
              <w:bottom w:val="single" w:color="auto" w:sz="4" w:space="0"/>
              <w:right w:val="single" w:color="auto" w:sz="4" w:space="0"/>
            </w:tcBorders>
          </w:tcPr>
          <w:p w14:paraId="39F2ED02">
            <w:pPr>
              <w:ind w:right="-36" w:rightChars="-15"/>
              <w:jc w:val="center"/>
              <w:rPr>
                <w:rFonts w:eastAsia="楷体_GB2312"/>
                <w:sz w:val="18"/>
                <w:lang w:eastAsia="zh-CN"/>
              </w:rPr>
            </w:pPr>
            <w:r>
              <w:rPr>
                <w:rFonts w:eastAsia="楷体_GB2312"/>
                <w:sz w:val="18"/>
                <w:lang w:eastAsia="zh-CN"/>
              </w:rPr>
              <w:t>持续购买基础资产未偿本金余额总额</w:t>
            </w:r>
          </w:p>
        </w:tc>
        <w:tc>
          <w:tcPr>
            <w:tcW w:w="2055" w:type="dxa"/>
            <w:tcBorders>
              <w:top w:val="single" w:color="auto" w:sz="4" w:space="0"/>
              <w:left w:val="single" w:color="auto" w:sz="4" w:space="0"/>
              <w:bottom w:val="single" w:color="auto" w:sz="4" w:space="0"/>
              <w:right w:val="single" w:color="auto" w:sz="4" w:space="0"/>
            </w:tcBorders>
          </w:tcPr>
          <w:p w14:paraId="377B35AD">
            <w:pPr>
              <w:ind w:right="-36" w:rightChars="-15"/>
              <w:jc w:val="center"/>
              <w:rPr>
                <w:rFonts w:eastAsia="楷体_GB2312"/>
                <w:sz w:val="18"/>
                <w:szCs w:val="18"/>
                <w:lang w:eastAsia="zh-CN"/>
              </w:rPr>
            </w:pPr>
          </w:p>
        </w:tc>
        <w:tc>
          <w:tcPr>
            <w:tcW w:w="2481" w:type="dxa"/>
            <w:tcBorders>
              <w:top w:val="single" w:color="auto" w:sz="4" w:space="0"/>
              <w:left w:val="single" w:color="auto" w:sz="4" w:space="0"/>
              <w:bottom w:val="single" w:color="auto" w:sz="4" w:space="0"/>
              <w:right w:val="single" w:color="auto" w:sz="4" w:space="0"/>
            </w:tcBorders>
          </w:tcPr>
          <w:p w14:paraId="0CC7006C">
            <w:pPr>
              <w:ind w:right="-36" w:rightChars="-15"/>
              <w:jc w:val="center"/>
              <w:rPr>
                <w:rFonts w:eastAsia="楷体_GB2312"/>
                <w:sz w:val="18"/>
                <w:szCs w:val="18"/>
                <w:lang w:eastAsia="zh-CN"/>
              </w:rPr>
            </w:pPr>
          </w:p>
        </w:tc>
      </w:tr>
      <w:tr w14:paraId="5623F9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4106" w:type="dxa"/>
            <w:tcBorders>
              <w:top w:val="single" w:color="auto" w:sz="4" w:space="0"/>
              <w:left w:val="single" w:color="auto" w:sz="4" w:space="0"/>
              <w:bottom w:val="single" w:color="auto" w:sz="4" w:space="0"/>
              <w:right w:val="single" w:color="auto" w:sz="4" w:space="0"/>
            </w:tcBorders>
          </w:tcPr>
          <w:p w14:paraId="326866AB">
            <w:pPr>
              <w:ind w:right="-36" w:rightChars="-15"/>
              <w:jc w:val="center"/>
              <w:rPr>
                <w:rFonts w:eastAsia="楷体_GB2312"/>
                <w:sz w:val="18"/>
              </w:rPr>
            </w:pPr>
            <w:r>
              <w:rPr>
                <w:rFonts w:eastAsia="楷体_GB2312"/>
                <w:sz w:val="18"/>
              </w:rPr>
              <w:t>购买率*</w:t>
            </w:r>
          </w:p>
        </w:tc>
        <w:tc>
          <w:tcPr>
            <w:tcW w:w="2055" w:type="dxa"/>
            <w:tcBorders>
              <w:top w:val="single" w:color="auto" w:sz="4" w:space="0"/>
              <w:left w:val="single" w:color="auto" w:sz="4" w:space="0"/>
              <w:bottom w:val="single" w:color="auto" w:sz="4" w:space="0"/>
              <w:right w:val="single" w:color="auto" w:sz="4" w:space="0"/>
            </w:tcBorders>
          </w:tcPr>
          <w:p w14:paraId="6A377E5E">
            <w:pPr>
              <w:ind w:right="-36" w:rightChars="-15"/>
              <w:jc w:val="center"/>
              <w:rPr>
                <w:rFonts w:eastAsia="楷体_GB2312"/>
                <w:sz w:val="18"/>
                <w:szCs w:val="18"/>
              </w:rPr>
            </w:pPr>
          </w:p>
        </w:tc>
        <w:tc>
          <w:tcPr>
            <w:tcW w:w="2481" w:type="dxa"/>
            <w:tcBorders>
              <w:top w:val="single" w:color="auto" w:sz="4" w:space="0"/>
              <w:left w:val="single" w:color="auto" w:sz="4" w:space="0"/>
              <w:bottom w:val="single" w:color="auto" w:sz="4" w:space="0"/>
              <w:right w:val="single" w:color="auto" w:sz="4" w:space="0"/>
            </w:tcBorders>
          </w:tcPr>
          <w:p w14:paraId="6DF7CA97">
            <w:pPr>
              <w:ind w:right="-36" w:rightChars="-15"/>
              <w:jc w:val="center"/>
              <w:rPr>
                <w:rFonts w:eastAsia="楷体_GB2312"/>
                <w:sz w:val="18"/>
                <w:szCs w:val="18"/>
              </w:rPr>
            </w:pPr>
          </w:p>
        </w:tc>
      </w:tr>
      <w:tr w14:paraId="68B579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8642" w:type="dxa"/>
            <w:gridSpan w:val="3"/>
            <w:tcBorders>
              <w:top w:val="nil"/>
              <w:left w:val="single" w:color="auto" w:sz="4" w:space="0"/>
              <w:bottom w:val="single" w:color="auto" w:sz="4" w:space="0"/>
              <w:right w:val="single" w:color="auto" w:sz="4" w:space="0"/>
            </w:tcBorders>
          </w:tcPr>
          <w:p w14:paraId="3D14F987">
            <w:pPr>
              <w:ind w:right="-36" w:rightChars="-15"/>
              <w:rPr>
                <w:rFonts w:eastAsia="楷体_GB2312"/>
                <w:sz w:val="21"/>
                <w:szCs w:val="21"/>
                <w:lang w:eastAsia="zh-CN"/>
              </w:rPr>
            </w:pPr>
            <w:r>
              <w:rPr>
                <w:rFonts w:eastAsia="楷体_GB2312"/>
                <w:b/>
                <w:sz w:val="21"/>
                <w:szCs w:val="21"/>
                <w:lang w:eastAsia="zh-CN"/>
              </w:rPr>
              <w:t>（二）持续购买个人汽车贷款期限特征</w:t>
            </w:r>
          </w:p>
        </w:tc>
      </w:tr>
      <w:tr w14:paraId="3E2832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4106" w:type="dxa"/>
            <w:tcBorders>
              <w:top w:val="single" w:color="auto" w:sz="4" w:space="0"/>
              <w:left w:val="single" w:color="auto" w:sz="4" w:space="0"/>
              <w:bottom w:val="single" w:color="auto" w:sz="4" w:space="0"/>
              <w:right w:val="single" w:color="auto" w:sz="4" w:space="0"/>
            </w:tcBorders>
          </w:tcPr>
          <w:p w14:paraId="14F6719E">
            <w:pPr>
              <w:ind w:right="-36" w:rightChars="-15"/>
              <w:jc w:val="center"/>
              <w:rPr>
                <w:rFonts w:eastAsia="楷体_GB2312"/>
                <w:sz w:val="18"/>
              </w:rPr>
            </w:pPr>
            <w:r>
              <w:rPr>
                <w:rFonts w:eastAsia="楷体_GB2312"/>
                <w:sz w:val="18"/>
              </w:rPr>
              <w:t>持续购买资产加权平均合同期限（月）</w:t>
            </w:r>
          </w:p>
        </w:tc>
        <w:tc>
          <w:tcPr>
            <w:tcW w:w="2055" w:type="dxa"/>
            <w:tcBorders>
              <w:top w:val="single" w:color="auto" w:sz="4" w:space="0"/>
              <w:left w:val="single" w:color="auto" w:sz="4" w:space="0"/>
              <w:bottom w:val="single" w:color="auto" w:sz="4" w:space="0"/>
              <w:right w:val="single" w:color="auto" w:sz="4" w:space="0"/>
            </w:tcBorders>
          </w:tcPr>
          <w:p w14:paraId="4D716BB3">
            <w:pPr>
              <w:ind w:right="-36" w:rightChars="-15"/>
              <w:jc w:val="center"/>
              <w:rPr>
                <w:rFonts w:eastAsia="楷体_GB2312"/>
                <w:sz w:val="18"/>
              </w:rPr>
            </w:pPr>
          </w:p>
        </w:tc>
        <w:tc>
          <w:tcPr>
            <w:tcW w:w="2481" w:type="dxa"/>
            <w:tcBorders>
              <w:top w:val="single" w:color="auto" w:sz="4" w:space="0"/>
              <w:left w:val="single" w:color="auto" w:sz="4" w:space="0"/>
              <w:bottom w:val="single" w:color="auto" w:sz="4" w:space="0"/>
              <w:right w:val="single" w:color="auto" w:sz="4" w:space="0"/>
            </w:tcBorders>
          </w:tcPr>
          <w:p w14:paraId="133D9FCD">
            <w:pPr>
              <w:ind w:right="-36" w:rightChars="-15"/>
              <w:jc w:val="center"/>
              <w:rPr>
                <w:rFonts w:eastAsia="楷体_GB2312"/>
                <w:sz w:val="18"/>
              </w:rPr>
            </w:pPr>
          </w:p>
        </w:tc>
      </w:tr>
      <w:tr w14:paraId="0932FE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4106" w:type="dxa"/>
            <w:tcBorders>
              <w:top w:val="single" w:color="auto" w:sz="4" w:space="0"/>
              <w:left w:val="single" w:color="auto" w:sz="4" w:space="0"/>
              <w:bottom w:val="single" w:color="auto" w:sz="4" w:space="0"/>
              <w:right w:val="single" w:color="auto" w:sz="4" w:space="0"/>
            </w:tcBorders>
          </w:tcPr>
          <w:p w14:paraId="27364B19">
            <w:pPr>
              <w:ind w:right="-36" w:rightChars="-15"/>
              <w:jc w:val="center"/>
              <w:rPr>
                <w:rFonts w:eastAsia="楷体_GB2312"/>
                <w:sz w:val="18"/>
              </w:rPr>
            </w:pPr>
            <w:r>
              <w:rPr>
                <w:rFonts w:eastAsia="楷体_GB2312"/>
                <w:sz w:val="18"/>
              </w:rPr>
              <w:t>持续购买资产加权平均剩余期限（月）</w:t>
            </w:r>
          </w:p>
        </w:tc>
        <w:tc>
          <w:tcPr>
            <w:tcW w:w="2055" w:type="dxa"/>
            <w:tcBorders>
              <w:top w:val="single" w:color="auto" w:sz="4" w:space="0"/>
              <w:left w:val="single" w:color="auto" w:sz="4" w:space="0"/>
              <w:bottom w:val="single" w:color="auto" w:sz="4" w:space="0"/>
              <w:right w:val="single" w:color="auto" w:sz="4" w:space="0"/>
            </w:tcBorders>
          </w:tcPr>
          <w:p w14:paraId="68EBBCDF">
            <w:pPr>
              <w:ind w:right="-36" w:rightChars="-15"/>
              <w:jc w:val="center"/>
              <w:rPr>
                <w:rFonts w:eastAsia="楷体_GB2312"/>
                <w:sz w:val="18"/>
              </w:rPr>
            </w:pPr>
          </w:p>
        </w:tc>
        <w:tc>
          <w:tcPr>
            <w:tcW w:w="2481" w:type="dxa"/>
            <w:tcBorders>
              <w:top w:val="single" w:color="auto" w:sz="4" w:space="0"/>
              <w:left w:val="single" w:color="auto" w:sz="4" w:space="0"/>
              <w:bottom w:val="single" w:color="auto" w:sz="4" w:space="0"/>
              <w:right w:val="single" w:color="auto" w:sz="4" w:space="0"/>
            </w:tcBorders>
          </w:tcPr>
          <w:p w14:paraId="36B99918">
            <w:pPr>
              <w:ind w:right="-36" w:rightChars="-15"/>
              <w:jc w:val="center"/>
              <w:rPr>
                <w:rFonts w:eastAsia="楷体_GB2312"/>
                <w:sz w:val="18"/>
              </w:rPr>
            </w:pPr>
          </w:p>
        </w:tc>
      </w:tr>
      <w:tr w14:paraId="37A3E6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4106" w:type="dxa"/>
            <w:tcBorders>
              <w:top w:val="single" w:color="auto" w:sz="4" w:space="0"/>
              <w:left w:val="single" w:color="auto" w:sz="4" w:space="0"/>
              <w:bottom w:val="single" w:color="auto" w:sz="4" w:space="0"/>
              <w:right w:val="single" w:color="auto" w:sz="4" w:space="0"/>
            </w:tcBorders>
          </w:tcPr>
          <w:p w14:paraId="045FBA04">
            <w:pPr>
              <w:ind w:right="-36" w:rightChars="-15"/>
              <w:jc w:val="center"/>
              <w:rPr>
                <w:rFonts w:eastAsia="楷体_GB2312"/>
                <w:sz w:val="18"/>
              </w:rPr>
            </w:pPr>
            <w:r>
              <w:rPr>
                <w:rFonts w:eastAsia="楷体_GB2312"/>
                <w:sz w:val="18"/>
              </w:rPr>
              <w:t>持续购买资产加权平均账龄（月）</w:t>
            </w:r>
          </w:p>
        </w:tc>
        <w:tc>
          <w:tcPr>
            <w:tcW w:w="2055" w:type="dxa"/>
            <w:tcBorders>
              <w:top w:val="single" w:color="auto" w:sz="4" w:space="0"/>
              <w:left w:val="single" w:color="auto" w:sz="4" w:space="0"/>
              <w:bottom w:val="single" w:color="auto" w:sz="4" w:space="0"/>
              <w:right w:val="single" w:color="auto" w:sz="4" w:space="0"/>
            </w:tcBorders>
          </w:tcPr>
          <w:p w14:paraId="676FD629">
            <w:pPr>
              <w:ind w:right="-36" w:rightChars="-15"/>
              <w:jc w:val="center"/>
              <w:rPr>
                <w:rFonts w:eastAsia="楷体_GB2312"/>
                <w:sz w:val="18"/>
              </w:rPr>
            </w:pPr>
          </w:p>
        </w:tc>
        <w:tc>
          <w:tcPr>
            <w:tcW w:w="2481" w:type="dxa"/>
            <w:tcBorders>
              <w:top w:val="single" w:color="auto" w:sz="4" w:space="0"/>
              <w:left w:val="single" w:color="auto" w:sz="4" w:space="0"/>
              <w:bottom w:val="single" w:color="auto" w:sz="4" w:space="0"/>
              <w:right w:val="single" w:color="auto" w:sz="4" w:space="0"/>
            </w:tcBorders>
          </w:tcPr>
          <w:p w14:paraId="4877D144">
            <w:pPr>
              <w:ind w:right="-36" w:rightChars="-15"/>
              <w:jc w:val="center"/>
              <w:rPr>
                <w:rFonts w:eastAsia="楷体_GB2312"/>
                <w:sz w:val="18"/>
              </w:rPr>
            </w:pPr>
          </w:p>
        </w:tc>
      </w:tr>
      <w:tr w14:paraId="640B5B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4106" w:type="dxa"/>
            <w:tcBorders>
              <w:top w:val="single" w:color="auto" w:sz="4" w:space="0"/>
              <w:left w:val="single" w:color="auto" w:sz="4" w:space="0"/>
              <w:bottom w:val="single" w:color="auto" w:sz="4" w:space="0"/>
              <w:right w:val="single" w:color="auto" w:sz="4" w:space="0"/>
            </w:tcBorders>
          </w:tcPr>
          <w:p w14:paraId="25CFDE87">
            <w:pPr>
              <w:ind w:right="-36" w:rightChars="-15"/>
              <w:jc w:val="center"/>
              <w:rPr>
                <w:rFonts w:eastAsia="楷体_GB2312"/>
                <w:sz w:val="18"/>
              </w:rPr>
            </w:pPr>
            <w:r>
              <w:rPr>
                <w:rFonts w:eastAsia="楷体_GB2312"/>
                <w:sz w:val="18"/>
              </w:rPr>
              <w:t>持续购买资产单笔个人汽车贷款最长到期期限（月）</w:t>
            </w:r>
          </w:p>
        </w:tc>
        <w:tc>
          <w:tcPr>
            <w:tcW w:w="2055" w:type="dxa"/>
            <w:tcBorders>
              <w:top w:val="single" w:color="auto" w:sz="4" w:space="0"/>
              <w:left w:val="single" w:color="auto" w:sz="4" w:space="0"/>
              <w:bottom w:val="single" w:color="auto" w:sz="4" w:space="0"/>
              <w:right w:val="single" w:color="auto" w:sz="4" w:space="0"/>
            </w:tcBorders>
          </w:tcPr>
          <w:p w14:paraId="3298A2D5">
            <w:pPr>
              <w:ind w:right="-36" w:rightChars="-15"/>
              <w:jc w:val="center"/>
              <w:rPr>
                <w:rFonts w:eastAsia="楷体_GB2312"/>
                <w:sz w:val="18"/>
              </w:rPr>
            </w:pPr>
          </w:p>
        </w:tc>
        <w:tc>
          <w:tcPr>
            <w:tcW w:w="2481" w:type="dxa"/>
            <w:tcBorders>
              <w:top w:val="single" w:color="auto" w:sz="4" w:space="0"/>
              <w:left w:val="single" w:color="auto" w:sz="4" w:space="0"/>
              <w:bottom w:val="single" w:color="auto" w:sz="4" w:space="0"/>
              <w:right w:val="single" w:color="auto" w:sz="4" w:space="0"/>
            </w:tcBorders>
          </w:tcPr>
          <w:p w14:paraId="24AB8B4A">
            <w:pPr>
              <w:ind w:right="-36" w:rightChars="-15"/>
              <w:jc w:val="center"/>
              <w:rPr>
                <w:rFonts w:eastAsia="楷体_GB2312"/>
                <w:sz w:val="18"/>
              </w:rPr>
            </w:pPr>
          </w:p>
        </w:tc>
      </w:tr>
      <w:tr w14:paraId="0EF9F6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4106" w:type="dxa"/>
            <w:tcBorders>
              <w:top w:val="single" w:color="auto" w:sz="4" w:space="0"/>
              <w:left w:val="single" w:color="auto" w:sz="4" w:space="0"/>
              <w:bottom w:val="single" w:color="auto" w:sz="4" w:space="0"/>
              <w:right w:val="single" w:color="auto" w:sz="4" w:space="0"/>
            </w:tcBorders>
          </w:tcPr>
          <w:p w14:paraId="22BEE0EE">
            <w:pPr>
              <w:ind w:right="-36" w:rightChars="-15"/>
              <w:jc w:val="center"/>
              <w:rPr>
                <w:rFonts w:eastAsia="楷体_GB2312"/>
                <w:sz w:val="18"/>
              </w:rPr>
            </w:pPr>
            <w:r>
              <w:rPr>
                <w:rFonts w:eastAsia="楷体_GB2312"/>
                <w:sz w:val="18"/>
              </w:rPr>
              <w:t>持续购买资产单笔个人汽车贷款最短到期期限（月）</w:t>
            </w:r>
          </w:p>
        </w:tc>
        <w:tc>
          <w:tcPr>
            <w:tcW w:w="2055" w:type="dxa"/>
            <w:tcBorders>
              <w:top w:val="single" w:color="auto" w:sz="4" w:space="0"/>
              <w:left w:val="single" w:color="auto" w:sz="4" w:space="0"/>
              <w:bottom w:val="single" w:color="auto" w:sz="4" w:space="0"/>
              <w:right w:val="single" w:color="auto" w:sz="4" w:space="0"/>
            </w:tcBorders>
          </w:tcPr>
          <w:p w14:paraId="0FC7C1C3">
            <w:pPr>
              <w:ind w:right="-36" w:rightChars="-15"/>
              <w:jc w:val="center"/>
              <w:rPr>
                <w:rFonts w:eastAsia="楷体_GB2312"/>
                <w:sz w:val="18"/>
              </w:rPr>
            </w:pPr>
          </w:p>
        </w:tc>
        <w:tc>
          <w:tcPr>
            <w:tcW w:w="2481" w:type="dxa"/>
            <w:tcBorders>
              <w:top w:val="single" w:color="auto" w:sz="4" w:space="0"/>
              <w:left w:val="single" w:color="auto" w:sz="4" w:space="0"/>
              <w:bottom w:val="single" w:color="auto" w:sz="4" w:space="0"/>
              <w:right w:val="single" w:color="auto" w:sz="4" w:space="0"/>
            </w:tcBorders>
          </w:tcPr>
          <w:p w14:paraId="7D610B43">
            <w:pPr>
              <w:ind w:right="-36" w:rightChars="-15"/>
              <w:jc w:val="center"/>
              <w:rPr>
                <w:rFonts w:eastAsia="楷体_GB2312"/>
                <w:sz w:val="18"/>
              </w:rPr>
            </w:pPr>
          </w:p>
        </w:tc>
      </w:tr>
      <w:tr w14:paraId="67DCD7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8642" w:type="dxa"/>
            <w:gridSpan w:val="3"/>
            <w:tcBorders>
              <w:top w:val="single" w:color="auto" w:sz="4" w:space="0"/>
              <w:left w:val="single" w:color="auto" w:sz="4" w:space="0"/>
              <w:bottom w:val="single" w:color="auto" w:sz="4" w:space="0"/>
              <w:right w:val="single" w:color="auto" w:sz="4" w:space="0"/>
            </w:tcBorders>
          </w:tcPr>
          <w:p w14:paraId="267B6BA1">
            <w:pPr>
              <w:ind w:right="-36" w:rightChars="-15"/>
              <w:rPr>
                <w:rFonts w:eastAsia="楷体_GB2312"/>
                <w:b/>
                <w:sz w:val="21"/>
                <w:szCs w:val="21"/>
                <w:lang w:eastAsia="zh-CN"/>
              </w:rPr>
            </w:pPr>
            <w:r>
              <w:rPr>
                <w:rFonts w:eastAsia="楷体_GB2312"/>
                <w:b/>
                <w:sz w:val="21"/>
                <w:szCs w:val="21"/>
                <w:lang w:eastAsia="zh-CN"/>
              </w:rPr>
              <w:t>（三）持续购买个人汽车贷款利率特征</w:t>
            </w:r>
          </w:p>
        </w:tc>
      </w:tr>
      <w:tr w14:paraId="55DD80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4106" w:type="dxa"/>
            <w:tcBorders>
              <w:top w:val="single" w:color="auto" w:sz="4" w:space="0"/>
              <w:left w:val="single" w:color="auto" w:sz="4" w:space="0"/>
              <w:bottom w:val="single" w:color="auto" w:sz="4" w:space="0"/>
              <w:right w:val="single" w:color="auto" w:sz="4" w:space="0"/>
            </w:tcBorders>
          </w:tcPr>
          <w:p w14:paraId="1E42606C">
            <w:pPr>
              <w:ind w:right="-36" w:rightChars="-15"/>
              <w:jc w:val="center"/>
              <w:rPr>
                <w:rFonts w:eastAsia="楷体_GB2312"/>
                <w:sz w:val="18"/>
              </w:rPr>
            </w:pPr>
            <w:r>
              <w:rPr>
                <w:rFonts w:eastAsia="楷体_GB2312"/>
                <w:sz w:val="18"/>
              </w:rPr>
              <w:t>持续购买资产加权平均利率（%）</w:t>
            </w:r>
          </w:p>
        </w:tc>
        <w:tc>
          <w:tcPr>
            <w:tcW w:w="2055" w:type="dxa"/>
            <w:tcBorders>
              <w:top w:val="single" w:color="auto" w:sz="4" w:space="0"/>
              <w:left w:val="single" w:color="auto" w:sz="4" w:space="0"/>
              <w:bottom w:val="single" w:color="auto" w:sz="4" w:space="0"/>
              <w:right w:val="single" w:color="auto" w:sz="4" w:space="0"/>
            </w:tcBorders>
          </w:tcPr>
          <w:p w14:paraId="7379DC8F">
            <w:pPr>
              <w:ind w:right="-36" w:rightChars="-15"/>
              <w:jc w:val="center"/>
              <w:rPr>
                <w:rFonts w:eastAsia="楷体_GB2312"/>
                <w:sz w:val="18"/>
              </w:rPr>
            </w:pPr>
          </w:p>
        </w:tc>
        <w:tc>
          <w:tcPr>
            <w:tcW w:w="2481" w:type="dxa"/>
            <w:tcBorders>
              <w:top w:val="single" w:color="auto" w:sz="4" w:space="0"/>
              <w:left w:val="single" w:color="auto" w:sz="4" w:space="0"/>
              <w:bottom w:val="single" w:color="auto" w:sz="4" w:space="0"/>
              <w:right w:val="single" w:color="auto" w:sz="4" w:space="0"/>
            </w:tcBorders>
          </w:tcPr>
          <w:p w14:paraId="250F452C">
            <w:pPr>
              <w:ind w:right="-36" w:rightChars="-15"/>
              <w:jc w:val="center"/>
              <w:rPr>
                <w:rFonts w:eastAsia="楷体_GB2312"/>
                <w:sz w:val="18"/>
              </w:rPr>
            </w:pPr>
          </w:p>
        </w:tc>
      </w:tr>
      <w:tr w14:paraId="7710B8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4106" w:type="dxa"/>
            <w:tcBorders>
              <w:top w:val="single" w:color="auto" w:sz="4" w:space="0"/>
              <w:left w:val="single" w:color="auto" w:sz="4" w:space="0"/>
              <w:bottom w:val="single" w:color="auto" w:sz="4" w:space="0"/>
              <w:right w:val="single" w:color="auto" w:sz="4" w:space="0"/>
            </w:tcBorders>
          </w:tcPr>
          <w:p w14:paraId="2D892EFB">
            <w:pPr>
              <w:ind w:right="-36" w:rightChars="-15"/>
              <w:jc w:val="center"/>
              <w:rPr>
                <w:rFonts w:eastAsia="楷体_GB2312"/>
                <w:sz w:val="18"/>
              </w:rPr>
            </w:pPr>
            <w:r>
              <w:rPr>
                <w:rFonts w:eastAsia="楷体_GB2312"/>
                <w:sz w:val="18"/>
              </w:rPr>
              <w:t>持续购买资产单笔个人汽车贷款最高利率（%）</w:t>
            </w:r>
          </w:p>
        </w:tc>
        <w:tc>
          <w:tcPr>
            <w:tcW w:w="2055" w:type="dxa"/>
            <w:tcBorders>
              <w:top w:val="single" w:color="auto" w:sz="4" w:space="0"/>
              <w:left w:val="single" w:color="auto" w:sz="4" w:space="0"/>
              <w:bottom w:val="single" w:color="auto" w:sz="4" w:space="0"/>
              <w:right w:val="single" w:color="auto" w:sz="4" w:space="0"/>
            </w:tcBorders>
          </w:tcPr>
          <w:p w14:paraId="02DC277B">
            <w:pPr>
              <w:ind w:right="-36" w:rightChars="-15"/>
              <w:jc w:val="center"/>
              <w:rPr>
                <w:rFonts w:eastAsia="楷体_GB2312"/>
                <w:sz w:val="18"/>
              </w:rPr>
            </w:pPr>
          </w:p>
        </w:tc>
        <w:tc>
          <w:tcPr>
            <w:tcW w:w="2481" w:type="dxa"/>
            <w:tcBorders>
              <w:top w:val="single" w:color="auto" w:sz="4" w:space="0"/>
              <w:left w:val="single" w:color="auto" w:sz="4" w:space="0"/>
              <w:bottom w:val="single" w:color="auto" w:sz="4" w:space="0"/>
              <w:right w:val="single" w:color="auto" w:sz="4" w:space="0"/>
            </w:tcBorders>
          </w:tcPr>
          <w:p w14:paraId="52E35A6C">
            <w:pPr>
              <w:ind w:right="-36" w:rightChars="-15"/>
              <w:jc w:val="center"/>
              <w:rPr>
                <w:rFonts w:eastAsia="楷体_GB2312"/>
                <w:sz w:val="18"/>
              </w:rPr>
            </w:pPr>
          </w:p>
        </w:tc>
      </w:tr>
      <w:tr w14:paraId="52D15A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4106" w:type="dxa"/>
            <w:tcBorders>
              <w:top w:val="single" w:color="auto" w:sz="4" w:space="0"/>
              <w:left w:val="single" w:color="auto" w:sz="4" w:space="0"/>
              <w:bottom w:val="single" w:color="auto" w:sz="4" w:space="0"/>
              <w:right w:val="single" w:color="auto" w:sz="4" w:space="0"/>
            </w:tcBorders>
          </w:tcPr>
          <w:p w14:paraId="5789B4B7">
            <w:pPr>
              <w:ind w:right="-36" w:rightChars="-15"/>
              <w:jc w:val="center"/>
              <w:rPr>
                <w:rFonts w:eastAsia="楷体_GB2312"/>
                <w:sz w:val="18"/>
              </w:rPr>
            </w:pPr>
            <w:r>
              <w:rPr>
                <w:rFonts w:eastAsia="楷体_GB2312"/>
                <w:sz w:val="18"/>
              </w:rPr>
              <w:t>持续购买资产单笔个人汽车贷款最低利率（%）</w:t>
            </w:r>
          </w:p>
        </w:tc>
        <w:tc>
          <w:tcPr>
            <w:tcW w:w="2055" w:type="dxa"/>
            <w:tcBorders>
              <w:top w:val="single" w:color="auto" w:sz="4" w:space="0"/>
              <w:left w:val="single" w:color="auto" w:sz="4" w:space="0"/>
              <w:bottom w:val="single" w:color="auto" w:sz="4" w:space="0"/>
              <w:right w:val="single" w:color="auto" w:sz="4" w:space="0"/>
            </w:tcBorders>
          </w:tcPr>
          <w:p w14:paraId="58E6B1A9">
            <w:pPr>
              <w:ind w:right="-36" w:rightChars="-15"/>
              <w:jc w:val="center"/>
              <w:rPr>
                <w:rFonts w:eastAsia="楷体_GB2312"/>
                <w:sz w:val="18"/>
              </w:rPr>
            </w:pPr>
          </w:p>
        </w:tc>
        <w:tc>
          <w:tcPr>
            <w:tcW w:w="2481" w:type="dxa"/>
            <w:tcBorders>
              <w:top w:val="single" w:color="auto" w:sz="4" w:space="0"/>
              <w:left w:val="single" w:color="auto" w:sz="4" w:space="0"/>
              <w:bottom w:val="single" w:color="auto" w:sz="4" w:space="0"/>
              <w:right w:val="single" w:color="auto" w:sz="4" w:space="0"/>
            </w:tcBorders>
          </w:tcPr>
          <w:p w14:paraId="253A90CA">
            <w:pPr>
              <w:ind w:right="-36" w:rightChars="-15"/>
              <w:jc w:val="center"/>
              <w:rPr>
                <w:rFonts w:eastAsia="楷体_GB2312"/>
                <w:sz w:val="18"/>
              </w:rPr>
            </w:pPr>
          </w:p>
        </w:tc>
      </w:tr>
      <w:tr w14:paraId="2FFECB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8642" w:type="dxa"/>
            <w:gridSpan w:val="3"/>
            <w:tcBorders>
              <w:top w:val="single" w:color="auto" w:sz="4" w:space="0"/>
              <w:left w:val="single" w:color="auto" w:sz="4" w:space="0"/>
              <w:bottom w:val="single" w:color="auto" w:sz="4" w:space="0"/>
              <w:right w:val="single" w:color="auto" w:sz="4" w:space="0"/>
            </w:tcBorders>
          </w:tcPr>
          <w:p w14:paraId="448B5313">
            <w:pPr>
              <w:ind w:right="-36" w:rightChars="-15"/>
              <w:rPr>
                <w:rFonts w:eastAsia="楷体_GB2312"/>
                <w:b/>
                <w:sz w:val="18"/>
                <w:szCs w:val="18"/>
                <w:lang w:eastAsia="zh-CN"/>
              </w:rPr>
            </w:pPr>
            <w:r>
              <w:rPr>
                <w:rFonts w:eastAsia="楷体_GB2312"/>
                <w:b/>
                <w:sz w:val="21"/>
                <w:szCs w:val="21"/>
                <w:lang w:eastAsia="zh-CN"/>
              </w:rPr>
              <w:t>（四）持续购买个人汽车贷款担保特征</w:t>
            </w:r>
          </w:p>
        </w:tc>
      </w:tr>
      <w:tr w14:paraId="6EE30A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4106" w:type="dxa"/>
            <w:tcBorders>
              <w:top w:val="single" w:color="auto" w:sz="4" w:space="0"/>
              <w:left w:val="single" w:color="auto" w:sz="4" w:space="0"/>
              <w:bottom w:val="single" w:color="auto" w:sz="4" w:space="0"/>
              <w:right w:val="single" w:color="auto" w:sz="4" w:space="0"/>
            </w:tcBorders>
          </w:tcPr>
          <w:p w14:paraId="5CDD77C0">
            <w:pPr>
              <w:ind w:right="-36" w:rightChars="-15"/>
              <w:jc w:val="center"/>
              <w:rPr>
                <w:rFonts w:eastAsia="楷体_GB2312"/>
                <w:sz w:val="18"/>
              </w:rPr>
            </w:pPr>
            <w:r>
              <w:rPr>
                <w:rFonts w:eastAsia="楷体_GB2312"/>
                <w:sz w:val="18"/>
              </w:rPr>
              <w:t>持续购买资产入池车辆初始评估价值合计</w:t>
            </w:r>
          </w:p>
        </w:tc>
        <w:tc>
          <w:tcPr>
            <w:tcW w:w="2055" w:type="dxa"/>
            <w:tcBorders>
              <w:top w:val="single" w:color="auto" w:sz="4" w:space="0"/>
              <w:left w:val="single" w:color="auto" w:sz="4" w:space="0"/>
              <w:bottom w:val="single" w:color="auto" w:sz="4" w:space="0"/>
              <w:right w:val="single" w:color="auto" w:sz="4" w:space="0"/>
            </w:tcBorders>
          </w:tcPr>
          <w:p w14:paraId="3747D964">
            <w:pPr>
              <w:ind w:right="-36" w:rightChars="-15"/>
              <w:jc w:val="center"/>
              <w:rPr>
                <w:rFonts w:eastAsia="楷体_GB2312"/>
                <w:sz w:val="18"/>
              </w:rPr>
            </w:pPr>
          </w:p>
        </w:tc>
        <w:tc>
          <w:tcPr>
            <w:tcW w:w="2481" w:type="dxa"/>
            <w:tcBorders>
              <w:top w:val="single" w:color="auto" w:sz="4" w:space="0"/>
              <w:left w:val="single" w:color="auto" w:sz="4" w:space="0"/>
              <w:bottom w:val="single" w:color="auto" w:sz="4" w:space="0"/>
              <w:right w:val="single" w:color="auto" w:sz="4" w:space="0"/>
            </w:tcBorders>
          </w:tcPr>
          <w:p w14:paraId="5A6BA698">
            <w:pPr>
              <w:ind w:right="-36" w:rightChars="-15"/>
              <w:jc w:val="center"/>
              <w:rPr>
                <w:rFonts w:eastAsia="楷体_GB2312"/>
                <w:sz w:val="18"/>
              </w:rPr>
            </w:pPr>
          </w:p>
        </w:tc>
      </w:tr>
      <w:tr w14:paraId="26990E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4106" w:type="dxa"/>
            <w:tcBorders>
              <w:top w:val="single" w:color="auto" w:sz="4" w:space="0"/>
              <w:left w:val="single" w:color="auto" w:sz="4" w:space="0"/>
              <w:bottom w:val="single" w:color="auto" w:sz="4" w:space="0"/>
              <w:right w:val="single" w:color="auto" w:sz="4" w:space="0"/>
            </w:tcBorders>
          </w:tcPr>
          <w:p w14:paraId="170A754F">
            <w:pPr>
              <w:ind w:right="-36" w:rightChars="-15"/>
              <w:jc w:val="center"/>
              <w:rPr>
                <w:rFonts w:eastAsia="楷体_GB2312"/>
                <w:sz w:val="18"/>
              </w:rPr>
            </w:pPr>
            <w:r>
              <w:rPr>
                <w:rFonts w:eastAsia="楷体_GB2312"/>
                <w:sz w:val="18"/>
              </w:rPr>
              <w:t>持续购买资产加权平均初始贷款价值比（LTV）（%）**</w:t>
            </w:r>
          </w:p>
        </w:tc>
        <w:tc>
          <w:tcPr>
            <w:tcW w:w="2055" w:type="dxa"/>
            <w:tcBorders>
              <w:top w:val="single" w:color="auto" w:sz="4" w:space="0"/>
              <w:left w:val="single" w:color="auto" w:sz="4" w:space="0"/>
              <w:bottom w:val="single" w:color="auto" w:sz="4" w:space="0"/>
              <w:right w:val="single" w:color="auto" w:sz="4" w:space="0"/>
            </w:tcBorders>
          </w:tcPr>
          <w:p w14:paraId="07430F13">
            <w:pPr>
              <w:ind w:right="-36" w:rightChars="-15"/>
              <w:jc w:val="center"/>
              <w:rPr>
                <w:rFonts w:eastAsia="楷体_GB2312"/>
                <w:sz w:val="18"/>
              </w:rPr>
            </w:pPr>
          </w:p>
        </w:tc>
        <w:tc>
          <w:tcPr>
            <w:tcW w:w="2481" w:type="dxa"/>
            <w:tcBorders>
              <w:top w:val="single" w:color="auto" w:sz="4" w:space="0"/>
              <w:left w:val="single" w:color="auto" w:sz="4" w:space="0"/>
              <w:bottom w:val="single" w:color="auto" w:sz="4" w:space="0"/>
              <w:right w:val="single" w:color="auto" w:sz="4" w:space="0"/>
            </w:tcBorders>
          </w:tcPr>
          <w:p w14:paraId="32A6084C">
            <w:pPr>
              <w:ind w:right="-36" w:rightChars="-15"/>
              <w:jc w:val="center"/>
              <w:rPr>
                <w:rFonts w:eastAsia="楷体_GB2312"/>
                <w:sz w:val="18"/>
              </w:rPr>
            </w:pPr>
          </w:p>
        </w:tc>
      </w:tr>
      <w:tr w14:paraId="145B48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8642" w:type="dxa"/>
            <w:gridSpan w:val="3"/>
            <w:tcBorders>
              <w:top w:val="single" w:color="auto" w:sz="4" w:space="0"/>
              <w:left w:val="single" w:color="auto" w:sz="4" w:space="0"/>
              <w:bottom w:val="single" w:color="auto" w:sz="4" w:space="0"/>
              <w:right w:val="single" w:color="auto" w:sz="4" w:space="0"/>
            </w:tcBorders>
          </w:tcPr>
          <w:p w14:paraId="58CEE606">
            <w:pPr>
              <w:ind w:right="-36" w:rightChars="-15"/>
              <w:rPr>
                <w:rFonts w:eastAsia="楷体_GB2312"/>
                <w:sz w:val="21"/>
                <w:szCs w:val="21"/>
                <w:lang w:eastAsia="zh-CN"/>
              </w:rPr>
            </w:pPr>
            <w:r>
              <w:rPr>
                <w:rFonts w:eastAsia="楷体_GB2312"/>
                <w:b/>
                <w:sz w:val="21"/>
                <w:szCs w:val="21"/>
                <w:lang w:eastAsia="zh-CN"/>
              </w:rPr>
              <w:t>（五）持续购买个人汽车贷款借款人特征</w:t>
            </w:r>
          </w:p>
        </w:tc>
      </w:tr>
      <w:tr w14:paraId="592671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4106" w:type="dxa"/>
            <w:tcBorders>
              <w:top w:val="single" w:color="auto" w:sz="4" w:space="0"/>
              <w:left w:val="single" w:color="auto" w:sz="4" w:space="0"/>
              <w:bottom w:val="single" w:color="auto" w:sz="4" w:space="0"/>
              <w:right w:val="single" w:color="auto" w:sz="4" w:space="0"/>
            </w:tcBorders>
          </w:tcPr>
          <w:p w14:paraId="0CFDF0CE">
            <w:pPr>
              <w:ind w:right="-36" w:rightChars="-15"/>
              <w:jc w:val="center"/>
              <w:rPr>
                <w:rFonts w:eastAsia="楷体_GB2312"/>
                <w:sz w:val="18"/>
              </w:rPr>
            </w:pPr>
            <w:r>
              <w:rPr>
                <w:rFonts w:eastAsia="楷体_GB2312"/>
                <w:sz w:val="18"/>
              </w:rPr>
              <w:t>持续购买资产借款人的加权平均年龄</w:t>
            </w:r>
          </w:p>
        </w:tc>
        <w:tc>
          <w:tcPr>
            <w:tcW w:w="2055" w:type="dxa"/>
            <w:tcBorders>
              <w:top w:val="single" w:color="auto" w:sz="4" w:space="0"/>
              <w:left w:val="single" w:color="auto" w:sz="4" w:space="0"/>
              <w:bottom w:val="single" w:color="auto" w:sz="4" w:space="0"/>
              <w:right w:val="single" w:color="auto" w:sz="4" w:space="0"/>
            </w:tcBorders>
          </w:tcPr>
          <w:p w14:paraId="050BB7AD">
            <w:pPr>
              <w:ind w:right="-36" w:rightChars="-15"/>
              <w:jc w:val="center"/>
              <w:rPr>
                <w:rFonts w:eastAsia="楷体_GB2312"/>
                <w:sz w:val="18"/>
              </w:rPr>
            </w:pPr>
          </w:p>
        </w:tc>
        <w:tc>
          <w:tcPr>
            <w:tcW w:w="2481" w:type="dxa"/>
            <w:tcBorders>
              <w:top w:val="single" w:color="auto" w:sz="4" w:space="0"/>
              <w:left w:val="single" w:color="auto" w:sz="4" w:space="0"/>
              <w:bottom w:val="single" w:color="auto" w:sz="4" w:space="0"/>
              <w:right w:val="single" w:color="auto" w:sz="4" w:space="0"/>
            </w:tcBorders>
          </w:tcPr>
          <w:p w14:paraId="2D921B1A">
            <w:pPr>
              <w:ind w:right="-36" w:rightChars="-15"/>
              <w:jc w:val="center"/>
              <w:rPr>
                <w:rFonts w:eastAsia="楷体_GB2312"/>
                <w:sz w:val="18"/>
              </w:rPr>
            </w:pPr>
          </w:p>
        </w:tc>
      </w:tr>
      <w:tr w14:paraId="25E76C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4106" w:type="dxa"/>
            <w:tcBorders>
              <w:top w:val="single" w:color="auto" w:sz="4" w:space="0"/>
              <w:left w:val="single" w:color="auto" w:sz="4" w:space="0"/>
              <w:bottom w:val="single" w:color="auto" w:sz="4" w:space="0"/>
              <w:right w:val="single" w:color="auto" w:sz="4" w:space="0"/>
            </w:tcBorders>
          </w:tcPr>
          <w:p w14:paraId="32D20A5F">
            <w:pPr>
              <w:ind w:right="-36" w:rightChars="-15"/>
              <w:jc w:val="center"/>
              <w:rPr>
                <w:rFonts w:eastAsia="楷体_GB2312"/>
                <w:sz w:val="18"/>
              </w:rPr>
            </w:pPr>
            <w:r>
              <w:rPr>
                <w:rFonts w:eastAsia="楷体_GB2312"/>
                <w:sz w:val="18"/>
              </w:rPr>
              <w:t>30-40岁借款人贷款的金额占比</w:t>
            </w:r>
          </w:p>
        </w:tc>
        <w:tc>
          <w:tcPr>
            <w:tcW w:w="2055" w:type="dxa"/>
            <w:tcBorders>
              <w:top w:val="single" w:color="auto" w:sz="4" w:space="0"/>
              <w:left w:val="single" w:color="auto" w:sz="4" w:space="0"/>
              <w:bottom w:val="single" w:color="auto" w:sz="4" w:space="0"/>
              <w:right w:val="single" w:color="auto" w:sz="4" w:space="0"/>
            </w:tcBorders>
          </w:tcPr>
          <w:p w14:paraId="3EE4AB9D">
            <w:pPr>
              <w:ind w:right="-36" w:rightChars="-15"/>
              <w:jc w:val="center"/>
              <w:rPr>
                <w:rFonts w:eastAsia="楷体_GB2312"/>
                <w:sz w:val="18"/>
              </w:rPr>
            </w:pPr>
          </w:p>
        </w:tc>
        <w:tc>
          <w:tcPr>
            <w:tcW w:w="2481" w:type="dxa"/>
            <w:tcBorders>
              <w:top w:val="single" w:color="auto" w:sz="4" w:space="0"/>
              <w:left w:val="single" w:color="auto" w:sz="4" w:space="0"/>
              <w:bottom w:val="single" w:color="auto" w:sz="4" w:space="0"/>
              <w:right w:val="single" w:color="auto" w:sz="4" w:space="0"/>
            </w:tcBorders>
          </w:tcPr>
          <w:p w14:paraId="65987C5A">
            <w:pPr>
              <w:ind w:right="-36" w:rightChars="-15"/>
              <w:jc w:val="center"/>
              <w:rPr>
                <w:rFonts w:eastAsia="楷体_GB2312"/>
                <w:sz w:val="18"/>
              </w:rPr>
            </w:pPr>
          </w:p>
        </w:tc>
      </w:tr>
      <w:tr w14:paraId="68EC8E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4106" w:type="dxa"/>
            <w:tcBorders>
              <w:top w:val="single" w:color="auto" w:sz="4" w:space="0"/>
              <w:left w:val="single" w:color="auto" w:sz="4" w:space="0"/>
              <w:bottom w:val="single" w:color="auto" w:sz="4" w:space="0"/>
              <w:right w:val="single" w:color="auto" w:sz="4" w:space="0"/>
            </w:tcBorders>
          </w:tcPr>
          <w:p w14:paraId="3A2BE2E3">
            <w:pPr>
              <w:ind w:right="-36" w:rightChars="-15"/>
              <w:jc w:val="center"/>
              <w:rPr>
                <w:rFonts w:eastAsia="楷体_GB2312"/>
                <w:sz w:val="18"/>
              </w:rPr>
            </w:pPr>
            <w:r>
              <w:rPr>
                <w:rFonts w:eastAsia="楷体_GB2312"/>
                <w:sz w:val="18"/>
              </w:rPr>
              <w:t>借款人加权平均年收入</w:t>
            </w:r>
          </w:p>
        </w:tc>
        <w:tc>
          <w:tcPr>
            <w:tcW w:w="2055" w:type="dxa"/>
            <w:tcBorders>
              <w:top w:val="single" w:color="auto" w:sz="4" w:space="0"/>
              <w:left w:val="single" w:color="auto" w:sz="4" w:space="0"/>
              <w:bottom w:val="single" w:color="auto" w:sz="4" w:space="0"/>
              <w:right w:val="single" w:color="auto" w:sz="4" w:space="0"/>
            </w:tcBorders>
          </w:tcPr>
          <w:p w14:paraId="40AC0172">
            <w:pPr>
              <w:ind w:right="-36" w:rightChars="-15"/>
              <w:jc w:val="center"/>
              <w:rPr>
                <w:rFonts w:eastAsia="楷体_GB2312"/>
                <w:sz w:val="18"/>
              </w:rPr>
            </w:pPr>
          </w:p>
        </w:tc>
        <w:tc>
          <w:tcPr>
            <w:tcW w:w="2481" w:type="dxa"/>
            <w:tcBorders>
              <w:top w:val="single" w:color="auto" w:sz="4" w:space="0"/>
              <w:left w:val="single" w:color="auto" w:sz="4" w:space="0"/>
              <w:bottom w:val="single" w:color="auto" w:sz="4" w:space="0"/>
              <w:right w:val="single" w:color="auto" w:sz="4" w:space="0"/>
            </w:tcBorders>
          </w:tcPr>
          <w:p w14:paraId="21C04A3B">
            <w:pPr>
              <w:ind w:right="-36" w:rightChars="-15"/>
              <w:jc w:val="center"/>
              <w:rPr>
                <w:rFonts w:eastAsia="楷体_GB2312"/>
                <w:sz w:val="18"/>
              </w:rPr>
            </w:pPr>
          </w:p>
        </w:tc>
      </w:tr>
      <w:tr w14:paraId="06C73A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4106" w:type="dxa"/>
            <w:tcBorders>
              <w:top w:val="single" w:color="auto" w:sz="4" w:space="0"/>
              <w:left w:val="single" w:color="auto" w:sz="4" w:space="0"/>
              <w:bottom w:val="single" w:color="auto" w:sz="4" w:space="0"/>
              <w:right w:val="single" w:color="auto" w:sz="4" w:space="0"/>
            </w:tcBorders>
          </w:tcPr>
          <w:p w14:paraId="562E3DDC">
            <w:pPr>
              <w:ind w:right="-36" w:rightChars="-15"/>
              <w:jc w:val="center"/>
              <w:rPr>
                <w:rFonts w:eastAsia="楷体_GB2312"/>
                <w:sz w:val="18"/>
              </w:rPr>
            </w:pPr>
            <w:r>
              <w:rPr>
                <w:rFonts w:eastAsia="楷体_GB2312"/>
                <w:sz w:val="18"/>
              </w:rPr>
              <w:t>借款人加权平均收入债务比（DTI）***</w:t>
            </w:r>
          </w:p>
        </w:tc>
        <w:tc>
          <w:tcPr>
            <w:tcW w:w="2055" w:type="dxa"/>
            <w:tcBorders>
              <w:top w:val="single" w:color="auto" w:sz="4" w:space="0"/>
              <w:left w:val="single" w:color="auto" w:sz="4" w:space="0"/>
              <w:bottom w:val="single" w:color="auto" w:sz="4" w:space="0"/>
              <w:right w:val="single" w:color="auto" w:sz="4" w:space="0"/>
            </w:tcBorders>
          </w:tcPr>
          <w:p w14:paraId="47080B65">
            <w:pPr>
              <w:ind w:right="-36" w:rightChars="-15"/>
              <w:jc w:val="center"/>
              <w:rPr>
                <w:rFonts w:eastAsia="楷体_GB2312"/>
                <w:sz w:val="18"/>
              </w:rPr>
            </w:pPr>
          </w:p>
        </w:tc>
        <w:tc>
          <w:tcPr>
            <w:tcW w:w="2481" w:type="dxa"/>
            <w:tcBorders>
              <w:top w:val="single" w:color="auto" w:sz="4" w:space="0"/>
              <w:left w:val="single" w:color="auto" w:sz="4" w:space="0"/>
              <w:bottom w:val="single" w:color="auto" w:sz="4" w:space="0"/>
              <w:right w:val="single" w:color="auto" w:sz="4" w:space="0"/>
            </w:tcBorders>
          </w:tcPr>
          <w:p w14:paraId="1AA9FFCE">
            <w:pPr>
              <w:ind w:right="-36" w:rightChars="-15"/>
              <w:jc w:val="center"/>
              <w:rPr>
                <w:rFonts w:eastAsia="楷体_GB2312"/>
                <w:sz w:val="18"/>
              </w:rPr>
            </w:pPr>
          </w:p>
        </w:tc>
      </w:tr>
      <w:tr w14:paraId="151740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8642" w:type="dxa"/>
            <w:gridSpan w:val="3"/>
            <w:tcBorders>
              <w:top w:val="single" w:color="auto" w:sz="4" w:space="0"/>
              <w:left w:val="single" w:color="auto" w:sz="4" w:space="0"/>
              <w:bottom w:val="single" w:color="auto" w:sz="4" w:space="0"/>
              <w:right w:val="single" w:color="auto" w:sz="4" w:space="0"/>
            </w:tcBorders>
          </w:tcPr>
          <w:p w14:paraId="2424066D">
            <w:pPr>
              <w:ind w:right="-36" w:rightChars="-15"/>
              <w:rPr>
                <w:rFonts w:eastAsia="楷体_GB2312"/>
                <w:sz w:val="18"/>
                <w:szCs w:val="18"/>
                <w:lang w:eastAsia="zh-CN"/>
              </w:rPr>
            </w:pPr>
            <w:r>
              <w:rPr>
                <w:rFonts w:eastAsia="楷体_GB2312"/>
                <w:b/>
                <w:sz w:val="21"/>
                <w:szCs w:val="21"/>
                <w:lang w:eastAsia="zh-CN"/>
              </w:rPr>
              <w:t>（六）持续购买个人汽车贷款贷款用途</w:t>
            </w:r>
          </w:p>
        </w:tc>
      </w:tr>
      <w:tr w14:paraId="7EA697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8642" w:type="dxa"/>
            <w:gridSpan w:val="3"/>
            <w:tcBorders>
              <w:top w:val="single" w:color="auto" w:sz="4" w:space="0"/>
              <w:left w:val="single" w:color="auto" w:sz="4" w:space="0"/>
              <w:bottom w:val="single" w:color="auto" w:sz="4" w:space="0"/>
              <w:right w:val="single" w:color="auto" w:sz="4" w:space="0"/>
            </w:tcBorders>
          </w:tcPr>
          <w:p w14:paraId="381E54C3">
            <w:pPr>
              <w:ind w:right="-36" w:rightChars="-15"/>
              <w:rPr>
                <w:rFonts w:eastAsia="楷体_GB2312"/>
                <w:sz w:val="18"/>
                <w:szCs w:val="18"/>
                <w:lang w:eastAsia="zh-CN"/>
              </w:rPr>
            </w:pPr>
            <w:r>
              <w:rPr>
                <w:rFonts w:eastAsia="楷体_GB2312"/>
                <w:sz w:val="18"/>
                <w:lang w:eastAsia="zh-CN"/>
              </w:rPr>
              <w:t>所有持续购买资产均为借款人购车之目的</w:t>
            </w:r>
          </w:p>
        </w:tc>
      </w:tr>
      <w:bookmarkEnd w:id="888"/>
    </w:tbl>
    <w:p w14:paraId="5811E154">
      <w:pPr>
        <w:rPr>
          <w:rFonts w:eastAsia="楷体_GB2312"/>
          <w:sz w:val="18"/>
          <w:szCs w:val="18"/>
          <w:lang w:eastAsia="zh-CN"/>
        </w:rPr>
      </w:pPr>
      <w:bookmarkStart w:id="889" w:name="_Hlk38555197"/>
      <w:r>
        <w:rPr>
          <w:rFonts w:eastAsia="楷体_GB2312"/>
          <w:sz w:val="18"/>
          <w:szCs w:val="18"/>
          <w:lang w:eastAsia="zh-CN"/>
        </w:rPr>
        <w:t>*购买率的计算公式为：</w:t>
      </w:r>
      <m:oMath>
        <m:f>
          <m:fPr>
            <m:ctrlPr>
              <w:rPr>
                <w:rFonts w:ascii="Cambria Math" w:hAnsi="Cambria Math" w:eastAsia="楷体_GB2312"/>
                <w:sz w:val="18"/>
                <w:szCs w:val="18"/>
                <w:lang w:eastAsia="zh-CN"/>
              </w:rPr>
            </m:ctrlPr>
          </m:fPr>
          <m:num>
            <m:nary>
              <m:naryPr>
                <m:chr m:val="∑"/>
                <m:limLoc m:val="undOvr"/>
                <m:subHide m:val="1"/>
                <m:supHide m:val="1"/>
                <m:ctrlPr>
                  <w:rPr>
                    <w:rFonts w:ascii="Cambria Math" w:hAnsi="Cambria Math" w:eastAsia="楷体_GB2312"/>
                    <w:i/>
                    <w:sz w:val="18"/>
                    <w:szCs w:val="18"/>
                    <w:lang w:eastAsia="zh-CN"/>
                  </w:rPr>
                </m:ctrlPr>
              </m:naryPr>
              <m:sub>
                <m:ctrlPr>
                  <w:rPr>
                    <w:rFonts w:ascii="Cambria Math" w:hAnsi="Cambria Math" w:eastAsia="楷体_GB2312"/>
                    <w:i/>
                    <w:sz w:val="18"/>
                    <w:szCs w:val="18"/>
                    <w:lang w:eastAsia="zh-CN"/>
                  </w:rPr>
                </m:ctrlPr>
              </m:sub>
              <m:sup>
                <m:ctrlPr>
                  <w:rPr>
                    <w:rFonts w:ascii="Cambria Math" w:hAnsi="Cambria Math" w:eastAsia="楷体_GB2312"/>
                    <w:i/>
                    <w:sz w:val="18"/>
                    <w:szCs w:val="18"/>
                    <w:lang w:eastAsia="zh-CN"/>
                  </w:rPr>
                </m:ctrlPr>
              </m:sup>
              <m:e>
                <m:r>
                  <m:rPr>
                    <m:sty m:val="p"/>
                  </m:rPr>
                  <w:rPr>
                    <w:rFonts w:ascii="Cambria Math" w:hAnsi="Cambria Math" w:eastAsia="楷体_GB2312"/>
                    <w:sz w:val="18"/>
                    <w:szCs w:val="18"/>
                    <w:lang w:eastAsia="zh-CN"/>
                  </w:rPr>
                  <m:t>本收款期间每个持续购买日实际持续购买的金额</m:t>
                </m:r>
                <m:ctrlPr>
                  <w:rPr>
                    <w:rFonts w:ascii="Cambria Math" w:hAnsi="Cambria Math" w:eastAsia="楷体_GB2312"/>
                    <w:i/>
                    <w:sz w:val="18"/>
                    <w:szCs w:val="18"/>
                    <w:lang w:eastAsia="zh-CN"/>
                  </w:rPr>
                </m:ctrlPr>
              </m:e>
            </m:nary>
            <m:ctrlPr>
              <w:rPr>
                <w:rFonts w:ascii="Cambria Math" w:hAnsi="Cambria Math" w:eastAsia="楷体_GB2312"/>
                <w:sz w:val="18"/>
                <w:szCs w:val="18"/>
                <w:lang w:eastAsia="zh-CN"/>
              </w:rPr>
            </m:ctrlPr>
          </m:num>
          <m:den>
            <m:nary>
              <m:naryPr>
                <m:chr m:val="∑"/>
                <m:limLoc m:val="undOvr"/>
                <m:subHide m:val="1"/>
                <m:supHide m:val="1"/>
                <m:ctrlPr>
                  <w:rPr>
                    <w:rFonts w:ascii="Cambria Math" w:hAnsi="Cambria Math" w:eastAsia="楷体_GB2312"/>
                    <w:sz w:val="18"/>
                    <w:szCs w:val="18"/>
                    <w:lang w:eastAsia="zh-CN"/>
                  </w:rPr>
                </m:ctrlPr>
              </m:naryPr>
              <m:sub>
                <m:ctrlPr>
                  <w:rPr>
                    <w:rFonts w:ascii="Cambria Math" w:hAnsi="Cambria Math" w:eastAsia="楷体_GB2312"/>
                    <w:sz w:val="18"/>
                    <w:szCs w:val="18"/>
                    <w:lang w:eastAsia="zh-CN"/>
                  </w:rPr>
                </m:ctrlPr>
              </m:sub>
              <m:sup>
                <m:ctrlPr>
                  <w:rPr>
                    <w:rFonts w:ascii="Cambria Math" w:hAnsi="Cambria Math" w:eastAsia="楷体_GB2312"/>
                    <w:sz w:val="18"/>
                    <w:szCs w:val="18"/>
                    <w:lang w:eastAsia="zh-CN"/>
                  </w:rPr>
                </m:ctrlPr>
              </m:sup>
              <m:e>
                <m:r>
                  <m:rPr>
                    <m:sty m:val="p"/>
                  </m:rPr>
                  <w:rPr>
                    <w:rFonts w:ascii="Cambria Math" w:hAnsi="Cambria Math" w:eastAsia="楷体_GB2312"/>
                    <w:sz w:val="18"/>
                    <w:szCs w:val="18"/>
                    <w:lang w:eastAsia="zh-CN"/>
                  </w:rPr>
                  <m:t>本收款期间每个持续购买日可用于持续购买的金额</m:t>
                </m:r>
                <m:ctrlPr>
                  <w:rPr>
                    <w:rFonts w:ascii="Cambria Math" w:hAnsi="Cambria Math" w:eastAsia="楷体_GB2312"/>
                    <w:sz w:val="18"/>
                    <w:szCs w:val="18"/>
                    <w:lang w:eastAsia="zh-CN"/>
                  </w:rPr>
                </m:ctrlPr>
              </m:e>
            </m:nary>
            <m:ctrlPr>
              <w:rPr>
                <w:rFonts w:ascii="Cambria Math" w:hAnsi="Cambria Math" w:eastAsia="楷体_GB2312"/>
                <w:sz w:val="18"/>
                <w:szCs w:val="18"/>
                <w:lang w:eastAsia="zh-CN"/>
              </w:rPr>
            </m:ctrlPr>
          </m:den>
        </m:f>
      </m:oMath>
    </w:p>
    <w:p w14:paraId="40FE4854">
      <w:pPr>
        <w:rPr>
          <w:rFonts w:eastAsia="楷体_GB2312"/>
          <w:sz w:val="18"/>
          <w:szCs w:val="18"/>
          <w:lang w:eastAsia="zh-CN"/>
        </w:rPr>
      </w:pPr>
      <w:r>
        <w:rPr>
          <w:rFonts w:eastAsia="楷体_GB2312"/>
          <w:sz w:val="18"/>
          <w:szCs w:val="18"/>
          <w:lang w:eastAsia="zh-CN"/>
        </w:rPr>
        <w:t>**初始贷款价值比（即LTV）=持续购买基准日贷款未偿本金余额/车辆初始评估价值</w:t>
      </w:r>
    </w:p>
    <w:p w14:paraId="76299F2C">
      <w:pPr>
        <w:pStyle w:val="140"/>
        <w:rPr>
          <w:rFonts w:ascii="Times New Roman" w:eastAsia="楷体_GB2312" w:cs="Times New Roman"/>
          <w:color w:val="auto"/>
          <w:sz w:val="18"/>
          <w:szCs w:val="18"/>
        </w:rPr>
      </w:pPr>
      <w:r>
        <w:rPr>
          <w:rFonts w:ascii="Times New Roman" w:eastAsia="楷体_GB2312" w:cs="Times New Roman"/>
          <w:color w:val="auto"/>
          <w:sz w:val="18"/>
          <w:szCs w:val="18"/>
        </w:rPr>
        <w:t>***收入债务比（即DTI）=借款人年收入/持续购买基准日贷款未偿本金余额</w:t>
      </w:r>
    </w:p>
    <w:bookmarkEnd w:id="889"/>
    <w:p w14:paraId="35CC40F6">
      <w:pPr>
        <w:rPr>
          <w:rFonts w:eastAsia="楷体_GB2312"/>
          <w:lang w:eastAsia="zh-CN"/>
        </w:rPr>
      </w:pPr>
      <w:r>
        <w:rPr>
          <w:rFonts w:eastAsia="楷体_GB2312"/>
          <w:lang w:eastAsia="zh-CN"/>
        </w:rPr>
        <w:br w:type="page"/>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1"/>
        <w:gridCol w:w="939"/>
        <w:gridCol w:w="878"/>
        <w:gridCol w:w="1601"/>
        <w:gridCol w:w="878"/>
        <w:gridCol w:w="1601"/>
        <w:gridCol w:w="878"/>
      </w:tblGrid>
      <w:tr w14:paraId="5EE94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gridSpan w:val="7"/>
            <w:noWrap/>
            <w:vAlign w:val="center"/>
          </w:tcPr>
          <w:p w14:paraId="77E4FF72">
            <w:pPr>
              <w:jc w:val="center"/>
              <w:rPr>
                <w:rFonts w:eastAsia="楷体_GB2312"/>
                <w:b/>
                <w:bCs/>
                <w:sz w:val="28"/>
                <w:szCs w:val="28"/>
                <w:lang w:eastAsia="zh-CN"/>
              </w:rPr>
            </w:pPr>
            <w:r>
              <w:rPr>
                <w:rFonts w:eastAsia="楷体_GB2312"/>
                <w:b/>
                <w:sz w:val="28"/>
                <w:lang w:eastAsia="zh-CN"/>
              </w:rPr>
              <w:t>【信托名称】</w:t>
            </w:r>
          </w:p>
          <w:p w14:paraId="2728AFB4">
            <w:pPr>
              <w:jc w:val="center"/>
              <w:rPr>
                <w:rFonts w:eastAsia="楷体_GB2312"/>
                <w:sz w:val="28"/>
                <w:szCs w:val="28"/>
                <w:lang w:eastAsia="zh-CN"/>
              </w:rPr>
            </w:pPr>
            <w:r>
              <w:rPr>
                <w:rFonts w:eastAsia="楷体_GB2312"/>
                <w:b/>
                <w:bCs/>
                <w:sz w:val="28"/>
                <w:szCs w:val="28"/>
                <w:lang w:eastAsia="zh-CN"/>
              </w:rPr>
              <w:t>受托机构月度/年度报告</w:t>
            </w:r>
          </w:p>
        </w:tc>
      </w:tr>
      <w:tr w14:paraId="73F4F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gridSpan w:val="7"/>
            <w:noWrap/>
            <w:vAlign w:val="center"/>
          </w:tcPr>
          <w:p w14:paraId="3640EDF1">
            <w:pPr>
              <w:rPr>
                <w:rFonts w:eastAsia="楷体_GB2312"/>
                <w:b/>
                <w:lang w:eastAsia="zh-CN"/>
              </w:rPr>
            </w:pPr>
            <w:r>
              <w:rPr>
                <w:rFonts w:eastAsia="楷体_GB2312"/>
                <w:b/>
                <w:bCs/>
                <w:lang w:eastAsia="zh-CN"/>
              </w:rPr>
              <w:t>七、存续期基础资产持续购买分布信息</w:t>
            </w:r>
          </w:p>
        </w:tc>
      </w:tr>
      <w:tr w14:paraId="777DC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gridSpan w:val="7"/>
            <w:noWrap/>
            <w:vAlign w:val="center"/>
          </w:tcPr>
          <w:p w14:paraId="18D67CC8">
            <w:pPr>
              <w:rPr>
                <w:rFonts w:eastAsia="楷体_GB2312"/>
                <w:b/>
                <w:bCs/>
                <w:lang w:eastAsia="zh-CN"/>
              </w:rPr>
            </w:pPr>
            <w:r>
              <w:rPr>
                <w:rFonts w:eastAsia="楷体_GB2312"/>
                <w:b/>
                <w:bCs/>
                <w:lang w:eastAsia="zh-CN"/>
              </w:rPr>
              <w:t>贷款分布</w:t>
            </w:r>
          </w:p>
        </w:tc>
      </w:tr>
      <w:tr w14:paraId="59F6B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gridSpan w:val="7"/>
            <w:noWrap/>
            <w:vAlign w:val="center"/>
          </w:tcPr>
          <w:p w14:paraId="303E1D4C">
            <w:pPr>
              <w:rPr>
                <w:rFonts w:eastAsia="楷体_GB2312"/>
                <w:sz w:val="21"/>
                <w:szCs w:val="21"/>
                <w:lang w:eastAsia="zh-CN"/>
              </w:rPr>
            </w:pPr>
            <w:r>
              <w:rPr>
                <w:rFonts w:eastAsia="楷体_GB2312"/>
                <w:b/>
                <w:bCs/>
                <w:sz w:val="21"/>
                <w:szCs w:val="21"/>
                <w:lang w:eastAsia="zh-CN"/>
              </w:rPr>
              <w:t>(一)未偿本金余额分布</w:t>
            </w:r>
          </w:p>
        </w:tc>
      </w:tr>
      <w:tr w14:paraId="0828F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68311D97">
            <w:pPr>
              <w:jc w:val="center"/>
              <w:rPr>
                <w:rFonts w:eastAsia="楷体_GB2312"/>
                <w:b/>
                <w:bCs/>
                <w:sz w:val="18"/>
                <w:szCs w:val="18"/>
                <w:lang w:eastAsia="zh-CN"/>
              </w:rPr>
            </w:pPr>
            <w:r>
              <w:rPr>
                <w:rFonts w:eastAsia="楷体_GB2312"/>
                <w:b/>
                <w:bCs/>
                <w:sz w:val="18"/>
                <w:szCs w:val="18"/>
              </w:rPr>
              <w:t>未偿本金余额(元)</w:t>
            </w:r>
          </w:p>
        </w:tc>
        <w:tc>
          <w:tcPr>
            <w:tcW w:w="0" w:type="auto"/>
            <w:noWrap/>
            <w:vAlign w:val="center"/>
          </w:tcPr>
          <w:p w14:paraId="3F491108">
            <w:pPr>
              <w:jc w:val="center"/>
              <w:rPr>
                <w:rFonts w:eastAsia="楷体_GB2312"/>
                <w:b/>
                <w:bCs/>
                <w:sz w:val="18"/>
                <w:szCs w:val="18"/>
                <w:lang w:eastAsia="zh-CN"/>
              </w:rPr>
            </w:pPr>
            <w:r>
              <w:rPr>
                <w:rFonts w:eastAsia="楷体_GB2312"/>
                <w:b/>
                <w:bCs/>
                <w:sz w:val="18"/>
                <w:szCs w:val="18"/>
                <w:lang w:eastAsia="zh-CN"/>
              </w:rPr>
              <w:t>贷款笔数</w:t>
            </w:r>
          </w:p>
        </w:tc>
        <w:tc>
          <w:tcPr>
            <w:tcW w:w="0" w:type="auto"/>
            <w:noWrap/>
            <w:vAlign w:val="center"/>
          </w:tcPr>
          <w:p w14:paraId="711F3E50">
            <w:pPr>
              <w:jc w:val="center"/>
              <w:rPr>
                <w:rFonts w:eastAsia="楷体_GB2312"/>
                <w:b/>
                <w:bCs/>
                <w:sz w:val="18"/>
                <w:szCs w:val="18"/>
                <w:lang w:eastAsia="zh-CN"/>
              </w:rPr>
            </w:pPr>
            <w:r>
              <w:rPr>
                <w:rFonts w:eastAsia="楷体_GB2312"/>
                <w:b/>
                <w:bCs/>
                <w:sz w:val="18"/>
                <w:szCs w:val="18"/>
              </w:rPr>
              <w:t>占比(%)</w:t>
            </w:r>
          </w:p>
        </w:tc>
        <w:tc>
          <w:tcPr>
            <w:tcW w:w="0" w:type="auto"/>
            <w:noWrap/>
            <w:vAlign w:val="center"/>
          </w:tcPr>
          <w:p w14:paraId="56A67E2B">
            <w:pPr>
              <w:jc w:val="center"/>
              <w:rPr>
                <w:rFonts w:eastAsia="楷体_GB2312"/>
                <w:b/>
                <w:bCs/>
                <w:sz w:val="18"/>
                <w:szCs w:val="18"/>
                <w:lang w:eastAsia="zh-CN"/>
              </w:rPr>
            </w:pPr>
            <w:r>
              <w:rPr>
                <w:rFonts w:eastAsia="楷体_GB2312"/>
                <w:b/>
                <w:bCs/>
                <w:sz w:val="18"/>
                <w:szCs w:val="18"/>
                <w:lang w:eastAsia="zh-CN"/>
              </w:rPr>
              <w:t>初始本金余额(元)</w:t>
            </w:r>
          </w:p>
        </w:tc>
        <w:tc>
          <w:tcPr>
            <w:tcW w:w="0" w:type="auto"/>
            <w:noWrap/>
            <w:vAlign w:val="center"/>
          </w:tcPr>
          <w:p w14:paraId="4C43223E">
            <w:pPr>
              <w:jc w:val="center"/>
              <w:rPr>
                <w:rFonts w:eastAsia="楷体_GB2312"/>
                <w:b/>
                <w:bCs/>
                <w:sz w:val="18"/>
                <w:szCs w:val="18"/>
                <w:lang w:eastAsia="zh-CN"/>
              </w:rPr>
            </w:pPr>
            <w:r>
              <w:rPr>
                <w:rFonts w:eastAsia="楷体_GB2312"/>
                <w:b/>
                <w:bCs/>
                <w:sz w:val="18"/>
                <w:szCs w:val="18"/>
              </w:rPr>
              <w:t>占比(%)</w:t>
            </w:r>
          </w:p>
        </w:tc>
        <w:tc>
          <w:tcPr>
            <w:tcW w:w="0" w:type="auto"/>
            <w:noWrap/>
            <w:vAlign w:val="center"/>
          </w:tcPr>
          <w:p w14:paraId="46859092">
            <w:pPr>
              <w:jc w:val="center"/>
              <w:rPr>
                <w:rFonts w:eastAsia="楷体_GB2312"/>
                <w:b/>
                <w:bCs/>
                <w:sz w:val="18"/>
                <w:szCs w:val="18"/>
                <w:lang w:eastAsia="zh-CN"/>
              </w:rPr>
            </w:pPr>
            <w:r>
              <w:rPr>
                <w:rFonts w:eastAsia="楷体_GB2312"/>
                <w:b/>
                <w:bCs/>
                <w:sz w:val="18"/>
                <w:szCs w:val="18"/>
                <w:lang w:eastAsia="zh-CN"/>
              </w:rPr>
              <w:t>未偿本金余额(元)</w:t>
            </w:r>
          </w:p>
        </w:tc>
        <w:tc>
          <w:tcPr>
            <w:tcW w:w="0" w:type="auto"/>
            <w:noWrap/>
            <w:vAlign w:val="center"/>
          </w:tcPr>
          <w:p w14:paraId="0D080809">
            <w:pPr>
              <w:jc w:val="center"/>
              <w:rPr>
                <w:rFonts w:eastAsia="楷体_GB2312"/>
                <w:b/>
                <w:bCs/>
                <w:sz w:val="18"/>
                <w:szCs w:val="18"/>
                <w:lang w:eastAsia="zh-CN"/>
              </w:rPr>
            </w:pPr>
            <w:r>
              <w:rPr>
                <w:rFonts w:eastAsia="楷体_GB2312"/>
                <w:b/>
                <w:bCs/>
                <w:sz w:val="18"/>
                <w:szCs w:val="18"/>
              </w:rPr>
              <w:t>占比(%)</w:t>
            </w:r>
          </w:p>
        </w:tc>
      </w:tr>
      <w:tr w14:paraId="384BE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5987CB1">
            <w:pPr>
              <w:jc w:val="center"/>
              <w:rPr>
                <w:rFonts w:eastAsia="楷体_GB2312"/>
                <w:sz w:val="18"/>
                <w:szCs w:val="18"/>
                <w:lang w:eastAsia="zh-CN"/>
              </w:rPr>
            </w:pPr>
            <w:r>
              <w:rPr>
                <w:rFonts w:eastAsia="楷体_GB2312"/>
                <w:sz w:val="18"/>
                <w:szCs w:val="18"/>
                <w:lang w:eastAsia="zh-CN"/>
              </w:rPr>
              <w:t>[0-【】)</w:t>
            </w:r>
          </w:p>
        </w:tc>
        <w:tc>
          <w:tcPr>
            <w:tcW w:w="0" w:type="auto"/>
            <w:noWrap/>
            <w:vAlign w:val="center"/>
          </w:tcPr>
          <w:p w14:paraId="65F4524A">
            <w:pPr>
              <w:jc w:val="right"/>
              <w:rPr>
                <w:rFonts w:eastAsia="楷体_GB2312"/>
                <w:sz w:val="18"/>
                <w:szCs w:val="18"/>
                <w:lang w:eastAsia="zh-CN"/>
              </w:rPr>
            </w:pPr>
          </w:p>
        </w:tc>
        <w:tc>
          <w:tcPr>
            <w:tcW w:w="0" w:type="auto"/>
            <w:noWrap/>
            <w:vAlign w:val="center"/>
          </w:tcPr>
          <w:p w14:paraId="6905BF5D">
            <w:pPr>
              <w:jc w:val="right"/>
              <w:rPr>
                <w:rFonts w:eastAsia="楷体_GB2312"/>
                <w:sz w:val="18"/>
                <w:szCs w:val="18"/>
                <w:lang w:eastAsia="zh-CN"/>
              </w:rPr>
            </w:pPr>
          </w:p>
        </w:tc>
        <w:tc>
          <w:tcPr>
            <w:tcW w:w="0" w:type="auto"/>
            <w:noWrap/>
            <w:vAlign w:val="center"/>
          </w:tcPr>
          <w:p w14:paraId="1C8B54DD">
            <w:pPr>
              <w:jc w:val="right"/>
              <w:rPr>
                <w:rFonts w:eastAsia="楷体_GB2312"/>
                <w:sz w:val="18"/>
                <w:szCs w:val="18"/>
                <w:lang w:eastAsia="zh-CN"/>
              </w:rPr>
            </w:pPr>
          </w:p>
        </w:tc>
        <w:tc>
          <w:tcPr>
            <w:tcW w:w="0" w:type="auto"/>
            <w:noWrap/>
            <w:vAlign w:val="center"/>
          </w:tcPr>
          <w:p w14:paraId="2843625A">
            <w:pPr>
              <w:jc w:val="right"/>
              <w:rPr>
                <w:rFonts w:eastAsia="楷体_GB2312"/>
                <w:sz w:val="18"/>
                <w:szCs w:val="18"/>
                <w:lang w:eastAsia="zh-CN"/>
              </w:rPr>
            </w:pPr>
          </w:p>
        </w:tc>
        <w:tc>
          <w:tcPr>
            <w:tcW w:w="0" w:type="auto"/>
            <w:noWrap/>
            <w:vAlign w:val="center"/>
          </w:tcPr>
          <w:p w14:paraId="3C20D5C9">
            <w:pPr>
              <w:jc w:val="right"/>
              <w:rPr>
                <w:rFonts w:eastAsia="楷体_GB2312"/>
                <w:sz w:val="18"/>
                <w:szCs w:val="18"/>
                <w:lang w:eastAsia="zh-CN"/>
              </w:rPr>
            </w:pPr>
          </w:p>
        </w:tc>
        <w:tc>
          <w:tcPr>
            <w:tcW w:w="0" w:type="auto"/>
            <w:noWrap/>
            <w:vAlign w:val="center"/>
          </w:tcPr>
          <w:p w14:paraId="52B6579C">
            <w:pPr>
              <w:jc w:val="right"/>
              <w:rPr>
                <w:rFonts w:eastAsia="楷体_GB2312"/>
                <w:sz w:val="18"/>
                <w:szCs w:val="18"/>
                <w:lang w:eastAsia="zh-CN"/>
              </w:rPr>
            </w:pPr>
          </w:p>
        </w:tc>
      </w:tr>
      <w:tr w14:paraId="603A9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523C1DE3">
            <w:pPr>
              <w:jc w:val="center"/>
              <w:rPr>
                <w:rFonts w:eastAsia="楷体_GB2312"/>
                <w:sz w:val="18"/>
                <w:szCs w:val="18"/>
                <w:lang w:eastAsia="zh-CN"/>
              </w:rPr>
            </w:pPr>
            <w:r>
              <w:rPr>
                <w:rFonts w:eastAsia="楷体_GB2312"/>
                <w:sz w:val="18"/>
                <w:szCs w:val="18"/>
                <w:lang w:eastAsia="zh-CN"/>
              </w:rPr>
              <w:t>…</w:t>
            </w:r>
          </w:p>
        </w:tc>
        <w:tc>
          <w:tcPr>
            <w:tcW w:w="0" w:type="auto"/>
            <w:noWrap/>
            <w:vAlign w:val="center"/>
          </w:tcPr>
          <w:p w14:paraId="675376D0">
            <w:pPr>
              <w:jc w:val="right"/>
              <w:rPr>
                <w:rFonts w:eastAsia="楷体_GB2312"/>
                <w:sz w:val="18"/>
                <w:szCs w:val="18"/>
                <w:lang w:eastAsia="zh-CN"/>
              </w:rPr>
            </w:pPr>
          </w:p>
        </w:tc>
        <w:tc>
          <w:tcPr>
            <w:tcW w:w="0" w:type="auto"/>
            <w:noWrap/>
            <w:vAlign w:val="center"/>
          </w:tcPr>
          <w:p w14:paraId="0801F23E">
            <w:pPr>
              <w:jc w:val="right"/>
              <w:rPr>
                <w:rFonts w:eastAsia="楷体_GB2312"/>
                <w:sz w:val="18"/>
                <w:szCs w:val="18"/>
                <w:lang w:eastAsia="zh-CN"/>
              </w:rPr>
            </w:pPr>
          </w:p>
        </w:tc>
        <w:tc>
          <w:tcPr>
            <w:tcW w:w="0" w:type="auto"/>
            <w:noWrap/>
            <w:vAlign w:val="center"/>
          </w:tcPr>
          <w:p w14:paraId="4DB6DE7C">
            <w:pPr>
              <w:jc w:val="right"/>
              <w:rPr>
                <w:rFonts w:eastAsia="楷体_GB2312"/>
                <w:sz w:val="18"/>
                <w:szCs w:val="18"/>
                <w:lang w:eastAsia="zh-CN"/>
              </w:rPr>
            </w:pPr>
          </w:p>
        </w:tc>
        <w:tc>
          <w:tcPr>
            <w:tcW w:w="0" w:type="auto"/>
            <w:noWrap/>
            <w:vAlign w:val="center"/>
          </w:tcPr>
          <w:p w14:paraId="7B820A18">
            <w:pPr>
              <w:jc w:val="right"/>
              <w:rPr>
                <w:rFonts w:eastAsia="楷体_GB2312"/>
                <w:sz w:val="18"/>
                <w:szCs w:val="18"/>
                <w:lang w:eastAsia="zh-CN"/>
              </w:rPr>
            </w:pPr>
          </w:p>
        </w:tc>
        <w:tc>
          <w:tcPr>
            <w:tcW w:w="0" w:type="auto"/>
            <w:noWrap/>
            <w:vAlign w:val="center"/>
          </w:tcPr>
          <w:p w14:paraId="46CA2CC2">
            <w:pPr>
              <w:jc w:val="right"/>
              <w:rPr>
                <w:rFonts w:eastAsia="楷体_GB2312"/>
                <w:sz w:val="18"/>
                <w:szCs w:val="18"/>
                <w:lang w:eastAsia="zh-CN"/>
              </w:rPr>
            </w:pPr>
          </w:p>
        </w:tc>
        <w:tc>
          <w:tcPr>
            <w:tcW w:w="0" w:type="auto"/>
            <w:noWrap/>
            <w:vAlign w:val="center"/>
          </w:tcPr>
          <w:p w14:paraId="5523F9FF">
            <w:pPr>
              <w:jc w:val="right"/>
              <w:rPr>
                <w:rFonts w:eastAsia="楷体_GB2312"/>
                <w:sz w:val="18"/>
                <w:szCs w:val="18"/>
                <w:lang w:eastAsia="zh-CN"/>
              </w:rPr>
            </w:pPr>
          </w:p>
        </w:tc>
      </w:tr>
      <w:tr w14:paraId="690AF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43E25FAB">
            <w:pPr>
              <w:jc w:val="center"/>
              <w:rPr>
                <w:rFonts w:eastAsia="楷体_GB2312"/>
                <w:sz w:val="18"/>
                <w:szCs w:val="18"/>
                <w:lang w:eastAsia="zh-CN"/>
              </w:rPr>
            </w:pPr>
            <w:r>
              <w:rPr>
                <w:rFonts w:eastAsia="楷体_GB2312"/>
                <w:sz w:val="18"/>
                <w:szCs w:val="18"/>
                <w:lang w:eastAsia="zh-CN"/>
              </w:rPr>
              <w:t>…</w:t>
            </w:r>
          </w:p>
        </w:tc>
        <w:tc>
          <w:tcPr>
            <w:tcW w:w="0" w:type="auto"/>
            <w:noWrap/>
            <w:vAlign w:val="center"/>
          </w:tcPr>
          <w:p w14:paraId="5E7CFD09">
            <w:pPr>
              <w:jc w:val="right"/>
              <w:rPr>
                <w:rFonts w:eastAsia="楷体_GB2312"/>
                <w:sz w:val="18"/>
                <w:szCs w:val="18"/>
                <w:lang w:eastAsia="zh-CN"/>
              </w:rPr>
            </w:pPr>
          </w:p>
        </w:tc>
        <w:tc>
          <w:tcPr>
            <w:tcW w:w="0" w:type="auto"/>
            <w:noWrap/>
            <w:vAlign w:val="center"/>
          </w:tcPr>
          <w:p w14:paraId="7C041AE8">
            <w:pPr>
              <w:jc w:val="right"/>
              <w:rPr>
                <w:rFonts w:eastAsia="楷体_GB2312"/>
                <w:sz w:val="18"/>
                <w:szCs w:val="18"/>
                <w:lang w:eastAsia="zh-CN"/>
              </w:rPr>
            </w:pPr>
          </w:p>
        </w:tc>
        <w:tc>
          <w:tcPr>
            <w:tcW w:w="0" w:type="auto"/>
            <w:noWrap/>
            <w:vAlign w:val="center"/>
          </w:tcPr>
          <w:p w14:paraId="448931EA">
            <w:pPr>
              <w:jc w:val="right"/>
              <w:rPr>
                <w:rFonts w:eastAsia="楷体_GB2312"/>
                <w:sz w:val="18"/>
                <w:szCs w:val="18"/>
                <w:lang w:eastAsia="zh-CN"/>
              </w:rPr>
            </w:pPr>
          </w:p>
        </w:tc>
        <w:tc>
          <w:tcPr>
            <w:tcW w:w="0" w:type="auto"/>
            <w:noWrap/>
            <w:vAlign w:val="center"/>
          </w:tcPr>
          <w:p w14:paraId="5E4CACC2">
            <w:pPr>
              <w:jc w:val="right"/>
              <w:rPr>
                <w:rFonts w:eastAsia="楷体_GB2312"/>
                <w:sz w:val="18"/>
                <w:szCs w:val="18"/>
                <w:lang w:eastAsia="zh-CN"/>
              </w:rPr>
            </w:pPr>
          </w:p>
        </w:tc>
        <w:tc>
          <w:tcPr>
            <w:tcW w:w="0" w:type="auto"/>
            <w:noWrap/>
            <w:vAlign w:val="center"/>
          </w:tcPr>
          <w:p w14:paraId="3E8C64A5">
            <w:pPr>
              <w:jc w:val="right"/>
              <w:rPr>
                <w:rFonts w:eastAsia="楷体_GB2312"/>
                <w:sz w:val="18"/>
                <w:szCs w:val="18"/>
                <w:lang w:eastAsia="zh-CN"/>
              </w:rPr>
            </w:pPr>
          </w:p>
        </w:tc>
        <w:tc>
          <w:tcPr>
            <w:tcW w:w="0" w:type="auto"/>
            <w:noWrap/>
            <w:vAlign w:val="center"/>
          </w:tcPr>
          <w:p w14:paraId="2AFDE370">
            <w:pPr>
              <w:jc w:val="right"/>
              <w:rPr>
                <w:rFonts w:eastAsia="楷体_GB2312"/>
                <w:sz w:val="18"/>
                <w:szCs w:val="18"/>
                <w:lang w:eastAsia="zh-CN"/>
              </w:rPr>
            </w:pPr>
          </w:p>
        </w:tc>
      </w:tr>
      <w:tr w14:paraId="2182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6592333F">
            <w:pPr>
              <w:jc w:val="center"/>
              <w:rPr>
                <w:rFonts w:eastAsia="楷体_GB2312"/>
                <w:sz w:val="18"/>
                <w:szCs w:val="18"/>
                <w:lang w:eastAsia="zh-CN"/>
              </w:rPr>
            </w:pPr>
            <w:r>
              <w:rPr>
                <w:rFonts w:eastAsia="楷体_GB2312"/>
                <w:sz w:val="18"/>
                <w:szCs w:val="18"/>
                <w:lang w:eastAsia="zh-CN"/>
              </w:rPr>
              <w:t>…</w:t>
            </w:r>
          </w:p>
        </w:tc>
        <w:tc>
          <w:tcPr>
            <w:tcW w:w="0" w:type="auto"/>
            <w:noWrap/>
            <w:vAlign w:val="center"/>
          </w:tcPr>
          <w:p w14:paraId="34C4D6BF">
            <w:pPr>
              <w:jc w:val="right"/>
              <w:rPr>
                <w:rFonts w:eastAsia="楷体_GB2312"/>
                <w:sz w:val="18"/>
                <w:szCs w:val="18"/>
                <w:lang w:eastAsia="zh-CN"/>
              </w:rPr>
            </w:pPr>
          </w:p>
        </w:tc>
        <w:tc>
          <w:tcPr>
            <w:tcW w:w="0" w:type="auto"/>
            <w:noWrap/>
            <w:vAlign w:val="center"/>
          </w:tcPr>
          <w:p w14:paraId="7E6F3593">
            <w:pPr>
              <w:jc w:val="right"/>
              <w:rPr>
                <w:rFonts w:eastAsia="楷体_GB2312"/>
                <w:sz w:val="18"/>
                <w:szCs w:val="18"/>
                <w:lang w:eastAsia="zh-CN"/>
              </w:rPr>
            </w:pPr>
          </w:p>
        </w:tc>
        <w:tc>
          <w:tcPr>
            <w:tcW w:w="0" w:type="auto"/>
            <w:noWrap/>
            <w:vAlign w:val="center"/>
          </w:tcPr>
          <w:p w14:paraId="0B674097">
            <w:pPr>
              <w:jc w:val="right"/>
              <w:rPr>
                <w:rFonts w:eastAsia="楷体_GB2312"/>
                <w:sz w:val="18"/>
                <w:szCs w:val="18"/>
                <w:lang w:eastAsia="zh-CN"/>
              </w:rPr>
            </w:pPr>
          </w:p>
        </w:tc>
        <w:tc>
          <w:tcPr>
            <w:tcW w:w="0" w:type="auto"/>
            <w:noWrap/>
            <w:vAlign w:val="center"/>
          </w:tcPr>
          <w:p w14:paraId="1325A1D2">
            <w:pPr>
              <w:jc w:val="right"/>
              <w:rPr>
                <w:rFonts w:eastAsia="楷体_GB2312"/>
                <w:sz w:val="18"/>
                <w:szCs w:val="18"/>
                <w:lang w:eastAsia="zh-CN"/>
              </w:rPr>
            </w:pPr>
          </w:p>
        </w:tc>
        <w:tc>
          <w:tcPr>
            <w:tcW w:w="0" w:type="auto"/>
            <w:noWrap/>
            <w:vAlign w:val="center"/>
          </w:tcPr>
          <w:p w14:paraId="25BDBB46">
            <w:pPr>
              <w:jc w:val="right"/>
              <w:rPr>
                <w:rFonts w:eastAsia="楷体_GB2312"/>
                <w:sz w:val="18"/>
                <w:szCs w:val="18"/>
                <w:lang w:eastAsia="zh-CN"/>
              </w:rPr>
            </w:pPr>
          </w:p>
        </w:tc>
        <w:tc>
          <w:tcPr>
            <w:tcW w:w="0" w:type="auto"/>
            <w:noWrap/>
            <w:vAlign w:val="center"/>
          </w:tcPr>
          <w:p w14:paraId="7AC638EE">
            <w:pPr>
              <w:jc w:val="right"/>
              <w:rPr>
                <w:rFonts w:eastAsia="楷体_GB2312"/>
                <w:sz w:val="18"/>
                <w:szCs w:val="18"/>
                <w:lang w:eastAsia="zh-CN"/>
              </w:rPr>
            </w:pPr>
          </w:p>
        </w:tc>
      </w:tr>
      <w:tr w14:paraId="082B4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36E80983">
            <w:pPr>
              <w:jc w:val="center"/>
              <w:rPr>
                <w:rFonts w:eastAsia="楷体_GB2312"/>
                <w:sz w:val="18"/>
                <w:szCs w:val="18"/>
                <w:lang w:eastAsia="zh-CN"/>
              </w:rPr>
            </w:pPr>
            <w:r>
              <w:rPr>
                <w:rFonts w:eastAsia="楷体_GB2312"/>
                <w:sz w:val="18"/>
                <w:szCs w:val="18"/>
                <w:lang w:eastAsia="zh-CN"/>
              </w:rPr>
              <w:t>…</w:t>
            </w:r>
          </w:p>
        </w:tc>
        <w:tc>
          <w:tcPr>
            <w:tcW w:w="0" w:type="auto"/>
            <w:noWrap/>
            <w:vAlign w:val="center"/>
          </w:tcPr>
          <w:p w14:paraId="7EC1BEDA">
            <w:pPr>
              <w:jc w:val="right"/>
              <w:rPr>
                <w:rFonts w:eastAsia="楷体_GB2312"/>
                <w:sz w:val="18"/>
                <w:szCs w:val="18"/>
                <w:lang w:eastAsia="zh-CN"/>
              </w:rPr>
            </w:pPr>
          </w:p>
        </w:tc>
        <w:tc>
          <w:tcPr>
            <w:tcW w:w="0" w:type="auto"/>
            <w:noWrap/>
            <w:vAlign w:val="center"/>
          </w:tcPr>
          <w:p w14:paraId="69C3B059">
            <w:pPr>
              <w:jc w:val="right"/>
              <w:rPr>
                <w:rFonts w:eastAsia="楷体_GB2312"/>
                <w:sz w:val="18"/>
                <w:szCs w:val="18"/>
                <w:lang w:eastAsia="zh-CN"/>
              </w:rPr>
            </w:pPr>
          </w:p>
        </w:tc>
        <w:tc>
          <w:tcPr>
            <w:tcW w:w="0" w:type="auto"/>
            <w:noWrap/>
            <w:vAlign w:val="center"/>
          </w:tcPr>
          <w:p w14:paraId="1351299D">
            <w:pPr>
              <w:jc w:val="right"/>
              <w:rPr>
                <w:rFonts w:eastAsia="楷体_GB2312"/>
                <w:sz w:val="18"/>
                <w:szCs w:val="18"/>
                <w:lang w:eastAsia="zh-CN"/>
              </w:rPr>
            </w:pPr>
          </w:p>
        </w:tc>
        <w:tc>
          <w:tcPr>
            <w:tcW w:w="0" w:type="auto"/>
            <w:noWrap/>
            <w:vAlign w:val="center"/>
          </w:tcPr>
          <w:p w14:paraId="2BB6395D">
            <w:pPr>
              <w:jc w:val="right"/>
              <w:rPr>
                <w:rFonts w:eastAsia="楷体_GB2312"/>
                <w:sz w:val="18"/>
                <w:szCs w:val="18"/>
                <w:lang w:eastAsia="zh-CN"/>
              </w:rPr>
            </w:pPr>
          </w:p>
        </w:tc>
        <w:tc>
          <w:tcPr>
            <w:tcW w:w="0" w:type="auto"/>
            <w:noWrap/>
            <w:vAlign w:val="center"/>
          </w:tcPr>
          <w:p w14:paraId="08C369A6">
            <w:pPr>
              <w:jc w:val="right"/>
              <w:rPr>
                <w:rFonts w:eastAsia="楷体_GB2312"/>
                <w:sz w:val="18"/>
                <w:szCs w:val="18"/>
                <w:lang w:eastAsia="zh-CN"/>
              </w:rPr>
            </w:pPr>
          </w:p>
        </w:tc>
        <w:tc>
          <w:tcPr>
            <w:tcW w:w="0" w:type="auto"/>
            <w:noWrap/>
            <w:vAlign w:val="center"/>
          </w:tcPr>
          <w:p w14:paraId="4BB8B602">
            <w:pPr>
              <w:jc w:val="right"/>
              <w:rPr>
                <w:rFonts w:eastAsia="楷体_GB2312"/>
                <w:sz w:val="18"/>
                <w:szCs w:val="18"/>
                <w:lang w:eastAsia="zh-CN"/>
              </w:rPr>
            </w:pPr>
          </w:p>
        </w:tc>
      </w:tr>
      <w:tr w14:paraId="7D410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7F53FBF2">
            <w:pPr>
              <w:jc w:val="center"/>
              <w:rPr>
                <w:rFonts w:eastAsia="楷体_GB2312"/>
                <w:b/>
                <w:sz w:val="18"/>
                <w:szCs w:val="18"/>
                <w:lang w:eastAsia="zh-CN"/>
              </w:rPr>
            </w:pPr>
            <w:r>
              <w:rPr>
                <w:rFonts w:eastAsia="楷体_GB2312"/>
                <w:b/>
                <w:sz w:val="18"/>
                <w:szCs w:val="18"/>
              </w:rPr>
              <w:t>总计</w:t>
            </w:r>
          </w:p>
        </w:tc>
        <w:tc>
          <w:tcPr>
            <w:tcW w:w="0" w:type="auto"/>
            <w:noWrap/>
            <w:vAlign w:val="center"/>
          </w:tcPr>
          <w:p w14:paraId="53F58001">
            <w:pPr>
              <w:jc w:val="right"/>
              <w:rPr>
                <w:rFonts w:eastAsia="楷体_GB2312"/>
                <w:sz w:val="18"/>
                <w:szCs w:val="18"/>
                <w:lang w:eastAsia="zh-CN"/>
              </w:rPr>
            </w:pPr>
          </w:p>
        </w:tc>
        <w:tc>
          <w:tcPr>
            <w:tcW w:w="0" w:type="auto"/>
            <w:noWrap/>
            <w:vAlign w:val="center"/>
          </w:tcPr>
          <w:p w14:paraId="0C3C8168">
            <w:pPr>
              <w:jc w:val="right"/>
              <w:rPr>
                <w:rFonts w:eastAsia="楷体_GB2312"/>
                <w:sz w:val="18"/>
                <w:szCs w:val="18"/>
                <w:lang w:eastAsia="zh-CN"/>
              </w:rPr>
            </w:pPr>
          </w:p>
        </w:tc>
        <w:tc>
          <w:tcPr>
            <w:tcW w:w="0" w:type="auto"/>
            <w:noWrap/>
            <w:vAlign w:val="center"/>
          </w:tcPr>
          <w:p w14:paraId="083D1A7F">
            <w:pPr>
              <w:jc w:val="right"/>
              <w:rPr>
                <w:rFonts w:eastAsia="楷体_GB2312"/>
                <w:sz w:val="18"/>
                <w:szCs w:val="18"/>
                <w:lang w:eastAsia="zh-CN"/>
              </w:rPr>
            </w:pPr>
          </w:p>
        </w:tc>
        <w:tc>
          <w:tcPr>
            <w:tcW w:w="0" w:type="auto"/>
            <w:noWrap/>
            <w:vAlign w:val="center"/>
          </w:tcPr>
          <w:p w14:paraId="2B2E37F4">
            <w:pPr>
              <w:jc w:val="right"/>
              <w:rPr>
                <w:rFonts w:eastAsia="楷体_GB2312"/>
                <w:sz w:val="18"/>
                <w:szCs w:val="18"/>
                <w:lang w:eastAsia="zh-CN"/>
              </w:rPr>
            </w:pPr>
          </w:p>
        </w:tc>
        <w:tc>
          <w:tcPr>
            <w:tcW w:w="0" w:type="auto"/>
            <w:noWrap/>
            <w:vAlign w:val="center"/>
          </w:tcPr>
          <w:p w14:paraId="27255FDD">
            <w:pPr>
              <w:jc w:val="right"/>
              <w:rPr>
                <w:rFonts w:eastAsia="楷体_GB2312"/>
                <w:sz w:val="18"/>
                <w:szCs w:val="18"/>
                <w:lang w:eastAsia="zh-CN"/>
              </w:rPr>
            </w:pPr>
          </w:p>
        </w:tc>
        <w:tc>
          <w:tcPr>
            <w:tcW w:w="0" w:type="auto"/>
            <w:noWrap/>
            <w:vAlign w:val="center"/>
          </w:tcPr>
          <w:p w14:paraId="5FDB5B0E">
            <w:pPr>
              <w:jc w:val="right"/>
              <w:rPr>
                <w:rFonts w:eastAsia="楷体_GB2312"/>
                <w:sz w:val="18"/>
                <w:szCs w:val="18"/>
                <w:lang w:eastAsia="zh-CN"/>
              </w:rPr>
            </w:pPr>
          </w:p>
        </w:tc>
      </w:tr>
      <w:tr w14:paraId="25718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gridSpan w:val="7"/>
            <w:noWrap/>
            <w:vAlign w:val="center"/>
          </w:tcPr>
          <w:p w14:paraId="4235CFCC">
            <w:pPr>
              <w:rPr>
                <w:rFonts w:eastAsia="楷体_GB2312"/>
                <w:b/>
                <w:sz w:val="21"/>
                <w:szCs w:val="21"/>
                <w:lang w:eastAsia="zh-CN"/>
              </w:rPr>
            </w:pPr>
            <w:r>
              <w:rPr>
                <w:rFonts w:eastAsia="楷体_GB2312"/>
                <w:b/>
                <w:sz w:val="21"/>
                <w:szCs w:val="21"/>
                <w:lang w:eastAsia="zh-CN"/>
              </w:rPr>
              <w:t>（二）贷款五级分类分布</w:t>
            </w:r>
          </w:p>
        </w:tc>
      </w:tr>
      <w:tr w14:paraId="2C14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02881C4">
            <w:pPr>
              <w:jc w:val="center"/>
              <w:rPr>
                <w:rFonts w:eastAsia="楷体_GB2312"/>
                <w:b/>
                <w:bCs/>
                <w:sz w:val="18"/>
                <w:szCs w:val="18"/>
                <w:lang w:eastAsia="zh-CN"/>
              </w:rPr>
            </w:pPr>
            <w:r>
              <w:rPr>
                <w:rFonts w:eastAsia="楷体_GB2312"/>
                <w:b/>
                <w:bCs/>
                <w:sz w:val="18"/>
                <w:szCs w:val="18"/>
                <w:lang w:eastAsia="zh-CN"/>
              </w:rPr>
              <w:t>贷款五级分类</w:t>
            </w:r>
          </w:p>
        </w:tc>
        <w:tc>
          <w:tcPr>
            <w:tcW w:w="0" w:type="auto"/>
            <w:noWrap/>
            <w:vAlign w:val="center"/>
          </w:tcPr>
          <w:p w14:paraId="7D06FF8F">
            <w:pPr>
              <w:jc w:val="center"/>
              <w:rPr>
                <w:rFonts w:eastAsia="楷体_GB2312"/>
                <w:b/>
                <w:bCs/>
                <w:sz w:val="18"/>
                <w:szCs w:val="18"/>
                <w:lang w:eastAsia="zh-CN"/>
              </w:rPr>
            </w:pPr>
            <w:r>
              <w:rPr>
                <w:rFonts w:eastAsia="楷体_GB2312"/>
                <w:b/>
                <w:bCs/>
                <w:sz w:val="18"/>
                <w:szCs w:val="18"/>
                <w:lang w:eastAsia="zh-CN"/>
              </w:rPr>
              <w:t>贷款笔数</w:t>
            </w:r>
          </w:p>
        </w:tc>
        <w:tc>
          <w:tcPr>
            <w:tcW w:w="0" w:type="auto"/>
            <w:noWrap/>
            <w:vAlign w:val="center"/>
          </w:tcPr>
          <w:p w14:paraId="10871C78">
            <w:pPr>
              <w:jc w:val="center"/>
              <w:rPr>
                <w:rFonts w:eastAsia="楷体_GB2312"/>
                <w:b/>
                <w:bCs/>
                <w:sz w:val="18"/>
                <w:szCs w:val="18"/>
                <w:lang w:eastAsia="zh-CN"/>
              </w:rPr>
            </w:pPr>
            <w:r>
              <w:rPr>
                <w:rFonts w:eastAsia="楷体_GB2312"/>
                <w:b/>
                <w:bCs/>
                <w:sz w:val="18"/>
                <w:szCs w:val="18"/>
              </w:rPr>
              <w:t>占比(%)</w:t>
            </w:r>
          </w:p>
        </w:tc>
        <w:tc>
          <w:tcPr>
            <w:tcW w:w="0" w:type="auto"/>
            <w:noWrap/>
            <w:vAlign w:val="center"/>
          </w:tcPr>
          <w:p w14:paraId="2A5BE377">
            <w:pPr>
              <w:jc w:val="center"/>
              <w:rPr>
                <w:rFonts w:eastAsia="楷体_GB2312"/>
                <w:b/>
                <w:bCs/>
                <w:sz w:val="18"/>
                <w:szCs w:val="18"/>
                <w:lang w:eastAsia="zh-CN"/>
              </w:rPr>
            </w:pPr>
            <w:r>
              <w:rPr>
                <w:rFonts w:eastAsia="楷体_GB2312"/>
                <w:b/>
                <w:bCs/>
                <w:sz w:val="18"/>
                <w:szCs w:val="18"/>
                <w:lang w:eastAsia="zh-CN"/>
              </w:rPr>
              <w:t>初始本金余额(元)</w:t>
            </w:r>
          </w:p>
        </w:tc>
        <w:tc>
          <w:tcPr>
            <w:tcW w:w="0" w:type="auto"/>
            <w:noWrap/>
            <w:vAlign w:val="center"/>
          </w:tcPr>
          <w:p w14:paraId="223204BB">
            <w:pPr>
              <w:jc w:val="center"/>
              <w:rPr>
                <w:rFonts w:eastAsia="楷体_GB2312"/>
                <w:b/>
                <w:bCs/>
                <w:sz w:val="18"/>
                <w:szCs w:val="18"/>
                <w:lang w:eastAsia="zh-CN"/>
              </w:rPr>
            </w:pPr>
            <w:r>
              <w:rPr>
                <w:rFonts w:eastAsia="楷体_GB2312"/>
                <w:b/>
                <w:bCs/>
                <w:sz w:val="18"/>
                <w:szCs w:val="18"/>
              </w:rPr>
              <w:t>占比(%)</w:t>
            </w:r>
          </w:p>
        </w:tc>
        <w:tc>
          <w:tcPr>
            <w:tcW w:w="0" w:type="auto"/>
            <w:noWrap/>
            <w:vAlign w:val="center"/>
          </w:tcPr>
          <w:p w14:paraId="73EC2BC2">
            <w:pPr>
              <w:jc w:val="center"/>
              <w:rPr>
                <w:rFonts w:eastAsia="楷体_GB2312"/>
                <w:b/>
                <w:bCs/>
                <w:sz w:val="18"/>
                <w:szCs w:val="18"/>
                <w:lang w:eastAsia="zh-CN"/>
              </w:rPr>
            </w:pPr>
            <w:r>
              <w:rPr>
                <w:rFonts w:eastAsia="楷体_GB2312"/>
                <w:b/>
                <w:bCs/>
                <w:sz w:val="18"/>
                <w:szCs w:val="18"/>
                <w:lang w:eastAsia="zh-CN"/>
              </w:rPr>
              <w:t>未偿本金余额(元)</w:t>
            </w:r>
          </w:p>
        </w:tc>
        <w:tc>
          <w:tcPr>
            <w:tcW w:w="0" w:type="auto"/>
            <w:noWrap/>
            <w:vAlign w:val="center"/>
          </w:tcPr>
          <w:p w14:paraId="4657A9A9">
            <w:pPr>
              <w:jc w:val="center"/>
              <w:rPr>
                <w:rFonts w:eastAsia="楷体_GB2312"/>
                <w:b/>
                <w:bCs/>
                <w:sz w:val="18"/>
                <w:szCs w:val="18"/>
                <w:lang w:eastAsia="zh-CN"/>
              </w:rPr>
            </w:pPr>
            <w:r>
              <w:rPr>
                <w:rFonts w:eastAsia="楷体_GB2312"/>
                <w:b/>
                <w:bCs/>
                <w:sz w:val="18"/>
                <w:szCs w:val="18"/>
              </w:rPr>
              <w:t>占比(%)</w:t>
            </w:r>
          </w:p>
        </w:tc>
      </w:tr>
      <w:tr w14:paraId="41D7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E404231">
            <w:pPr>
              <w:jc w:val="center"/>
              <w:rPr>
                <w:rFonts w:eastAsia="楷体_GB2312"/>
                <w:sz w:val="18"/>
                <w:szCs w:val="18"/>
                <w:lang w:eastAsia="zh-CN"/>
              </w:rPr>
            </w:pPr>
            <w:r>
              <w:rPr>
                <w:rFonts w:eastAsia="楷体_GB2312"/>
                <w:sz w:val="18"/>
                <w:szCs w:val="18"/>
                <w:lang w:eastAsia="zh-CN"/>
              </w:rPr>
              <w:t>正常</w:t>
            </w:r>
          </w:p>
        </w:tc>
        <w:tc>
          <w:tcPr>
            <w:tcW w:w="0" w:type="auto"/>
            <w:noWrap/>
            <w:vAlign w:val="center"/>
          </w:tcPr>
          <w:p w14:paraId="72381E4D">
            <w:pPr>
              <w:jc w:val="right"/>
              <w:rPr>
                <w:rFonts w:eastAsia="楷体_GB2312"/>
                <w:sz w:val="18"/>
                <w:szCs w:val="18"/>
                <w:lang w:eastAsia="zh-CN"/>
              </w:rPr>
            </w:pPr>
          </w:p>
        </w:tc>
        <w:tc>
          <w:tcPr>
            <w:tcW w:w="0" w:type="auto"/>
            <w:noWrap/>
            <w:vAlign w:val="center"/>
          </w:tcPr>
          <w:p w14:paraId="6DEF5B44">
            <w:pPr>
              <w:jc w:val="right"/>
              <w:rPr>
                <w:rFonts w:eastAsia="楷体_GB2312"/>
                <w:sz w:val="18"/>
                <w:szCs w:val="18"/>
                <w:lang w:eastAsia="zh-CN"/>
              </w:rPr>
            </w:pPr>
          </w:p>
        </w:tc>
        <w:tc>
          <w:tcPr>
            <w:tcW w:w="0" w:type="auto"/>
            <w:noWrap/>
            <w:vAlign w:val="center"/>
          </w:tcPr>
          <w:p w14:paraId="128D441B">
            <w:pPr>
              <w:jc w:val="right"/>
              <w:rPr>
                <w:rFonts w:eastAsia="楷体_GB2312"/>
                <w:sz w:val="18"/>
                <w:szCs w:val="18"/>
                <w:lang w:eastAsia="zh-CN"/>
              </w:rPr>
            </w:pPr>
          </w:p>
        </w:tc>
        <w:tc>
          <w:tcPr>
            <w:tcW w:w="0" w:type="auto"/>
            <w:noWrap/>
            <w:vAlign w:val="center"/>
          </w:tcPr>
          <w:p w14:paraId="507A71C9">
            <w:pPr>
              <w:jc w:val="right"/>
              <w:rPr>
                <w:rFonts w:eastAsia="楷体_GB2312"/>
                <w:sz w:val="18"/>
                <w:szCs w:val="18"/>
                <w:lang w:eastAsia="zh-CN"/>
              </w:rPr>
            </w:pPr>
          </w:p>
        </w:tc>
        <w:tc>
          <w:tcPr>
            <w:tcW w:w="0" w:type="auto"/>
            <w:noWrap/>
            <w:vAlign w:val="center"/>
          </w:tcPr>
          <w:p w14:paraId="046C0BC8">
            <w:pPr>
              <w:jc w:val="right"/>
              <w:rPr>
                <w:rFonts w:eastAsia="楷体_GB2312"/>
                <w:sz w:val="18"/>
                <w:szCs w:val="18"/>
                <w:lang w:eastAsia="zh-CN"/>
              </w:rPr>
            </w:pPr>
          </w:p>
        </w:tc>
        <w:tc>
          <w:tcPr>
            <w:tcW w:w="0" w:type="auto"/>
            <w:noWrap/>
            <w:vAlign w:val="center"/>
          </w:tcPr>
          <w:p w14:paraId="400CB061">
            <w:pPr>
              <w:jc w:val="right"/>
              <w:rPr>
                <w:rFonts w:eastAsia="楷体_GB2312"/>
                <w:sz w:val="18"/>
                <w:szCs w:val="18"/>
                <w:lang w:eastAsia="zh-CN"/>
              </w:rPr>
            </w:pPr>
          </w:p>
        </w:tc>
      </w:tr>
      <w:tr w14:paraId="255F2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79BDF8EA">
            <w:pPr>
              <w:jc w:val="center"/>
              <w:rPr>
                <w:rFonts w:eastAsia="楷体_GB2312"/>
                <w:sz w:val="18"/>
                <w:szCs w:val="18"/>
                <w:lang w:eastAsia="zh-CN"/>
              </w:rPr>
            </w:pPr>
            <w:r>
              <w:rPr>
                <w:rFonts w:eastAsia="楷体_GB2312"/>
                <w:sz w:val="18"/>
                <w:szCs w:val="18"/>
                <w:lang w:eastAsia="zh-CN"/>
              </w:rPr>
              <w:t>…</w:t>
            </w:r>
          </w:p>
        </w:tc>
        <w:tc>
          <w:tcPr>
            <w:tcW w:w="0" w:type="auto"/>
            <w:noWrap/>
            <w:vAlign w:val="center"/>
          </w:tcPr>
          <w:p w14:paraId="08031176">
            <w:pPr>
              <w:jc w:val="right"/>
              <w:rPr>
                <w:rFonts w:eastAsia="楷体_GB2312"/>
                <w:sz w:val="18"/>
                <w:szCs w:val="18"/>
                <w:lang w:eastAsia="zh-CN"/>
              </w:rPr>
            </w:pPr>
          </w:p>
        </w:tc>
        <w:tc>
          <w:tcPr>
            <w:tcW w:w="0" w:type="auto"/>
            <w:noWrap/>
            <w:vAlign w:val="center"/>
          </w:tcPr>
          <w:p w14:paraId="78C1976F">
            <w:pPr>
              <w:jc w:val="right"/>
              <w:rPr>
                <w:rFonts w:eastAsia="楷体_GB2312"/>
                <w:sz w:val="18"/>
                <w:szCs w:val="18"/>
                <w:lang w:eastAsia="zh-CN"/>
              </w:rPr>
            </w:pPr>
          </w:p>
        </w:tc>
        <w:tc>
          <w:tcPr>
            <w:tcW w:w="0" w:type="auto"/>
            <w:noWrap/>
            <w:vAlign w:val="center"/>
          </w:tcPr>
          <w:p w14:paraId="35DB66AD">
            <w:pPr>
              <w:jc w:val="right"/>
              <w:rPr>
                <w:rFonts w:eastAsia="楷体_GB2312"/>
                <w:sz w:val="18"/>
                <w:szCs w:val="18"/>
                <w:lang w:eastAsia="zh-CN"/>
              </w:rPr>
            </w:pPr>
          </w:p>
        </w:tc>
        <w:tc>
          <w:tcPr>
            <w:tcW w:w="0" w:type="auto"/>
            <w:noWrap/>
            <w:vAlign w:val="center"/>
          </w:tcPr>
          <w:p w14:paraId="3CFEBD4F">
            <w:pPr>
              <w:jc w:val="right"/>
              <w:rPr>
                <w:rFonts w:eastAsia="楷体_GB2312"/>
                <w:sz w:val="18"/>
                <w:szCs w:val="18"/>
                <w:lang w:eastAsia="zh-CN"/>
              </w:rPr>
            </w:pPr>
          </w:p>
        </w:tc>
        <w:tc>
          <w:tcPr>
            <w:tcW w:w="0" w:type="auto"/>
            <w:noWrap/>
            <w:vAlign w:val="center"/>
          </w:tcPr>
          <w:p w14:paraId="13B15DF6">
            <w:pPr>
              <w:jc w:val="right"/>
              <w:rPr>
                <w:rFonts w:eastAsia="楷体_GB2312"/>
                <w:sz w:val="18"/>
                <w:szCs w:val="18"/>
                <w:lang w:eastAsia="zh-CN"/>
              </w:rPr>
            </w:pPr>
          </w:p>
        </w:tc>
        <w:tc>
          <w:tcPr>
            <w:tcW w:w="0" w:type="auto"/>
            <w:noWrap/>
            <w:vAlign w:val="center"/>
          </w:tcPr>
          <w:p w14:paraId="166E6D2D">
            <w:pPr>
              <w:jc w:val="right"/>
              <w:rPr>
                <w:rFonts w:eastAsia="楷体_GB2312"/>
                <w:sz w:val="18"/>
                <w:szCs w:val="18"/>
                <w:lang w:eastAsia="zh-CN"/>
              </w:rPr>
            </w:pPr>
          </w:p>
        </w:tc>
      </w:tr>
      <w:tr w14:paraId="2B11A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4DEC4742">
            <w:pPr>
              <w:jc w:val="center"/>
              <w:rPr>
                <w:rFonts w:eastAsia="楷体_GB2312"/>
                <w:b/>
                <w:sz w:val="18"/>
                <w:szCs w:val="18"/>
                <w:lang w:eastAsia="zh-CN"/>
              </w:rPr>
            </w:pPr>
            <w:r>
              <w:rPr>
                <w:rFonts w:eastAsia="楷体_GB2312"/>
                <w:b/>
                <w:sz w:val="18"/>
                <w:szCs w:val="18"/>
              </w:rPr>
              <w:t>总计</w:t>
            </w:r>
          </w:p>
        </w:tc>
        <w:tc>
          <w:tcPr>
            <w:tcW w:w="0" w:type="auto"/>
            <w:noWrap/>
            <w:vAlign w:val="center"/>
          </w:tcPr>
          <w:p w14:paraId="7C769121">
            <w:pPr>
              <w:jc w:val="right"/>
              <w:rPr>
                <w:rFonts w:eastAsia="楷体_GB2312"/>
                <w:sz w:val="18"/>
                <w:szCs w:val="18"/>
                <w:lang w:eastAsia="zh-CN"/>
              </w:rPr>
            </w:pPr>
          </w:p>
        </w:tc>
        <w:tc>
          <w:tcPr>
            <w:tcW w:w="0" w:type="auto"/>
            <w:noWrap/>
            <w:vAlign w:val="center"/>
          </w:tcPr>
          <w:p w14:paraId="6BAA9D3D">
            <w:pPr>
              <w:jc w:val="right"/>
              <w:rPr>
                <w:rFonts w:eastAsia="楷体_GB2312"/>
                <w:sz w:val="18"/>
                <w:szCs w:val="18"/>
                <w:lang w:eastAsia="zh-CN"/>
              </w:rPr>
            </w:pPr>
          </w:p>
        </w:tc>
        <w:tc>
          <w:tcPr>
            <w:tcW w:w="0" w:type="auto"/>
            <w:noWrap/>
            <w:vAlign w:val="center"/>
          </w:tcPr>
          <w:p w14:paraId="0B5F2FEA">
            <w:pPr>
              <w:jc w:val="right"/>
              <w:rPr>
                <w:rFonts w:eastAsia="楷体_GB2312"/>
                <w:sz w:val="18"/>
                <w:szCs w:val="18"/>
                <w:lang w:eastAsia="zh-CN"/>
              </w:rPr>
            </w:pPr>
          </w:p>
        </w:tc>
        <w:tc>
          <w:tcPr>
            <w:tcW w:w="0" w:type="auto"/>
            <w:noWrap/>
            <w:vAlign w:val="center"/>
          </w:tcPr>
          <w:p w14:paraId="5DBDD622">
            <w:pPr>
              <w:jc w:val="right"/>
              <w:rPr>
                <w:rFonts w:eastAsia="楷体_GB2312"/>
                <w:sz w:val="18"/>
                <w:szCs w:val="18"/>
                <w:lang w:eastAsia="zh-CN"/>
              </w:rPr>
            </w:pPr>
          </w:p>
        </w:tc>
        <w:tc>
          <w:tcPr>
            <w:tcW w:w="0" w:type="auto"/>
            <w:noWrap/>
            <w:vAlign w:val="center"/>
          </w:tcPr>
          <w:p w14:paraId="56CCC40C">
            <w:pPr>
              <w:jc w:val="right"/>
              <w:rPr>
                <w:rFonts w:eastAsia="楷体_GB2312"/>
                <w:sz w:val="18"/>
                <w:szCs w:val="18"/>
                <w:lang w:eastAsia="zh-CN"/>
              </w:rPr>
            </w:pPr>
          </w:p>
        </w:tc>
        <w:tc>
          <w:tcPr>
            <w:tcW w:w="0" w:type="auto"/>
            <w:noWrap/>
            <w:vAlign w:val="center"/>
          </w:tcPr>
          <w:p w14:paraId="0889D734">
            <w:pPr>
              <w:jc w:val="right"/>
              <w:rPr>
                <w:rFonts w:eastAsia="楷体_GB2312"/>
                <w:sz w:val="18"/>
                <w:szCs w:val="18"/>
                <w:lang w:eastAsia="zh-CN"/>
              </w:rPr>
            </w:pPr>
          </w:p>
        </w:tc>
      </w:tr>
      <w:tr w14:paraId="6B72C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gridSpan w:val="7"/>
            <w:noWrap/>
            <w:vAlign w:val="center"/>
          </w:tcPr>
          <w:p w14:paraId="6034FA4A">
            <w:pPr>
              <w:rPr>
                <w:rFonts w:eastAsia="楷体_GB2312"/>
                <w:b/>
                <w:sz w:val="21"/>
                <w:szCs w:val="21"/>
                <w:lang w:eastAsia="zh-CN"/>
              </w:rPr>
            </w:pPr>
            <w:r>
              <w:rPr>
                <w:rFonts w:eastAsia="楷体_GB2312"/>
                <w:b/>
                <w:sz w:val="21"/>
                <w:szCs w:val="21"/>
                <w:lang w:eastAsia="zh-CN"/>
              </w:rPr>
              <w:t>（三）贷款利率类型分布</w:t>
            </w:r>
          </w:p>
        </w:tc>
      </w:tr>
      <w:tr w14:paraId="6823A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E685093">
            <w:pPr>
              <w:jc w:val="center"/>
              <w:rPr>
                <w:rFonts w:eastAsia="楷体_GB2312"/>
                <w:b/>
                <w:bCs/>
                <w:sz w:val="18"/>
                <w:szCs w:val="18"/>
                <w:lang w:eastAsia="zh-CN"/>
              </w:rPr>
            </w:pPr>
            <w:r>
              <w:rPr>
                <w:rFonts w:eastAsia="楷体_GB2312"/>
                <w:b/>
                <w:bCs/>
                <w:sz w:val="18"/>
                <w:szCs w:val="18"/>
                <w:lang w:eastAsia="zh-CN"/>
              </w:rPr>
              <w:t>贷款利率类型</w:t>
            </w:r>
          </w:p>
        </w:tc>
        <w:tc>
          <w:tcPr>
            <w:tcW w:w="0" w:type="auto"/>
            <w:noWrap/>
            <w:vAlign w:val="center"/>
          </w:tcPr>
          <w:p w14:paraId="72E7F609">
            <w:pPr>
              <w:jc w:val="center"/>
              <w:rPr>
                <w:rFonts w:eastAsia="楷体_GB2312"/>
                <w:b/>
                <w:bCs/>
                <w:sz w:val="18"/>
                <w:szCs w:val="18"/>
                <w:lang w:eastAsia="zh-CN"/>
              </w:rPr>
            </w:pPr>
            <w:r>
              <w:rPr>
                <w:rFonts w:eastAsia="楷体_GB2312"/>
                <w:b/>
                <w:bCs/>
                <w:sz w:val="18"/>
                <w:szCs w:val="18"/>
                <w:lang w:eastAsia="zh-CN"/>
              </w:rPr>
              <w:t>贷款笔数</w:t>
            </w:r>
          </w:p>
        </w:tc>
        <w:tc>
          <w:tcPr>
            <w:tcW w:w="0" w:type="auto"/>
            <w:noWrap/>
            <w:vAlign w:val="center"/>
          </w:tcPr>
          <w:p w14:paraId="47D6A0EB">
            <w:pPr>
              <w:jc w:val="center"/>
              <w:rPr>
                <w:rFonts w:eastAsia="楷体_GB2312"/>
                <w:b/>
                <w:bCs/>
                <w:sz w:val="18"/>
                <w:szCs w:val="18"/>
                <w:lang w:eastAsia="zh-CN"/>
              </w:rPr>
            </w:pPr>
            <w:r>
              <w:rPr>
                <w:rFonts w:eastAsia="楷体_GB2312"/>
                <w:b/>
                <w:bCs/>
                <w:sz w:val="18"/>
                <w:szCs w:val="18"/>
              </w:rPr>
              <w:t>占比(%)</w:t>
            </w:r>
          </w:p>
        </w:tc>
        <w:tc>
          <w:tcPr>
            <w:tcW w:w="0" w:type="auto"/>
            <w:noWrap/>
            <w:vAlign w:val="center"/>
          </w:tcPr>
          <w:p w14:paraId="0FE835B6">
            <w:pPr>
              <w:jc w:val="center"/>
              <w:rPr>
                <w:rFonts w:eastAsia="楷体_GB2312"/>
                <w:b/>
                <w:bCs/>
                <w:sz w:val="18"/>
                <w:szCs w:val="18"/>
                <w:lang w:eastAsia="zh-CN"/>
              </w:rPr>
            </w:pPr>
            <w:r>
              <w:rPr>
                <w:rFonts w:eastAsia="楷体_GB2312"/>
                <w:b/>
                <w:bCs/>
                <w:sz w:val="18"/>
                <w:szCs w:val="18"/>
                <w:lang w:eastAsia="zh-CN"/>
              </w:rPr>
              <w:t>初始本金余额(元)</w:t>
            </w:r>
          </w:p>
        </w:tc>
        <w:tc>
          <w:tcPr>
            <w:tcW w:w="0" w:type="auto"/>
            <w:noWrap/>
            <w:vAlign w:val="center"/>
          </w:tcPr>
          <w:p w14:paraId="5A612E87">
            <w:pPr>
              <w:jc w:val="center"/>
              <w:rPr>
                <w:rFonts w:eastAsia="楷体_GB2312"/>
                <w:b/>
                <w:bCs/>
                <w:sz w:val="18"/>
                <w:szCs w:val="18"/>
                <w:lang w:eastAsia="zh-CN"/>
              </w:rPr>
            </w:pPr>
            <w:r>
              <w:rPr>
                <w:rFonts w:eastAsia="楷体_GB2312"/>
                <w:b/>
                <w:bCs/>
                <w:sz w:val="18"/>
                <w:szCs w:val="18"/>
              </w:rPr>
              <w:t>占比(%)</w:t>
            </w:r>
          </w:p>
        </w:tc>
        <w:tc>
          <w:tcPr>
            <w:tcW w:w="0" w:type="auto"/>
            <w:noWrap/>
            <w:vAlign w:val="center"/>
          </w:tcPr>
          <w:p w14:paraId="5D42DFB6">
            <w:pPr>
              <w:jc w:val="center"/>
              <w:rPr>
                <w:rFonts w:eastAsia="楷体_GB2312"/>
                <w:b/>
                <w:bCs/>
                <w:sz w:val="18"/>
                <w:szCs w:val="18"/>
                <w:lang w:eastAsia="zh-CN"/>
              </w:rPr>
            </w:pPr>
            <w:r>
              <w:rPr>
                <w:rFonts w:eastAsia="楷体_GB2312"/>
                <w:b/>
                <w:bCs/>
                <w:sz w:val="18"/>
                <w:szCs w:val="18"/>
                <w:lang w:eastAsia="zh-CN"/>
              </w:rPr>
              <w:t>未偿本金余额(元)</w:t>
            </w:r>
          </w:p>
        </w:tc>
        <w:tc>
          <w:tcPr>
            <w:tcW w:w="0" w:type="auto"/>
            <w:noWrap/>
            <w:vAlign w:val="center"/>
          </w:tcPr>
          <w:p w14:paraId="698D2DD2">
            <w:pPr>
              <w:jc w:val="center"/>
              <w:rPr>
                <w:rFonts w:eastAsia="楷体_GB2312"/>
                <w:b/>
                <w:bCs/>
                <w:sz w:val="18"/>
                <w:szCs w:val="18"/>
                <w:lang w:eastAsia="zh-CN"/>
              </w:rPr>
            </w:pPr>
            <w:r>
              <w:rPr>
                <w:rFonts w:eastAsia="楷体_GB2312"/>
                <w:b/>
                <w:bCs/>
                <w:sz w:val="18"/>
                <w:szCs w:val="18"/>
              </w:rPr>
              <w:t>占比(%)</w:t>
            </w:r>
          </w:p>
        </w:tc>
      </w:tr>
      <w:tr w14:paraId="198FA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3C20DA62">
            <w:pPr>
              <w:jc w:val="center"/>
              <w:rPr>
                <w:rFonts w:eastAsia="楷体_GB2312"/>
                <w:sz w:val="18"/>
                <w:szCs w:val="18"/>
                <w:lang w:eastAsia="zh-CN"/>
              </w:rPr>
            </w:pPr>
            <w:r>
              <w:rPr>
                <w:rFonts w:eastAsia="楷体_GB2312"/>
                <w:sz w:val="18"/>
                <w:szCs w:val="18"/>
                <w:lang w:eastAsia="zh-CN"/>
              </w:rPr>
              <w:t>固定利率</w:t>
            </w:r>
          </w:p>
        </w:tc>
        <w:tc>
          <w:tcPr>
            <w:tcW w:w="0" w:type="auto"/>
            <w:noWrap/>
            <w:vAlign w:val="center"/>
          </w:tcPr>
          <w:p w14:paraId="5366BFC9">
            <w:pPr>
              <w:jc w:val="right"/>
              <w:rPr>
                <w:rFonts w:eastAsia="楷体_GB2312"/>
                <w:sz w:val="18"/>
                <w:szCs w:val="18"/>
                <w:lang w:eastAsia="zh-CN"/>
              </w:rPr>
            </w:pPr>
          </w:p>
        </w:tc>
        <w:tc>
          <w:tcPr>
            <w:tcW w:w="0" w:type="auto"/>
            <w:noWrap/>
            <w:vAlign w:val="center"/>
          </w:tcPr>
          <w:p w14:paraId="27D86839">
            <w:pPr>
              <w:jc w:val="right"/>
              <w:rPr>
                <w:rFonts w:eastAsia="楷体_GB2312"/>
                <w:sz w:val="18"/>
                <w:szCs w:val="18"/>
                <w:lang w:eastAsia="zh-CN"/>
              </w:rPr>
            </w:pPr>
          </w:p>
        </w:tc>
        <w:tc>
          <w:tcPr>
            <w:tcW w:w="0" w:type="auto"/>
            <w:noWrap/>
            <w:vAlign w:val="center"/>
          </w:tcPr>
          <w:p w14:paraId="34232342">
            <w:pPr>
              <w:jc w:val="right"/>
              <w:rPr>
                <w:rFonts w:eastAsia="楷体_GB2312"/>
                <w:sz w:val="18"/>
                <w:szCs w:val="18"/>
                <w:lang w:eastAsia="zh-CN"/>
              </w:rPr>
            </w:pPr>
          </w:p>
        </w:tc>
        <w:tc>
          <w:tcPr>
            <w:tcW w:w="0" w:type="auto"/>
            <w:noWrap/>
            <w:vAlign w:val="center"/>
          </w:tcPr>
          <w:p w14:paraId="430C5891">
            <w:pPr>
              <w:jc w:val="right"/>
              <w:rPr>
                <w:rFonts w:eastAsia="楷体_GB2312"/>
                <w:sz w:val="18"/>
                <w:szCs w:val="18"/>
                <w:lang w:eastAsia="zh-CN"/>
              </w:rPr>
            </w:pPr>
          </w:p>
        </w:tc>
        <w:tc>
          <w:tcPr>
            <w:tcW w:w="0" w:type="auto"/>
            <w:noWrap/>
            <w:vAlign w:val="center"/>
          </w:tcPr>
          <w:p w14:paraId="4BAE985A">
            <w:pPr>
              <w:jc w:val="right"/>
              <w:rPr>
                <w:rFonts w:eastAsia="楷体_GB2312"/>
                <w:sz w:val="18"/>
                <w:szCs w:val="18"/>
                <w:lang w:eastAsia="zh-CN"/>
              </w:rPr>
            </w:pPr>
          </w:p>
        </w:tc>
        <w:tc>
          <w:tcPr>
            <w:tcW w:w="0" w:type="auto"/>
            <w:noWrap/>
            <w:vAlign w:val="center"/>
          </w:tcPr>
          <w:p w14:paraId="0417A132">
            <w:pPr>
              <w:jc w:val="right"/>
              <w:rPr>
                <w:rFonts w:eastAsia="楷体_GB2312"/>
                <w:sz w:val="18"/>
                <w:szCs w:val="18"/>
                <w:lang w:eastAsia="zh-CN"/>
              </w:rPr>
            </w:pPr>
          </w:p>
        </w:tc>
      </w:tr>
      <w:tr w14:paraId="12AD2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38429A37">
            <w:pPr>
              <w:jc w:val="center"/>
              <w:rPr>
                <w:rFonts w:eastAsia="楷体_GB2312"/>
                <w:sz w:val="18"/>
                <w:szCs w:val="18"/>
                <w:lang w:eastAsia="zh-CN"/>
              </w:rPr>
            </w:pPr>
            <w:r>
              <w:rPr>
                <w:rFonts w:eastAsia="楷体_GB2312"/>
                <w:sz w:val="18"/>
                <w:szCs w:val="18"/>
                <w:lang w:eastAsia="zh-CN"/>
              </w:rPr>
              <w:t>浮动利率</w:t>
            </w:r>
          </w:p>
        </w:tc>
        <w:tc>
          <w:tcPr>
            <w:tcW w:w="0" w:type="auto"/>
            <w:noWrap/>
            <w:vAlign w:val="center"/>
          </w:tcPr>
          <w:p w14:paraId="6E230EC3">
            <w:pPr>
              <w:jc w:val="right"/>
              <w:rPr>
                <w:rFonts w:eastAsia="楷体_GB2312"/>
                <w:sz w:val="18"/>
                <w:szCs w:val="18"/>
                <w:lang w:eastAsia="zh-CN"/>
              </w:rPr>
            </w:pPr>
          </w:p>
        </w:tc>
        <w:tc>
          <w:tcPr>
            <w:tcW w:w="0" w:type="auto"/>
            <w:noWrap/>
            <w:vAlign w:val="center"/>
          </w:tcPr>
          <w:p w14:paraId="51FA466D">
            <w:pPr>
              <w:jc w:val="right"/>
              <w:rPr>
                <w:rFonts w:eastAsia="楷体_GB2312"/>
                <w:sz w:val="18"/>
                <w:szCs w:val="18"/>
                <w:lang w:eastAsia="zh-CN"/>
              </w:rPr>
            </w:pPr>
          </w:p>
        </w:tc>
        <w:tc>
          <w:tcPr>
            <w:tcW w:w="0" w:type="auto"/>
            <w:noWrap/>
            <w:vAlign w:val="center"/>
          </w:tcPr>
          <w:p w14:paraId="096C998B">
            <w:pPr>
              <w:jc w:val="right"/>
              <w:rPr>
                <w:rFonts w:eastAsia="楷体_GB2312"/>
                <w:sz w:val="18"/>
                <w:szCs w:val="18"/>
                <w:lang w:eastAsia="zh-CN"/>
              </w:rPr>
            </w:pPr>
          </w:p>
        </w:tc>
        <w:tc>
          <w:tcPr>
            <w:tcW w:w="0" w:type="auto"/>
            <w:noWrap/>
            <w:vAlign w:val="center"/>
          </w:tcPr>
          <w:p w14:paraId="264B2A16">
            <w:pPr>
              <w:jc w:val="right"/>
              <w:rPr>
                <w:rFonts w:eastAsia="楷体_GB2312"/>
                <w:sz w:val="18"/>
                <w:szCs w:val="18"/>
                <w:lang w:eastAsia="zh-CN"/>
              </w:rPr>
            </w:pPr>
          </w:p>
        </w:tc>
        <w:tc>
          <w:tcPr>
            <w:tcW w:w="0" w:type="auto"/>
            <w:noWrap/>
            <w:vAlign w:val="center"/>
          </w:tcPr>
          <w:p w14:paraId="2C9A5780">
            <w:pPr>
              <w:jc w:val="right"/>
              <w:rPr>
                <w:rFonts w:eastAsia="楷体_GB2312"/>
                <w:sz w:val="18"/>
                <w:szCs w:val="18"/>
                <w:lang w:eastAsia="zh-CN"/>
              </w:rPr>
            </w:pPr>
          </w:p>
        </w:tc>
        <w:tc>
          <w:tcPr>
            <w:tcW w:w="0" w:type="auto"/>
            <w:noWrap/>
            <w:vAlign w:val="center"/>
          </w:tcPr>
          <w:p w14:paraId="381B843F">
            <w:pPr>
              <w:jc w:val="right"/>
              <w:rPr>
                <w:rFonts w:eastAsia="楷体_GB2312"/>
                <w:sz w:val="18"/>
                <w:szCs w:val="18"/>
                <w:lang w:eastAsia="zh-CN"/>
              </w:rPr>
            </w:pPr>
          </w:p>
        </w:tc>
      </w:tr>
      <w:tr w14:paraId="40454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7E25E8F">
            <w:pPr>
              <w:jc w:val="center"/>
              <w:rPr>
                <w:rFonts w:eastAsia="楷体_GB2312"/>
                <w:sz w:val="18"/>
                <w:szCs w:val="18"/>
                <w:lang w:eastAsia="zh-CN"/>
              </w:rPr>
            </w:pPr>
            <w:r>
              <w:rPr>
                <w:rFonts w:eastAsia="楷体_GB2312"/>
                <w:sz w:val="18"/>
                <w:szCs w:val="18"/>
              </w:rPr>
              <w:t>总计</w:t>
            </w:r>
          </w:p>
        </w:tc>
        <w:tc>
          <w:tcPr>
            <w:tcW w:w="0" w:type="auto"/>
            <w:noWrap/>
            <w:vAlign w:val="center"/>
          </w:tcPr>
          <w:p w14:paraId="62526026">
            <w:pPr>
              <w:jc w:val="right"/>
              <w:rPr>
                <w:rFonts w:eastAsia="楷体_GB2312"/>
                <w:sz w:val="18"/>
                <w:szCs w:val="18"/>
                <w:lang w:eastAsia="zh-CN"/>
              </w:rPr>
            </w:pPr>
          </w:p>
        </w:tc>
        <w:tc>
          <w:tcPr>
            <w:tcW w:w="0" w:type="auto"/>
            <w:noWrap/>
            <w:vAlign w:val="center"/>
          </w:tcPr>
          <w:p w14:paraId="0D3F8798">
            <w:pPr>
              <w:jc w:val="right"/>
              <w:rPr>
                <w:rFonts w:eastAsia="楷体_GB2312"/>
                <w:sz w:val="18"/>
                <w:szCs w:val="18"/>
                <w:lang w:eastAsia="zh-CN"/>
              </w:rPr>
            </w:pPr>
          </w:p>
        </w:tc>
        <w:tc>
          <w:tcPr>
            <w:tcW w:w="0" w:type="auto"/>
            <w:noWrap/>
            <w:vAlign w:val="center"/>
          </w:tcPr>
          <w:p w14:paraId="59419A60">
            <w:pPr>
              <w:jc w:val="right"/>
              <w:rPr>
                <w:rFonts w:eastAsia="楷体_GB2312"/>
                <w:sz w:val="18"/>
                <w:szCs w:val="18"/>
                <w:lang w:eastAsia="zh-CN"/>
              </w:rPr>
            </w:pPr>
          </w:p>
        </w:tc>
        <w:tc>
          <w:tcPr>
            <w:tcW w:w="0" w:type="auto"/>
            <w:noWrap/>
            <w:vAlign w:val="center"/>
          </w:tcPr>
          <w:p w14:paraId="44CC2BA4">
            <w:pPr>
              <w:jc w:val="right"/>
              <w:rPr>
                <w:rFonts w:eastAsia="楷体_GB2312"/>
                <w:sz w:val="18"/>
                <w:szCs w:val="18"/>
                <w:lang w:eastAsia="zh-CN"/>
              </w:rPr>
            </w:pPr>
          </w:p>
        </w:tc>
        <w:tc>
          <w:tcPr>
            <w:tcW w:w="0" w:type="auto"/>
            <w:noWrap/>
            <w:vAlign w:val="center"/>
          </w:tcPr>
          <w:p w14:paraId="67B31974">
            <w:pPr>
              <w:jc w:val="right"/>
              <w:rPr>
                <w:rFonts w:eastAsia="楷体_GB2312"/>
                <w:sz w:val="18"/>
                <w:szCs w:val="18"/>
                <w:lang w:eastAsia="zh-CN"/>
              </w:rPr>
            </w:pPr>
          </w:p>
        </w:tc>
        <w:tc>
          <w:tcPr>
            <w:tcW w:w="0" w:type="auto"/>
            <w:noWrap/>
            <w:vAlign w:val="center"/>
          </w:tcPr>
          <w:p w14:paraId="5CE4600A">
            <w:pPr>
              <w:jc w:val="right"/>
              <w:rPr>
                <w:rFonts w:eastAsia="楷体_GB2312"/>
                <w:sz w:val="18"/>
                <w:szCs w:val="18"/>
                <w:lang w:eastAsia="zh-CN"/>
              </w:rPr>
            </w:pPr>
          </w:p>
        </w:tc>
      </w:tr>
      <w:tr w14:paraId="1FB2E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0" w:type="auto"/>
            <w:gridSpan w:val="7"/>
            <w:noWrap/>
            <w:vAlign w:val="center"/>
          </w:tcPr>
          <w:p w14:paraId="3C6F94F9">
            <w:pPr>
              <w:rPr>
                <w:rFonts w:eastAsia="楷体_GB2312"/>
                <w:sz w:val="21"/>
                <w:szCs w:val="21"/>
                <w:lang w:eastAsia="zh-CN"/>
              </w:rPr>
            </w:pPr>
            <w:r>
              <w:rPr>
                <w:rFonts w:eastAsia="楷体_GB2312"/>
                <w:b/>
                <w:sz w:val="21"/>
                <w:szCs w:val="21"/>
                <w:lang w:eastAsia="zh-CN"/>
              </w:rPr>
              <w:t>（四）贷款利率分布</w:t>
            </w:r>
          </w:p>
        </w:tc>
      </w:tr>
      <w:tr w14:paraId="5736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C7881C9">
            <w:pPr>
              <w:jc w:val="center"/>
              <w:rPr>
                <w:rFonts w:eastAsia="楷体_GB2312"/>
                <w:b/>
                <w:bCs/>
                <w:sz w:val="18"/>
                <w:szCs w:val="21"/>
                <w:lang w:eastAsia="zh-CN"/>
              </w:rPr>
            </w:pPr>
            <w:r>
              <w:rPr>
                <w:rFonts w:eastAsia="楷体_GB2312"/>
                <w:b/>
                <w:bCs/>
                <w:sz w:val="18"/>
                <w:szCs w:val="21"/>
              </w:rPr>
              <w:t>贷款利率（%）</w:t>
            </w:r>
          </w:p>
        </w:tc>
        <w:tc>
          <w:tcPr>
            <w:tcW w:w="0" w:type="auto"/>
            <w:noWrap/>
            <w:vAlign w:val="center"/>
          </w:tcPr>
          <w:p w14:paraId="2617C992">
            <w:pPr>
              <w:jc w:val="center"/>
              <w:rPr>
                <w:rFonts w:eastAsia="楷体_GB2312"/>
                <w:b/>
                <w:bCs/>
                <w:sz w:val="18"/>
                <w:szCs w:val="21"/>
                <w:lang w:eastAsia="zh-CN"/>
              </w:rPr>
            </w:pPr>
            <w:r>
              <w:rPr>
                <w:rFonts w:eastAsia="楷体_GB2312"/>
                <w:b/>
                <w:bCs/>
                <w:sz w:val="18"/>
                <w:szCs w:val="18"/>
                <w:lang w:eastAsia="zh-CN"/>
              </w:rPr>
              <w:t>贷款笔数</w:t>
            </w:r>
          </w:p>
        </w:tc>
        <w:tc>
          <w:tcPr>
            <w:tcW w:w="0" w:type="auto"/>
            <w:noWrap/>
            <w:vAlign w:val="center"/>
          </w:tcPr>
          <w:p w14:paraId="799CBFCD">
            <w:pPr>
              <w:jc w:val="center"/>
              <w:rPr>
                <w:rFonts w:eastAsia="楷体_GB2312"/>
                <w:b/>
                <w:bCs/>
                <w:sz w:val="18"/>
                <w:szCs w:val="21"/>
                <w:lang w:eastAsia="zh-CN"/>
              </w:rPr>
            </w:pPr>
            <w:r>
              <w:rPr>
                <w:rFonts w:eastAsia="楷体_GB2312"/>
                <w:b/>
                <w:bCs/>
                <w:sz w:val="18"/>
                <w:szCs w:val="18"/>
              </w:rPr>
              <w:t>占比(%)</w:t>
            </w:r>
          </w:p>
        </w:tc>
        <w:tc>
          <w:tcPr>
            <w:tcW w:w="0" w:type="auto"/>
            <w:noWrap/>
            <w:vAlign w:val="center"/>
          </w:tcPr>
          <w:p w14:paraId="0D770C8B">
            <w:pPr>
              <w:jc w:val="center"/>
              <w:rPr>
                <w:rFonts w:eastAsia="楷体_GB2312"/>
                <w:b/>
                <w:bCs/>
                <w:sz w:val="18"/>
                <w:szCs w:val="21"/>
                <w:lang w:eastAsia="zh-CN"/>
              </w:rPr>
            </w:pPr>
            <w:r>
              <w:rPr>
                <w:rFonts w:eastAsia="楷体_GB2312"/>
                <w:b/>
                <w:bCs/>
                <w:sz w:val="18"/>
                <w:szCs w:val="18"/>
                <w:lang w:eastAsia="zh-CN"/>
              </w:rPr>
              <w:t>初始本金余额(元)</w:t>
            </w:r>
          </w:p>
        </w:tc>
        <w:tc>
          <w:tcPr>
            <w:tcW w:w="0" w:type="auto"/>
            <w:noWrap/>
            <w:vAlign w:val="center"/>
          </w:tcPr>
          <w:p w14:paraId="2B28E7B8">
            <w:pPr>
              <w:jc w:val="center"/>
              <w:rPr>
                <w:rFonts w:eastAsia="楷体_GB2312"/>
                <w:b/>
                <w:bCs/>
                <w:sz w:val="18"/>
                <w:szCs w:val="21"/>
                <w:lang w:eastAsia="zh-CN"/>
              </w:rPr>
            </w:pPr>
            <w:r>
              <w:rPr>
                <w:rFonts w:eastAsia="楷体_GB2312"/>
                <w:b/>
                <w:bCs/>
                <w:sz w:val="18"/>
                <w:szCs w:val="18"/>
              </w:rPr>
              <w:t>占比(%)</w:t>
            </w:r>
          </w:p>
        </w:tc>
        <w:tc>
          <w:tcPr>
            <w:tcW w:w="0" w:type="auto"/>
            <w:noWrap/>
            <w:vAlign w:val="center"/>
          </w:tcPr>
          <w:p w14:paraId="5B4E52A9">
            <w:pPr>
              <w:jc w:val="center"/>
              <w:rPr>
                <w:rFonts w:eastAsia="楷体_GB2312"/>
                <w:b/>
                <w:bCs/>
                <w:sz w:val="18"/>
                <w:szCs w:val="21"/>
                <w:lang w:eastAsia="zh-CN"/>
              </w:rPr>
            </w:pPr>
            <w:r>
              <w:rPr>
                <w:rFonts w:eastAsia="楷体_GB2312"/>
                <w:b/>
                <w:bCs/>
                <w:sz w:val="18"/>
                <w:szCs w:val="18"/>
                <w:lang w:eastAsia="zh-CN"/>
              </w:rPr>
              <w:t>未偿本金余额(元)</w:t>
            </w:r>
          </w:p>
        </w:tc>
        <w:tc>
          <w:tcPr>
            <w:tcW w:w="0" w:type="auto"/>
            <w:noWrap/>
            <w:vAlign w:val="center"/>
          </w:tcPr>
          <w:p w14:paraId="66C60EE9">
            <w:pPr>
              <w:jc w:val="center"/>
              <w:rPr>
                <w:rFonts w:eastAsia="楷体_GB2312"/>
                <w:b/>
                <w:bCs/>
                <w:sz w:val="18"/>
                <w:szCs w:val="21"/>
                <w:lang w:eastAsia="zh-CN"/>
              </w:rPr>
            </w:pPr>
            <w:r>
              <w:rPr>
                <w:rFonts w:eastAsia="楷体_GB2312"/>
                <w:b/>
                <w:bCs/>
                <w:sz w:val="18"/>
                <w:szCs w:val="18"/>
              </w:rPr>
              <w:t>占比(%)</w:t>
            </w:r>
          </w:p>
        </w:tc>
      </w:tr>
      <w:tr w14:paraId="441F2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6F79AC6E">
            <w:pPr>
              <w:jc w:val="center"/>
              <w:rPr>
                <w:rFonts w:eastAsia="楷体_GB2312"/>
                <w:sz w:val="18"/>
                <w:szCs w:val="21"/>
                <w:lang w:eastAsia="zh-CN"/>
              </w:rPr>
            </w:pPr>
            <w:r>
              <w:rPr>
                <w:rFonts w:eastAsia="楷体_GB2312"/>
                <w:sz w:val="18"/>
                <w:szCs w:val="21"/>
                <w:lang w:eastAsia="zh-CN"/>
              </w:rPr>
              <w:t>[0-【】)</w:t>
            </w:r>
          </w:p>
        </w:tc>
        <w:tc>
          <w:tcPr>
            <w:tcW w:w="0" w:type="auto"/>
            <w:noWrap/>
            <w:vAlign w:val="center"/>
          </w:tcPr>
          <w:p w14:paraId="29D8EFD9">
            <w:pPr>
              <w:jc w:val="right"/>
              <w:rPr>
                <w:rFonts w:eastAsia="楷体_GB2312"/>
                <w:sz w:val="18"/>
                <w:szCs w:val="21"/>
                <w:lang w:eastAsia="zh-CN"/>
              </w:rPr>
            </w:pPr>
          </w:p>
        </w:tc>
        <w:tc>
          <w:tcPr>
            <w:tcW w:w="0" w:type="auto"/>
            <w:noWrap/>
            <w:vAlign w:val="center"/>
          </w:tcPr>
          <w:p w14:paraId="0276234A">
            <w:pPr>
              <w:jc w:val="right"/>
              <w:rPr>
                <w:rFonts w:eastAsia="楷体_GB2312"/>
                <w:sz w:val="18"/>
                <w:szCs w:val="21"/>
                <w:lang w:eastAsia="zh-CN"/>
              </w:rPr>
            </w:pPr>
          </w:p>
        </w:tc>
        <w:tc>
          <w:tcPr>
            <w:tcW w:w="0" w:type="auto"/>
            <w:noWrap/>
            <w:vAlign w:val="center"/>
          </w:tcPr>
          <w:p w14:paraId="09347DFE">
            <w:pPr>
              <w:jc w:val="right"/>
              <w:rPr>
                <w:rFonts w:eastAsia="楷体_GB2312"/>
                <w:sz w:val="18"/>
                <w:szCs w:val="21"/>
                <w:lang w:eastAsia="zh-CN"/>
              </w:rPr>
            </w:pPr>
          </w:p>
        </w:tc>
        <w:tc>
          <w:tcPr>
            <w:tcW w:w="0" w:type="auto"/>
            <w:noWrap/>
            <w:vAlign w:val="center"/>
          </w:tcPr>
          <w:p w14:paraId="3DD21DEB">
            <w:pPr>
              <w:jc w:val="right"/>
              <w:rPr>
                <w:rFonts w:eastAsia="楷体_GB2312"/>
                <w:sz w:val="18"/>
                <w:szCs w:val="21"/>
                <w:lang w:eastAsia="zh-CN"/>
              </w:rPr>
            </w:pPr>
          </w:p>
        </w:tc>
        <w:tc>
          <w:tcPr>
            <w:tcW w:w="0" w:type="auto"/>
            <w:noWrap/>
            <w:vAlign w:val="center"/>
          </w:tcPr>
          <w:p w14:paraId="40D28406">
            <w:pPr>
              <w:jc w:val="right"/>
              <w:rPr>
                <w:rFonts w:eastAsia="楷体_GB2312"/>
                <w:sz w:val="18"/>
                <w:szCs w:val="21"/>
                <w:lang w:eastAsia="zh-CN"/>
              </w:rPr>
            </w:pPr>
          </w:p>
        </w:tc>
        <w:tc>
          <w:tcPr>
            <w:tcW w:w="0" w:type="auto"/>
            <w:noWrap/>
            <w:vAlign w:val="center"/>
          </w:tcPr>
          <w:p w14:paraId="671FA58E">
            <w:pPr>
              <w:jc w:val="right"/>
              <w:rPr>
                <w:rFonts w:eastAsia="楷体_GB2312"/>
                <w:sz w:val="18"/>
                <w:szCs w:val="21"/>
                <w:lang w:eastAsia="zh-CN"/>
              </w:rPr>
            </w:pPr>
          </w:p>
        </w:tc>
      </w:tr>
      <w:tr w14:paraId="78244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7B45C0E6">
            <w:pPr>
              <w:jc w:val="center"/>
              <w:rPr>
                <w:rFonts w:eastAsia="楷体_GB2312"/>
                <w:sz w:val="18"/>
                <w:szCs w:val="21"/>
                <w:lang w:eastAsia="zh-CN"/>
              </w:rPr>
            </w:pPr>
            <w:r>
              <w:rPr>
                <w:rFonts w:eastAsia="楷体_GB2312"/>
                <w:sz w:val="18"/>
                <w:szCs w:val="21"/>
                <w:lang w:eastAsia="zh-CN"/>
              </w:rPr>
              <w:t>[【】-【】)</w:t>
            </w:r>
          </w:p>
        </w:tc>
        <w:tc>
          <w:tcPr>
            <w:tcW w:w="0" w:type="auto"/>
            <w:noWrap/>
            <w:vAlign w:val="center"/>
          </w:tcPr>
          <w:p w14:paraId="3E063090">
            <w:pPr>
              <w:jc w:val="right"/>
              <w:rPr>
                <w:rFonts w:eastAsia="楷体_GB2312"/>
                <w:sz w:val="18"/>
                <w:szCs w:val="21"/>
                <w:lang w:eastAsia="zh-CN"/>
              </w:rPr>
            </w:pPr>
          </w:p>
        </w:tc>
        <w:tc>
          <w:tcPr>
            <w:tcW w:w="0" w:type="auto"/>
            <w:noWrap/>
            <w:vAlign w:val="center"/>
          </w:tcPr>
          <w:p w14:paraId="0E81EBA4">
            <w:pPr>
              <w:jc w:val="right"/>
              <w:rPr>
                <w:rFonts w:eastAsia="楷体_GB2312"/>
                <w:sz w:val="18"/>
                <w:szCs w:val="21"/>
                <w:lang w:eastAsia="zh-CN"/>
              </w:rPr>
            </w:pPr>
          </w:p>
        </w:tc>
        <w:tc>
          <w:tcPr>
            <w:tcW w:w="0" w:type="auto"/>
            <w:noWrap/>
            <w:vAlign w:val="center"/>
          </w:tcPr>
          <w:p w14:paraId="2939B890">
            <w:pPr>
              <w:jc w:val="right"/>
              <w:rPr>
                <w:rFonts w:eastAsia="楷体_GB2312"/>
                <w:sz w:val="18"/>
                <w:szCs w:val="21"/>
                <w:lang w:eastAsia="zh-CN"/>
              </w:rPr>
            </w:pPr>
          </w:p>
        </w:tc>
        <w:tc>
          <w:tcPr>
            <w:tcW w:w="0" w:type="auto"/>
            <w:noWrap/>
            <w:vAlign w:val="center"/>
          </w:tcPr>
          <w:p w14:paraId="266A38D1">
            <w:pPr>
              <w:jc w:val="right"/>
              <w:rPr>
                <w:rFonts w:eastAsia="楷体_GB2312"/>
                <w:sz w:val="18"/>
                <w:szCs w:val="21"/>
                <w:lang w:eastAsia="zh-CN"/>
              </w:rPr>
            </w:pPr>
          </w:p>
        </w:tc>
        <w:tc>
          <w:tcPr>
            <w:tcW w:w="0" w:type="auto"/>
            <w:noWrap/>
            <w:vAlign w:val="center"/>
          </w:tcPr>
          <w:p w14:paraId="54126EDC">
            <w:pPr>
              <w:jc w:val="right"/>
              <w:rPr>
                <w:rFonts w:eastAsia="楷体_GB2312"/>
                <w:sz w:val="18"/>
                <w:szCs w:val="21"/>
                <w:lang w:eastAsia="zh-CN"/>
              </w:rPr>
            </w:pPr>
          </w:p>
        </w:tc>
        <w:tc>
          <w:tcPr>
            <w:tcW w:w="0" w:type="auto"/>
            <w:noWrap/>
            <w:vAlign w:val="center"/>
          </w:tcPr>
          <w:p w14:paraId="6233CBF5">
            <w:pPr>
              <w:jc w:val="right"/>
              <w:rPr>
                <w:rFonts w:eastAsia="楷体_GB2312"/>
                <w:sz w:val="18"/>
                <w:szCs w:val="21"/>
                <w:lang w:eastAsia="zh-CN"/>
              </w:rPr>
            </w:pPr>
          </w:p>
        </w:tc>
      </w:tr>
      <w:tr w14:paraId="05D00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3DB85DC">
            <w:pPr>
              <w:jc w:val="center"/>
              <w:rPr>
                <w:rFonts w:eastAsia="楷体_GB2312"/>
                <w:sz w:val="18"/>
                <w:szCs w:val="21"/>
                <w:lang w:eastAsia="zh-CN"/>
              </w:rPr>
            </w:pPr>
            <w:r>
              <w:rPr>
                <w:rFonts w:eastAsia="楷体_GB2312"/>
                <w:sz w:val="18"/>
                <w:szCs w:val="21"/>
                <w:lang w:eastAsia="zh-CN"/>
              </w:rPr>
              <w:t>…</w:t>
            </w:r>
          </w:p>
        </w:tc>
        <w:tc>
          <w:tcPr>
            <w:tcW w:w="0" w:type="auto"/>
            <w:noWrap/>
            <w:vAlign w:val="center"/>
          </w:tcPr>
          <w:p w14:paraId="37AB05D7">
            <w:pPr>
              <w:jc w:val="right"/>
              <w:rPr>
                <w:rFonts w:eastAsia="楷体_GB2312"/>
                <w:sz w:val="18"/>
                <w:szCs w:val="21"/>
                <w:lang w:eastAsia="zh-CN"/>
              </w:rPr>
            </w:pPr>
          </w:p>
        </w:tc>
        <w:tc>
          <w:tcPr>
            <w:tcW w:w="0" w:type="auto"/>
            <w:noWrap/>
            <w:vAlign w:val="center"/>
          </w:tcPr>
          <w:p w14:paraId="370BD66F">
            <w:pPr>
              <w:jc w:val="right"/>
              <w:rPr>
                <w:rFonts w:eastAsia="楷体_GB2312"/>
                <w:sz w:val="18"/>
                <w:szCs w:val="21"/>
                <w:lang w:eastAsia="zh-CN"/>
              </w:rPr>
            </w:pPr>
          </w:p>
        </w:tc>
        <w:tc>
          <w:tcPr>
            <w:tcW w:w="0" w:type="auto"/>
            <w:noWrap/>
            <w:vAlign w:val="center"/>
          </w:tcPr>
          <w:p w14:paraId="5C2E252F">
            <w:pPr>
              <w:jc w:val="right"/>
              <w:rPr>
                <w:rFonts w:eastAsia="楷体_GB2312"/>
                <w:sz w:val="18"/>
                <w:szCs w:val="21"/>
                <w:lang w:eastAsia="zh-CN"/>
              </w:rPr>
            </w:pPr>
          </w:p>
        </w:tc>
        <w:tc>
          <w:tcPr>
            <w:tcW w:w="0" w:type="auto"/>
            <w:noWrap/>
            <w:vAlign w:val="center"/>
          </w:tcPr>
          <w:p w14:paraId="71555323">
            <w:pPr>
              <w:jc w:val="right"/>
              <w:rPr>
                <w:rFonts w:eastAsia="楷体_GB2312"/>
                <w:sz w:val="18"/>
                <w:szCs w:val="21"/>
                <w:lang w:eastAsia="zh-CN"/>
              </w:rPr>
            </w:pPr>
          </w:p>
        </w:tc>
        <w:tc>
          <w:tcPr>
            <w:tcW w:w="0" w:type="auto"/>
            <w:noWrap/>
            <w:vAlign w:val="center"/>
          </w:tcPr>
          <w:p w14:paraId="71636876">
            <w:pPr>
              <w:jc w:val="right"/>
              <w:rPr>
                <w:rFonts w:eastAsia="楷体_GB2312"/>
                <w:sz w:val="18"/>
                <w:szCs w:val="21"/>
                <w:lang w:eastAsia="zh-CN"/>
              </w:rPr>
            </w:pPr>
          </w:p>
        </w:tc>
        <w:tc>
          <w:tcPr>
            <w:tcW w:w="0" w:type="auto"/>
            <w:noWrap/>
            <w:vAlign w:val="center"/>
          </w:tcPr>
          <w:p w14:paraId="0DAB75B9">
            <w:pPr>
              <w:jc w:val="right"/>
              <w:rPr>
                <w:rFonts w:eastAsia="楷体_GB2312"/>
                <w:sz w:val="18"/>
                <w:szCs w:val="21"/>
                <w:lang w:eastAsia="zh-CN"/>
              </w:rPr>
            </w:pPr>
          </w:p>
        </w:tc>
      </w:tr>
      <w:tr w14:paraId="2D04F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7DAC1D9">
            <w:pPr>
              <w:jc w:val="center"/>
              <w:rPr>
                <w:rFonts w:eastAsia="楷体_GB2312"/>
                <w:b/>
                <w:bCs/>
                <w:sz w:val="18"/>
                <w:szCs w:val="21"/>
                <w:lang w:eastAsia="zh-CN"/>
              </w:rPr>
            </w:pPr>
            <w:r>
              <w:rPr>
                <w:rFonts w:eastAsia="楷体_GB2312"/>
                <w:b/>
                <w:bCs/>
                <w:sz w:val="18"/>
                <w:szCs w:val="21"/>
                <w:lang w:eastAsia="zh-CN"/>
              </w:rPr>
              <w:t>总计</w:t>
            </w:r>
          </w:p>
        </w:tc>
        <w:tc>
          <w:tcPr>
            <w:tcW w:w="0" w:type="auto"/>
            <w:noWrap/>
            <w:vAlign w:val="center"/>
          </w:tcPr>
          <w:p w14:paraId="3E4B6531">
            <w:pPr>
              <w:jc w:val="right"/>
              <w:rPr>
                <w:rFonts w:eastAsia="楷体_GB2312"/>
                <w:sz w:val="18"/>
                <w:szCs w:val="21"/>
                <w:lang w:eastAsia="zh-CN"/>
              </w:rPr>
            </w:pPr>
          </w:p>
        </w:tc>
        <w:tc>
          <w:tcPr>
            <w:tcW w:w="0" w:type="auto"/>
            <w:noWrap/>
            <w:vAlign w:val="center"/>
          </w:tcPr>
          <w:p w14:paraId="6D75EDF4">
            <w:pPr>
              <w:jc w:val="right"/>
              <w:rPr>
                <w:rFonts w:eastAsia="楷体_GB2312"/>
                <w:sz w:val="18"/>
                <w:szCs w:val="21"/>
                <w:lang w:eastAsia="zh-CN"/>
              </w:rPr>
            </w:pPr>
          </w:p>
        </w:tc>
        <w:tc>
          <w:tcPr>
            <w:tcW w:w="0" w:type="auto"/>
            <w:noWrap/>
            <w:vAlign w:val="center"/>
          </w:tcPr>
          <w:p w14:paraId="60368BB8">
            <w:pPr>
              <w:jc w:val="right"/>
              <w:rPr>
                <w:rFonts w:eastAsia="楷体_GB2312"/>
                <w:sz w:val="18"/>
                <w:szCs w:val="21"/>
                <w:lang w:eastAsia="zh-CN"/>
              </w:rPr>
            </w:pPr>
          </w:p>
        </w:tc>
        <w:tc>
          <w:tcPr>
            <w:tcW w:w="0" w:type="auto"/>
            <w:noWrap/>
            <w:vAlign w:val="center"/>
          </w:tcPr>
          <w:p w14:paraId="279B0935">
            <w:pPr>
              <w:jc w:val="right"/>
              <w:rPr>
                <w:rFonts w:eastAsia="楷体_GB2312"/>
                <w:sz w:val="18"/>
                <w:szCs w:val="21"/>
                <w:lang w:eastAsia="zh-CN"/>
              </w:rPr>
            </w:pPr>
          </w:p>
        </w:tc>
        <w:tc>
          <w:tcPr>
            <w:tcW w:w="0" w:type="auto"/>
            <w:noWrap/>
            <w:vAlign w:val="center"/>
          </w:tcPr>
          <w:p w14:paraId="01BCF74C">
            <w:pPr>
              <w:jc w:val="right"/>
              <w:rPr>
                <w:rFonts w:eastAsia="楷体_GB2312"/>
                <w:sz w:val="18"/>
                <w:szCs w:val="21"/>
                <w:lang w:eastAsia="zh-CN"/>
              </w:rPr>
            </w:pPr>
          </w:p>
        </w:tc>
        <w:tc>
          <w:tcPr>
            <w:tcW w:w="0" w:type="auto"/>
            <w:noWrap/>
            <w:vAlign w:val="center"/>
          </w:tcPr>
          <w:p w14:paraId="4967C532">
            <w:pPr>
              <w:jc w:val="right"/>
              <w:rPr>
                <w:rFonts w:eastAsia="楷体_GB2312"/>
                <w:sz w:val="18"/>
                <w:szCs w:val="21"/>
                <w:lang w:eastAsia="zh-CN"/>
              </w:rPr>
            </w:pPr>
          </w:p>
        </w:tc>
      </w:tr>
      <w:tr w14:paraId="5DA41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0" w:type="auto"/>
            <w:gridSpan w:val="7"/>
            <w:noWrap/>
            <w:vAlign w:val="center"/>
          </w:tcPr>
          <w:p w14:paraId="338DAFF5">
            <w:pPr>
              <w:rPr>
                <w:rFonts w:eastAsia="楷体_GB2312"/>
                <w:sz w:val="18"/>
                <w:szCs w:val="21"/>
                <w:lang w:eastAsia="zh-CN"/>
              </w:rPr>
            </w:pPr>
            <w:r>
              <w:rPr>
                <w:rFonts w:eastAsia="楷体_GB2312"/>
                <w:b/>
                <w:sz w:val="21"/>
                <w:szCs w:val="21"/>
                <w:lang w:eastAsia="zh-CN"/>
              </w:rPr>
              <w:t>（五）担保情况分布</w:t>
            </w:r>
          </w:p>
        </w:tc>
      </w:tr>
      <w:tr w14:paraId="0E5D4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7BBDF59F">
            <w:pPr>
              <w:jc w:val="center"/>
              <w:rPr>
                <w:rFonts w:eastAsia="楷体_GB2312"/>
                <w:b/>
                <w:bCs/>
                <w:sz w:val="18"/>
                <w:szCs w:val="21"/>
                <w:lang w:eastAsia="zh-CN"/>
              </w:rPr>
            </w:pPr>
            <w:r>
              <w:rPr>
                <w:rFonts w:eastAsia="楷体_GB2312"/>
                <w:b/>
                <w:bCs/>
                <w:sz w:val="18"/>
                <w:szCs w:val="21"/>
              </w:rPr>
              <w:t>担保情况</w:t>
            </w:r>
          </w:p>
        </w:tc>
        <w:tc>
          <w:tcPr>
            <w:tcW w:w="0" w:type="auto"/>
            <w:noWrap/>
            <w:vAlign w:val="center"/>
          </w:tcPr>
          <w:p w14:paraId="4184D5B7">
            <w:pPr>
              <w:jc w:val="center"/>
              <w:rPr>
                <w:rFonts w:eastAsia="楷体_GB2312"/>
                <w:sz w:val="18"/>
                <w:szCs w:val="21"/>
                <w:lang w:eastAsia="zh-CN"/>
              </w:rPr>
            </w:pPr>
            <w:r>
              <w:rPr>
                <w:rFonts w:eastAsia="楷体_GB2312"/>
                <w:b/>
                <w:bCs/>
                <w:sz w:val="18"/>
                <w:szCs w:val="18"/>
                <w:lang w:eastAsia="zh-CN"/>
              </w:rPr>
              <w:t>贷款笔数</w:t>
            </w:r>
          </w:p>
        </w:tc>
        <w:tc>
          <w:tcPr>
            <w:tcW w:w="0" w:type="auto"/>
            <w:noWrap/>
            <w:vAlign w:val="center"/>
          </w:tcPr>
          <w:p w14:paraId="20079830">
            <w:pPr>
              <w:jc w:val="center"/>
              <w:rPr>
                <w:rFonts w:eastAsia="楷体_GB2312"/>
                <w:sz w:val="18"/>
                <w:szCs w:val="21"/>
                <w:lang w:eastAsia="zh-CN"/>
              </w:rPr>
            </w:pPr>
            <w:r>
              <w:rPr>
                <w:rFonts w:eastAsia="楷体_GB2312"/>
                <w:b/>
                <w:bCs/>
                <w:sz w:val="18"/>
                <w:szCs w:val="18"/>
              </w:rPr>
              <w:t>占比(%)</w:t>
            </w:r>
          </w:p>
        </w:tc>
        <w:tc>
          <w:tcPr>
            <w:tcW w:w="0" w:type="auto"/>
            <w:noWrap/>
            <w:vAlign w:val="center"/>
          </w:tcPr>
          <w:p w14:paraId="5E662095">
            <w:pPr>
              <w:jc w:val="center"/>
              <w:rPr>
                <w:rFonts w:eastAsia="楷体_GB2312"/>
                <w:sz w:val="18"/>
                <w:szCs w:val="21"/>
                <w:lang w:eastAsia="zh-CN"/>
              </w:rPr>
            </w:pPr>
            <w:r>
              <w:rPr>
                <w:rFonts w:eastAsia="楷体_GB2312"/>
                <w:b/>
                <w:bCs/>
                <w:sz w:val="18"/>
                <w:szCs w:val="18"/>
                <w:lang w:eastAsia="zh-CN"/>
              </w:rPr>
              <w:t>初始本金余额(元)</w:t>
            </w:r>
          </w:p>
        </w:tc>
        <w:tc>
          <w:tcPr>
            <w:tcW w:w="0" w:type="auto"/>
            <w:noWrap/>
            <w:vAlign w:val="center"/>
          </w:tcPr>
          <w:p w14:paraId="0EFCE859">
            <w:pPr>
              <w:jc w:val="center"/>
              <w:rPr>
                <w:rFonts w:eastAsia="楷体_GB2312"/>
                <w:sz w:val="18"/>
                <w:szCs w:val="21"/>
                <w:lang w:eastAsia="zh-CN"/>
              </w:rPr>
            </w:pPr>
            <w:r>
              <w:rPr>
                <w:rFonts w:eastAsia="楷体_GB2312"/>
                <w:b/>
                <w:bCs/>
                <w:sz w:val="18"/>
                <w:szCs w:val="18"/>
              </w:rPr>
              <w:t>占比(%)</w:t>
            </w:r>
          </w:p>
        </w:tc>
        <w:tc>
          <w:tcPr>
            <w:tcW w:w="0" w:type="auto"/>
            <w:noWrap/>
            <w:vAlign w:val="center"/>
          </w:tcPr>
          <w:p w14:paraId="176A473F">
            <w:pPr>
              <w:jc w:val="center"/>
              <w:rPr>
                <w:rFonts w:eastAsia="楷体_GB2312"/>
                <w:sz w:val="18"/>
                <w:szCs w:val="21"/>
                <w:lang w:eastAsia="zh-CN"/>
              </w:rPr>
            </w:pPr>
            <w:r>
              <w:rPr>
                <w:rFonts w:eastAsia="楷体_GB2312"/>
                <w:b/>
                <w:bCs/>
                <w:sz w:val="18"/>
                <w:szCs w:val="18"/>
                <w:lang w:eastAsia="zh-CN"/>
              </w:rPr>
              <w:t>未偿本金余额(元)</w:t>
            </w:r>
          </w:p>
        </w:tc>
        <w:tc>
          <w:tcPr>
            <w:tcW w:w="0" w:type="auto"/>
            <w:noWrap/>
            <w:vAlign w:val="center"/>
          </w:tcPr>
          <w:p w14:paraId="633BF61B">
            <w:pPr>
              <w:jc w:val="center"/>
              <w:rPr>
                <w:rFonts w:eastAsia="楷体_GB2312"/>
                <w:sz w:val="18"/>
                <w:szCs w:val="21"/>
                <w:lang w:eastAsia="zh-CN"/>
              </w:rPr>
            </w:pPr>
            <w:r>
              <w:rPr>
                <w:rFonts w:eastAsia="楷体_GB2312"/>
                <w:b/>
                <w:bCs/>
                <w:sz w:val="18"/>
                <w:szCs w:val="18"/>
              </w:rPr>
              <w:t>占比(%)</w:t>
            </w:r>
          </w:p>
        </w:tc>
      </w:tr>
      <w:tr w14:paraId="5AF8C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BBF600E">
            <w:pPr>
              <w:jc w:val="center"/>
              <w:rPr>
                <w:rFonts w:eastAsia="楷体_GB2312"/>
                <w:b/>
                <w:bCs/>
                <w:sz w:val="18"/>
                <w:szCs w:val="21"/>
                <w:lang w:eastAsia="zh-CN"/>
              </w:rPr>
            </w:pPr>
          </w:p>
        </w:tc>
        <w:tc>
          <w:tcPr>
            <w:tcW w:w="0" w:type="auto"/>
            <w:noWrap/>
            <w:vAlign w:val="center"/>
          </w:tcPr>
          <w:p w14:paraId="67D4C2AA">
            <w:pPr>
              <w:jc w:val="right"/>
              <w:rPr>
                <w:rFonts w:eastAsia="楷体_GB2312"/>
                <w:sz w:val="18"/>
                <w:szCs w:val="21"/>
                <w:lang w:eastAsia="zh-CN"/>
              </w:rPr>
            </w:pPr>
          </w:p>
        </w:tc>
        <w:tc>
          <w:tcPr>
            <w:tcW w:w="0" w:type="auto"/>
            <w:noWrap/>
            <w:vAlign w:val="center"/>
          </w:tcPr>
          <w:p w14:paraId="683CDBD5">
            <w:pPr>
              <w:jc w:val="right"/>
              <w:rPr>
                <w:rFonts w:eastAsia="楷体_GB2312"/>
                <w:sz w:val="18"/>
                <w:szCs w:val="21"/>
                <w:lang w:eastAsia="zh-CN"/>
              </w:rPr>
            </w:pPr>
          </w:p>
        </w:tc>
        <w:tc>
          <w:tcPr>
            <w:tcW w:w="0" w:type="auto"/>
            <w:noWrap/>
            <w:vAlign w:val="center"/>
          </w:tcPr>
          <w:p w14:paraId="01CA5FB0">
            <w:pPr>
              <w:jc w:val="right"/>
              <w:rPr>
                <w:rFonts w:eastAsia="楷体_GB2312"/>
                <w:sz w:val="18"/>
                <w:szCs w:val="21"/>
                <w:lang w:eastAsia="zh-CN"/>
              </w:rPr>
            </w:pPr>
          </w:p>
        </w:tc>
        <w:tc>
          <w:tcPr>
            <w:tcW w:w="0" w:type="auto"/>
            <w:noWrap/>
            <w:vAlign w:val="center"/>
          </w:tcPr>
          <w:p w14:paraId="4BC5863A">
            <w:pPr>
              <w:jc w:val="right"/>
              <w:rPr>
                <w:rFonts w:eastAsia="楷体_GB2312"/>
                <w:sz w:val="18"/>
                <w:szCs w:val="21"/>
                <w:lang w:eastAsia="zh-CN"/>
              </w:rPr>
            </w:pPr>
          </w:p>
        </w:tc>
        <w:tc>
          <w:tcPr>
            <w:tcW w:w="0" w:type="auto"/>
            <w:noWrap/>
            <w:vAlign w:val="center"/>
          </w:tcPr>
          <w:p w14:paraId="73BB4E1D">
            <w:pPr>
              <w:jc w:val="right"/>
              <w:rPr>
                <w:rFonts w:eastAsia="楷体_GB2312"/>
                <w:sz w:val="18"/>
                <w:szCs w:val="21"/>
                <w:lang w:eastAsia="zh-CN"/>
              </w:rPr>
            </w:pPr>
          </w:p>
        </w:tc>
        <w:tc>
          <w:tcPr>
            <w:tcW w:w="0" w:type="auto"/>
            <w:noWrap/>
            <w:vAlign w:val="center"/>
          </w:tcPr>
          <w:p w14:paraId="73B0A6B8">
            <w:pPr>
              <w:jc w:val="right"/>
              <w:rPr>
                <w:rFonts w:eastAsia="楷体_GB2312"/>
                <w:sz w:val="18"/>
                <w:szCs w:val="21"/>
                <w:lang w:eastAsia="zh-CN"/>
              </w:rPr>
            </w:pPr>
          </w:p>
        </w:tc>
      </w:tr>
      <w:tr w14:paraId="0639D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524060C">
            <w:pPr>
              <w:jc w:val="center"/>
              <w:rPr>
                <w:rFonts w:eastAsia="楷体_GB2312"/>
                <w:b/>
                <w:bCs/>
                <w:sz w:val="18"/>
                <w:szCs w:val="21"/>
                <w:lang w:eastAsia="zh-CN"/>
              </w:rPr>
            </w:pPr>
          </w:p>
        </w:tc>
        <w:tc>
          <w:tcPr>
            <w:tcW w:w="0" w:type="auto"/>
            <w:noWrap/>
            <w:vAlign w:val="center"/>
          </w:tcPr>
          <w:p w14:paraId="2208A778">
            <w:pPr>
              <w:jc w:val="right"/>
              <w:rPr>
                <w:rFonts w:eastAsia="楷体_GB2312"/>
                <w:sz w:val="18"/>
                <w:szCs w:val="21"/>
                <w:lang w:eastAsia="zh-CN"/>
              </w:rPr>
            </w:pPr>
          </w:p>
        </w:tc>
        <w:tc>
          <w:tcPr>
            <w:tcW w:w="0" w:type="auto"/>
            <w:noWrap/>
            <w:vAlign w:val="center"/>
          </w:tcPr>
          <w:p w14:paraId="410D6768">
            <w:pPr>
              <w:jc w:val="right"/>
              <w:rPr>
                <w:rFonts w:eastAsia="楷体_GB2312"/>
                <w:sz w:val="18"/>
                <w:szCs w:val="21"/>
                <w:lang w:eastAsia="zh-CN"/>
              </w:rPr>
            </w:pPr>
          </w:p>
        </w:tc>
        <w:tc>
          <w:tcPr>
            <w:tcW w:w="0" w:type="auto"/>
            <w:noWrap/>
            <w:vAlign w:val="center"/>
          </w:tcPr>
          <w:p w14:paraId="3A44DF31">
            <w:pPr>
              <w:jc w:val="right"/>
              <w:rPr>
                <w:rFonts w:eastAsia="楷体_GB2312"/>
                <w:sz w:val="18"/>
                <w:szCs w:val="21"/>
                <w:lang w:eastAsia="zh-CN"/>
              </w:rPr>
            </w:pPr>
          </w:p>
        </w:tc>
        <w:tc>
          <w:tcPr>
            <w:tcW w:w="0" w:type="auto"/>
            <w:noWrap/>
            <w:vAlign w:val="center"/>
          </w:tcPr>
          <w:p w14:paraId="7F332F8B">
            <w:pPr>
              <w:jc w:val="right"/>
              <w:rPr>
                <w:rFonts w:eastAsia="楷体_GB2312"/>
                <w:sz w:val="18"/>
                <w:szCs w:val="21"/>
                <w:lang w:eastAsia="zh-CN"/>
              </w:rPr>
            </w:pPr>
          </w:p>
        </w:tc>
        <w:tc>
          <w:tcPr>
            <w:tcW w:w="0" w:type="auto"/>
            <w:noWrap/>
            <w:vAlign w:val="center"/>
          </w:tcPr>
          <w:p w14:paraId="69B3D20B">
            <w:pPr>
              <w:jc w:val="right"/>
              <w:rPr>
                <w:rFonts w:eastAsia="楷体_GB2312"/>
                <w:sz w:val="18"/>
                <w:szCs w:val="21"/>
                <w:lang w:eastAsia="zh-CN"/>
              </w:rPr>
            </w:pPr>
          </w:p>
        </w:tc>
        <w:tc>
          <w:tcPr>
            <w:tcW w:w="0" w:type="auto"/>
            <w:noWrap/>
            <w:vAlign w:val="center"/>
          </w:tcPr>
          <w:p w14:paraId="328DD53A">
            <w:pPr>
              <w:jc w:val="right"/>
              <w:rPr>
                <w:rFonts w:eastAsia="楷体_GB2312"/>
                <w:sz w:val="18"/>
                <w:szCs w:val="21"/>
                <w:lang w:eastAsia="zh-CN"/>
              </w:rPr>
            </w:pPr>
          </w:p>
        </w:tc>
      </w:tr>
      <w:tr w14:paraId="11053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73A3E346">
            <w:pPr>
              <w:jc w:val="center"/>
              <w:rPr>
                <w:rFonts w:eastAsia="楷体_GB2312"/>
                <w:b/>
                <w:bCs/>
                <w:sz w:val="18"/>
                <w:szCs w:val="21"/>
                <w:lang w:eastAsia="zh-CN"/>
              </w:rPr>
            </w:pPr>
          </w:p>
        </w:tc>
        <w:tc>
          <w:tcPr>
            <w:tcW w:w="0" w:type="auto"/>
            <w:noWrap/>
            <w:vAlign w:val="center"/>
          </w:tcPr>
          <w:p w14:paraId="7152FB99">
            <w:pPr>
              <w:jc w:val="right"/>
              <w:rPr>
                <w:rFonts w:eastAsia="楷体_GB2312"/>
                <w:sz w:val="18"/>
                <w:szCs w:val="21"/>
                <w:lang w:eastAsia="zh-CN"/>
              </w:rPr>
            </w:pPr>
          </w:p>
        </w:tc>
        <w:tc>
          <w:tcPr>
            <w:tcW w:w="0" w:type="auto"/>
            <w:noWrap/>
            <w:vAlign w:val="center"/>
          </w:tcPr>
          <w:p w14:paraId="178B1080">
            <w:pPr>
              <w:jc w:val="right"/>
              <w:rPr>
                <w:rFonts w:eastAsia="楷体_GB2312"/>
                <w:sz w:val="18"/>
                <w:szCs w:val="21"/>
                <w:lang w:eastAsia="zh-CN"/>
              </w:rPr>
            </w:pPr>
          </w:p>
        </w:tc>
        <w:tc>
          <w:tcPr>
            <w:tcW w:w="0" w:type="auto"/>
            <w:noWrap/>
            <w:vAlign w:val="center"/>
          </w:tcPr>
          <w:p w14:paraId="4D04B1FA">
            <w:pPr>
              <w:jc w:val="right"/>
              <w:rPr>
                <w:rFonts w:eastAsia="楷体_GB2312"/>
                <w:sz w:val="18"/>
                <w:szCs w:val="21"/>
                <w:lang w:eastAsia="zh-CN"/>
              </w:rPr>
            </w:pPr>
          </w:p>
        </w:tc>
        <w:tc>
          <w:tcPr>
            <w:tcW w:w="0" w:type="auto"/>
            <w:noWrap/>
            <w:vAlign w:val="center"/>
          </w:tcPr>
          <w:p w14:paraId="482C957E">
            <w:pPr>
              <w:jc w:val="right"/>
              <w:rPr>
                <w:rFonts w:eastAsia="楷体_GB2312"/>
                <w:sz w:val="18"/>
                <w:szCs w:val="21"/>
                <w:lang w:eastAsia="zh-CN"/>
              </w:rPr>
            </w:pPr>
          </w:p>
        </w:tc>
        <w:tc>
          <w:tcPr>
            <w:tcW w:w="0" w:type="auto"/>
            <w:noWrap/>
            <w:vAlign w:val="center"/>
          </w:tcPr>
          <w:p w14:paraId="716FDC29">
            <w:pPr>
              <w:jc w:val="right"/>
              <w:rPr>
                <w:rFonts w:eastAsia="楷体_GB2312"/>
                <w:sz w:val="18"/>
                <w:szCs w:val="21"/>
                <w:lang w:eastAsia="zh-CN"/>
              </w:rPr>
            </w:pPr>
          </w:p>
        </w:tc>
        <w:tc>
          <w:tcPr>
            <w:tcW w:w="0" w:type="auto"/>
            <w:noWrap/>
            <w:vAlign w:val="center"/>
          </w:tcPr>
          <w:p w14:paraId="6B5E057B">
            <w:pPr>
              <w:jc w:val="right"/>
              <w:rPr>
                <w:rFonts w:eastAsia="楷体_GB2312"/>
                <w:sz w:val="18"/>
                <w:szCs w:val="21"/>
                <w:lang w:eastAsia="zh-CN"/>
              </w:rPr>
            </w:pPr>
          </w:p>
        </w:tc>
      </w:tr>
      <w:tr w14:paraId="30C8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gridSpan w:val="7"/>
            <w:noWrap/>
            <w:vAlign w:val="center"/>
          </w:tcPr>
          <w:p w14:paraId="0F545187">
            <w:pPr>
              <w:rPr>
                <w:rFonts w:eastAsia="楷体_GB2312"/>
                <w:sz w:val="18"/>
                <w:szCs w:val="21"/>
                <w:lang w:eastAsia="zh-CN"/>
              </w:rPr>
            </w:pPr>
            <w:r>
              <w:rPr>
                <w:rFonts w:eastAsia="楷体_GB2312"/>
                <w:b/>
                <w:sz w:val="21"/>
                <w:szCs w:val="21"/>
                <w:lang w:eastAsia="zh-CN"/>
              </w:rPr>
              <w:t>（六）贷款合同期限分布</w:t>
            </w:r>
          </w:p>
        </w:tc>
      </w:tr>
      <w:tr w14:paraId="67FE3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38556CF">
            <w:pPr>
              <w:jc w:val="center"/>
              <w:rPr>
                <w:rFonts w:eastAsia="楷体_GB2312"/>
                <w:b/>
                <w:bCs/>
                <w:sz w:val="18"/>
                <w:szCs w:val="21"/>
                <w:lang w:eastAsia="zh-CN"/>
              </w:rPr>
            </w:pPr>
            <w:r>
              <w:rPr>
                <w:rFonts w:eastAsia="楷体_GB2312"/>
                <w:b/>
                <w:bCs/>
                <w:sz w:val="18"/>
                <w:szCs w:val="21"/>
              </w:rPr>
              <w:t>合同期限</w:t>
            </w:r>
          </w:p>
        </w:tc>
        <w:tc>
          <w:tcPr>
            <w:tcW w:w="0" w:type="auto"/>
            <w:noWrap/>
            <w:vAlign w:val="center"/>
          </w:tcPr>
          <w:p w14:paraId="7D5FF2DA">
            <w:pPr>
              <w:jc w:val="center"/>
              <w:rPr>
                <w:rFonts w:eastAsia="楷体_GB2312"/>
                <w:sz w:val="18"/>
                <w:szCs w:val="21"/>
                <w:lang w:eastAsia="zh-CN"/>
              </w:rPr>
            </w:pPr>
            <w:r>
              <w:rPr>
                <w:rFonts w:eastAsia="楷体_GB2312"/>
                <w:b/>
                <w:bCs/>
                <w:sz w:val="18"/>
                <w:szCs w:val="18"/>
                <w:lang w:eastAsia="zh-CN"/>
              </w:rPr>
              <w:t>贷款笔数</w:t>
            </w:r>
          </w:p>
        </w:tc>
        <w:tc>
          <w:tcPr>
            <w:tcW w:w="0" w:type="auto"/>
            <w:noWrap/>
            <w:vAlign w:val="center"/>
          </w:tcPr>
          <w:p w14:paraId="64F4831D">
            <w:pPr>
              <w:jc w:val="center"/>
              <w:rPr>
                <w:rFonts w:eastAsia="楷体_GB2312"/>
                <w:sz w:val="18"/>
                <w:szCs w:val="21"/>
                <w:lang w:eastAsia="zh-CN"/>
              </w:rPr>
            </w:pPr>
            <w:r>
              <w:rPr>
                <w:rFonts w:eastAsia="楷体_GB2312"/>
                <w:b/>
                <w:bCs/>
                <w:sz w:val="18"/>
                <w:szCs w:val="18"/>
              </w:rPr>
              <w:t>占比(%)</w:t>
            </w:r>
          </w:p>
        </w:tc>
        <w:tc>
          <w:tcPr>
            <w:tcW w:w="0" w:type="auto"/>
            <w:noWrap/>
            <w:vAlign w:val="center"/>
          </w:tcPr>
          <w:p w14:paraId="1356DB5C">
            <w:pPr>
              <w:jc w:val="center"/>
              <w:rPr>
                <w:rFonts w:eastAsia="楷体_GB2312"/>
                <w:sz w:val="18"/>
                <w:szCs w:val="21"/>
                <w:lang w:eastAsia="zh-CN"/>
              </w:rPr>
            </w:pPr>
            <w:r>
              <w:rPr>
                <w:rFonts w:eastAsia="楷体_GB2312"/>
                <w:b/>
                <w:bCs/>
                <w:sz w:val="18"/>
                <w:szCs w:val="18"/>
                <w:lang w:eastAsia="zh-CN"/>
              </w:rPr>
              <w:t>初始本金余额(元)</w:t>
            </w:r>
          </w:p>
        </w:tc>
        <w:tc>
          <w:tcPr>
            <w:tcW w:w="0" w:type="auto"/>
            <w:noWrap/>
            <w:vAlign w:val="center"/>
          </w:tcPr>
          <w:p w14:paraId="062A1A83">
            <w:pPr>
              <w:jc w:val="center"/>
              <w:rPr>
                <w:rFonts w:eastAsia="楷体_GB2312"/>
                <w:sz w:val="18"/>
                <w:szCs w:val="21"/>
                <w:lang w:eastAsia="zh-CN"/>
              </w:rPr>
            </w:pPr>
            <w:r>
              <w:rPr>
                <w:rFonts w:eastAsia="楷体_GB2312"/>
                <w:b/>
                <w:bCs/>
                <w:sz w:val="18"/>
                <w:szCs w:val="18"/>
              </w:rPr>
              <w:t>占比(%)</w:t>
            </w:r>
          </w:p>
        </w:tc>
        <w:tc>
          <w:tcPr>
            <w:tcW w:w="0" w:type="auto"/>
            <w:noWrap/>
            <w:vAlign w:val="center"/>
          </w:tcPr>
          <w:p w14:paraId="1847CF03">
            <w:pPr>
              <w:jc w:val="center"/>
              <w:rPr>
                <w:rFonts w:eastAsia="楷体_GB2312"/>
                <w:sz w:val="18"/>
                <w:szCs w:val="21"/>
                <w:lang w:eastAsia="zh-CN"/>
              </w:rPr>
            </w:pPr>
            <w:r>
              <w:rPr>
                <w:rFonts w:eastAsia="楷体_GB2312"/>
                <w:b/>
                <w:bCs/>
                <w:sz w:val="18"/>
                <w:szCs w:val="18"/>
                <w:lang w:eastAsia="zh-CN"/>
              </w:rPr>
              <w:t>未偿本金余额(元)</w:t>
            </w:r>
          </w:p>
        </w:tc>
        <w:tc>
          <w:tcPr>
            <w:tcW w:w="0" w:type="auto"/>
            <w:noWrap/>
            <w:vAlign w:val="center"/>
          </w:tcPr>
          <w:p w14:paraId="15DD5B24">
            <w:pPr>
              <w:jc w:val="center"/>
              <w:rPr>
                <w:rFonts w:eastAsia="楷体_GB2312"/>
                <w:sz w:val="18"/>
                <w:szCs w:val="21"/>
                <w:lang w:eastAsia="zh-CN"/>
              </w:rPr>
            </w:pPr>
            <w:r>
              <w:rPr>
                <w:rFonts w:eastAsia="楷体_GB2312"/>
                <w:b/>
                <w:bCs/>
                <w:sz w:val="18"/>
                <w:szCs w:val="18"/>
              </w:rPr>
              <w:t>占比(%)</w:t>
            </w:r>
          </w:p>
        </w:tc>
      </w:tr>
      <w:tr w14:paraId="0863E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FB59C6D">
            <w:pPr>
              <w:jc w:val="center"/>
              <w:rPr>
                <w:rFonts w:eastAsia="楷体_GB2312"/>
                <w:b/>
                <w:bCs/>
                <w:sz w:val="18"/>
                <w:szCs w:val="21"/>
                <w:lang w:eastAsia="zh-CN"/>
              </w:rPr>
            </w:pPr>
          </w:p>
        </w:tc>
        <w:tc>
          <w:tcPr>
            <w:tcW w:w="0" w:type="auto"/>
            <w:noWrap/>
            <w:vAlign w:val="center"/>
          </w:tcPr>
          <w:p w14:paraId="153ED7B1">
            <w:pPr>
              <w:jc w:val="right"/>
              <w:rPr>
                <w:rFonts w:eastAsia="楷体_GB2312"/>
                <w:sz w:val="18"/>
                <w:szCs w:val="21"/>
                <w:lang w:eastAsia="zh-CN"/>
              </w:rPr>
            </w:pPr>
          </w:p>
        </w:tc>
        <w:tc>
          <w:tcPr>
            <w:tcW w:w="0" w:type="auto"/>
            <w:noWrap/>
            <w:vAlign w:val="center"/>
          </w:tcPr>
          <w:p w14:paraId="26E56FD4">
            <w:pPr>
              <w:jc w:val="right"/>
              <w:rPr>
                <w:rFonts w:eastAsia="楷体_GB2312"/>
                <w:sz w:val="18"/>
                <w:szCs w:val="21"/>
                <w:lang w:eastAsia="zh-CN"/>
              </w:rPr>
            </w:pPr>
          </w:p>
        </w:tc>
        <w:tc>
          <w:tcPr>
            <w:tcW w:w="0" w:type="auto"/>
            <w:noWrap/>
            <w:vAlign w:val="center"/>
          </w:tcPr>
          <w:p w14:paraId="4AFFD947">
            <w:pPr>
              <w:jc w:val="right"/>
              <w:rPr>
                <w:rFonts w:eastAsia="楷体_GB2312"/>
                <w:sz w:val="18"/>
                <w:szCs w:val="21"/>
                <w:lang w:eastAsia="zh-CN"/>
              </w:rPr>
            </w:pPr>
          </w:p>
        </w:tc>
        <w:tc>
          <w:tcPr>
            <w:tcW w:w="0" w:type="auto"/>
            <w:noWrap/>
            <w:vAlign w:val="center"/>
          </w:tcPr>
          <w:p w14:paraId="543F5AA6">
            <w:pPr>
              <w:jc w:val="right"/>
              <w:rPr>
                <w:rFonts w:eastAsia="楷体_GB2312"/>
                <w:sz w:val="18"/>
                <w:szCs w:val="21"/>
                <w:lang w:eastAsia="zh-CN"/>
              </w:rPr>
            </w:pPr>
          </w:p>
        </w:tc>
        <w:tc>
          <w:tcPr>
            <w:tcW w:w="0" w:type="auto"/>
            <w:noWrap/>
            <w:vAlign w:val="center"/>
          </w:tcPr>
          <w:p w14:paraId="1D8574B0">
            <w:pPr>
              <w:jc w:val="right"/>
              <w:rPr>
                <w:rFonts w:eastAsia="楷体_GB2312"/>
                <w:sz w:val="18"/>
                <w:szCs w:val="21"/>
                <w:lang w:eastAsia="zh-CN"/>
              </w:rPr>
            </w:pPr>
          </w:p>
        </w:tc>
        <w:tc>
          <w:tcPr>
            <w:tcW w:w="0" w:type="auto"/>
            <w:noWrap/>
            <w:vAlign w:val="center"/>
          </w:tcPr>
          <w:p w14:paraId="23DA4A5F">
            <w:pPr>
              <w:jc w:val="right"/>
              <w:rPr>
                <w:rFonts w:eastAsia="楷体_GB2312"/>
                <w:sz w:val="18"/>
                <w:szCs w:val="21"/>
                <w:lang w:eastAsia="zh-CN"/>
              </w:rPr>
            </w:pPr>
          </w:p>
        </w:tc>
      </w:tr>
      <w:tr w14:paraId="0AE08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7CBFF76F">
            <w:pPr>
              <w:jc w:val="center"/>
              <w:rPr>
                <w:rFonts w:eastAsia="楷体_GB2312"/>
                <w:b/>
                <w:bCs/>
                <w:sz w:val="18"/>
                <w:szCs w:val="21"/>
                <w:lang w:eastAsia="zh-CN"/>
              </w:rPr>
            </w:pPr>
          </w:p>
        </w:tc>
        <w:tc>
          <w:tcPr>
            <w:tcW w:w="0" w:type="auto"/>
            <w:noWrap/>
            <w:vAlign w:val="center"/>
          </w:tcPr>
          <w:p w14:paraId="6B8463F8">
            <w:pPr>
              <w:jc w:val="right"/>
              <w:rPr>
                <w:rFonts w:eastAsia="楷体_GB2312"/>
                <w:sz w:val="18"/>
                <w:szCs w:val="21"/>
                <w:lang w:eastAsia="zh-CN"/>
              </w:rPr>
            </w:pPr>
          </w:p>
        </w:tc>
        <w:tc>
          <w:tcPr>
            <w:tcW w:w="0" w:type="auto"/>
            <w:noWrap/>
            <w:vAlign w:val="center"/>
          </w:tcPr>
          <w:p w14:paraId="50FC0AAB">
            <w:pPr>
              <w:jc w:val="right"/>
              <w:rPr>
                <w:rFonts w:eastAsia="楷体_GB2312"/>
                <w:sz w:val="18"/>
                <w:szCs w:val="21"/>
                <w:lang w:eastAsia="zh-CN"/>
              </w:rPr>
            </w:pPr>
          </w:p>
        </w:tc>
        <w:tc>
          <w:tcPr>
            <w:tcW w:w="0" w:type="auto"/>
            <w:noWrap/>
            <w:vAlign w:val="center"/>
          </w:tcPr>
          <w:p w14:paraId="70321969">
            <w:pPr>
              <w:jc w:val="right"/>
              <w:rPr>
                <w:rFonts w:eastAsia="楷体_GB2312"/>
                <w:sz w:val="18"/>
                <w:szCs w:val="21"/>
                <w:lang w:eastAsia="zh-CN"/>
              </w:rPr>
            </w:pPr>
          </w:p>
        </w:tc>
        <w:tc>
          <w:tcPr>
            <w:tcW w:w="0" w:type="auto"/>
            <w:noWrap/>
            <w:vAlign w:val="center"/>
          </w:tcPr>
          <w:p w14:paraId="4D05C270">
            <w:pPr>
              <w:jc w:val="right"/>
              <w:rPr>
                <w:rFonts w:eastAsia="楷体_GB2312"/>
                <w:sz w:val="18"/>
                <w:szCs w:val="21"/>
                <w:lang w:eastAsia="zh-CN"/>
              </w:rPr>
            </w:pPr>
          </w:p>
        </w:tc>
        <w:tc>
          <w:tcPr>
            <w:tcW w:w="0" w:type="auto"/>
            <w:noWrap/>
            <w:vAlign w:val="center"/>
          </w:tcPr>
          <w:p w14:paraId="71010EBD">
            <w:pPr>
              <w:jc w:val="right"/>
              <w:rPr>
                <w:rFonts w:eastAsia="楷体_GB2312"/>
                <w:sz w:val="18"/>
                <w:szCs w:val="21"/>
                <w:lang w:eastAsia="zh-CN"/>
              </w:rPr>
            </w:pPr>
          </w:p>
        </w:tc>
        <w:tc>
          <w:tcPr>
            <w:tcW w:w="0" w:type="auto"/>
            <w:noWrap/>
            <w:vAlign w:val="center"/>
          </w:tcPr>
          <w:p w14:paraId="509F5083">
            <w:pPr>
              <w:jc w:val="right"/>
              <w:rPr>
                <w:rFonts w:eastAsia="楷体_GB2312"/>
                <w:sz w:val="18"/>
                <w:szCs w:val="21"/>
                <w:lang w:eastAsia="zh-CN"/>
              </w:rPr>
            </w:pPr>
          </w:p>
        </w:tc>
      </w:tr>
      <w:tr w14:paraId="3C780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61ED5CAB">
            <w:pPr>
              <w:jc w:val="center"/>
              <w:rPr>
                <w:rFonts w:eastAsia="楷体_GB2312"/>
                <w:b/>
                <w:bCs/>
                <w:sz w:val="18"/>
                <w:szCs w:val="21"/>
                <w:lang w:eastAsia="zh-CN"/>
              </w:rPr>
            </w:pPr>
          </w:p>
        </w:tc>
        <w:tc>
          <w:tcPr>
            <w:tcW w:w="0" w:type="auto"/>
            <w:noWrap/>
            <w:vAlign w:val="center"/>
          </w:tcPr>
          <w:p w14:paraId="6A08F1CC">
            <w:pPr>
              <w:jc w:val="right"/>
              <w:rPr>
                <w:rFonts w:eastAsia="楷体_GB2312"/>
                <w:sz w:val="18"/>
                <w:szCs w:val="21"/>
                <w:lang w:eastAsia="zh-CN"/>
              </w:rPr>
            </w:pPr>
          </w:p>
        </w:tc>
        <w:tc>
          <w:tcPr>
            <w:tcW w:w="0" w:type="auto"/>
            <w:noWrap/>
            <w:vAlign w:val="center"/>
          </w:tcPr>
          <w:p w14:paraId="74310B9A">
            <w:pPr>
              <w:jc w:val="right"/>
              <w:rPr>
                <w:rFonts w:eastAsia="楷体_GB2312"/>
                <w:sz w:val="18"/>
                <w:szCs w:val="21"/>
                <w:lang w:eastAsia="zh-CN"/>
              </w:rPr>
            </w:pPr>
          </w:p>
        </w:tc>
        <w:tc>
          <w:tcPr>
            <w:tcW w:w="0" w:type="auto"/>
            <w:noWrap/>
            <w:vAlign w:val="center"/>
          </w:tcPr>
          <w:p w14:paraId="189713C0">
            <w:pPr>
              <w:jc w:val="right"/>
              <w:rPr>
                <w:rFonts w:eastAsia="楷体_GB2312"/>
                <w:sz w:val="18"/>
                <w:szCs w:val="21"/>
                <w:lang w:eastAsia="zh-CN"/>
              </w:rPr>
            </w:pPr>
          </w:p>
        </w:tc>
        <w:tc>
          <w:tcPr>
            <w:tcW w:w="0" w:type="auto"/>
            <w:noWrap/>
            <w:vAlign w:val="center"/>
          </w:tcPr>
          <w:p w14:paraId="76DD6984">
            <w:pPr>
              <w:jc w:val="right"/>
              <w:rPr>
                <w:rFonts w:eastAsia="楷体_GB2312"/>
                <w:sz w:val="18"/>
                <w:szCs w:val="21"/>
                <w:lang w:eastAsia="zh-CN"/>
              </w:rPr>
            </w:pPr>
          </w:p>
        </w:tc>
        <w:tc>
          <w:tcPr>
            <w:tcW w:w="0" w:type="auto"/>
            <w:noWrap/>
            <w:vAlign w:val="center"/>
          </w:tcPr>
          <w:p w14:paraId="2725D2B5">
            <w:pPr>
              <w:jc w:val="right"/>
              <w:rPr>
                <w:rFonts w:eastAsia="楷体_GB2312"/>
                <w:sz w:val="18"/>
                <w:szCs w:val="21"/>
                <w:lang w:eastAsia="zh-CN"/>
              </w:rPr>
            </w:pPr>
          </w:p>
        </w:tc>
        <w:tc>
          <w:tcPr>
            <w:tcW w:w="0" w:type="auto"/>
            <w:noWrap/>
            <w:vAlign w:val="center"/>
          </w:tcPr>
          <w:p w14:paraId="71113701">
            <w:pPr>
              <w:jc w:val="right"/>
              <w:rPr>
                <w:rFonts w:eastAsia="楷体_GB2312"/>
                <w:sz w:val="18"/>
                <w:szCs w:val="21"/>
                <w:lang w:eastAsia="zh-CN"/>
              </w:rPr>
            </w:pPr>
          </w:p>
        </w:tc>
      </w:tr>
      <w:tr w14:paraId="348B6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gridSpan w:val="7"/>
            <w:noWrap/>
          </w:tcPr>
          <w:p w14:paraId="637C59BC">
            <w:pPr>
              <w:jc w:val="both"/>
              <w:rPr>
                <w:rFonts w:eastAsia="楷体_GB2312"/>
                <w:sz w:val="18"/>
                <w:szCs w:val="21"/>
                <w:lang w:eastAsia="zh-CN"/>
              </w:rPr>
            </w:pPr>
            <w:r>
              <w:rPr>
                <w:rFonts w:eastAsia="楷体_GB2312"/>
                <w:b/>
                <w:sz w:val="21"/>
                <w:szCs w:val="21"/>
                <w:lang w:eastAsia="zh-CN"/>
              </w:rPr>
              <w:t>（七）贷款账龄分布</w:t>
            </w:r>
          </w:p>
        </w:tc>
      </w:tr>
      <w:tr w14:paraId="70C49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639E2394">
            <w:pPr>
              <w:jc w:val="center"/>
              <w:rPr>
                <w:rFonts w:eastAsia="楷体_GB2312"/>
                <w:b/>
                <w:bCs/>
                <w:sz w:val="18"/>
                <w:szCs w:val="18"/>
              </w:rPr>
            </w:pPr>
            <w:r>
              <w:rPr>
                <w:rFonts w:eastAsia="楷体_GB2312"/>
                <w:b/>
                <w:bCs/>
                <w:sz w:val="18"/>
                <w:szCs w:val="18"/>
              </w:rPr>
              <w:t>账龄</w:t>
            </w:r>
          </w:p>
        </w:tc>
        <w:tc>
          <w:tcPr>
            <w:tcW w:w="0" w:type="auto"/>
            <w:noWrap/>
            <w:vAlign w:val="center"/>
          </w:tcPr>
          <w:p w14:paraId="44C7E0D9">
            <w:pPr>
              <w:jc w:val="right"/>
              <w:rPr>
                <w:rFonts w:eastAsia="楷体_GB2312"/>
                <w:b/>
                <w:bCs/>
                <w:sz w:val="18"/>
                <w:szCs w:val="18"/>
              </w:rPr>
            </w:pPr>
            <w:r>
              <w:rPr>
                <w:rFonts w:eastAsia="楷体_GB2312"/>
                <w:b/>
                <w:bCs/>
                <w:sz w:val="18"/>
                <w:szCs w:val="18"/>
                <w:lang w:eastAsia="zh-CN"/>
              </w:rPr>
              <w:t>贷款笔数</w:t>
            </w:r>
          </w:p>
        </w:tc>
        <w:tc>
          <w:tcPr>
            <w:tcW w:w="0" w:type="auto"/>
            <w:noWrap/>
            <w:vAlign w:val="center"/>
          </w:tcPr>
          <w:p w14:paraId="4309B6E1">
            <w:pPr>
              <w:jc w:val="right"/>
              <w:rPr>
                <w:rFonts w:eastAsia="楷体_GB2312"/>
                <w:b/>
                <w:bCs/>
                <w:sz w:val="18"/>
                <w:szCs w:val="18"/>
              </w:rPr>
            </w:pPr>
            <w:r>
              <w:rPr>
                <w:rFonts w:eastAsia="楷体_GB2312"/>
                <w:b/>
                <w:bCs/>
                <w:sz w:val="18"/>
                <w:szCs w:val="18"/>
              </w:rPr>
              <w:t>占比(%)</w:t>
            </w:r>
          </w:p>
        </w:tc>
        <w:tc>
          <w:tcPr>
            <w:tcW w:w="0" w:type="auto"/>
            <w:noWrap/>
            <w:vAlign w:val="center"/>
          </w:tcPr>
          <w:p w14:paraId="66B9AB9B">
            <w:pPr>
              <w:jc w:val="center"/>
              <w:rPr>
                <w:rFonts w:eastAsia="楷体_GB2312"/>
                <w:b/>
                <w:bCs/>
                <w:sz w:val="18"/>
                <w:szCs w:val="18"/>
              </w:rPr>
            </w:pPr>
            <w:r>
              <w:rPr>
                <w:rFonts w:eastAsia="楷体_GB2312"/>
                <w:b/>
                <w:bCs/>
                <w:sz w:val="18"/>
                <w:szCs w:val="18"/>
                <w:lang w:eastAsia="zh-CN"/>
              </w:rPr>
              <w:t>初始本金余额(元)</w:t>
            </w:r>
          </w:p>
        </w:tc>
        <w:tc>
          <w:tcPr>
            <w:tcW w:w="0" w:type="auto"/>
            <w:noWrap/>
            <w:vAlign w:val="center"/>
          </w:tcPr>
          <w:p w14:paraId="7BF9394A">
            <w:pPr>
              <w:jc w:val="right"/>
              <w:rPr>
                <w:rFonts w:eastAsia="楷体_GB2312"/>
                <w:sz w:val="18"/>
                <w:szCs w:val="21"/>
                <w:lang w:eastAsia="zh-CN"/>
              </w:rPr>
            </w:pPr>
            <w:r>
              <w:rPr>
                <w:rFonts w:eastAsia="楷体_GB2312"/>
                <w:b/>
                <w:bCs/>
                <w:sz w:val="18"/>
                <w:szCs w:val="18"/>
              </w:rPr>
              <w:t>占比(%)</w:t>
            </w:r>
          </w:p>
        </w:tc>
        <w:tc>
          <w:tcPr>
            <w:tcW w:w="0" w:type="auto"/>
            <w:noWrap/>
            <w:vAlign w:val="center"/>
          </w:tcPr>
          <w:p w14:paraId="2317BFE0">
            <w:pPr>
              <w:jc w:val="center"/>
              <w:rPr>
                <w:rFonts w:eastAsia="楷体_GB2312"/>
                <w:sz w:val="18"/>
                <w:szCs w:val="21"/>
                <w:lang w:eastAsia="zh-CN"/>
              </w:rPr>
            </w:pPr>
            <w:r>
              <w:rPr>
                <w:rFonts w:eastAsia="楷体_GB2312"/>
                <w:b/>
                <w:bCs/>
                <w:sz w:val="18"/>
                <w:szCs w:val="18"/>
                <w:lang w:eastAsia="zh-CN"/>
              </w:rPr>
              <w:t>未偿本金余额(元)</w:t>
            </w:r>
          </w:p>
        </w:tc>
        <w:tc>
          <w:tcPr>
            <w:tcW w:w="0" w:type="auto"/>
            <w:noWrap/>
            <w:vAlign w:val="center"/>
          </w:tcPr>
          <w:p w14:paraId="6128AEBE">
            <w:pPr>
              <w:jc w:val="right"/>
              <w:rPr>
                <w:rFonts w:eastAsia="楷体_GB2312"/>
                <w:sz w:val="18"/>
                <w:szCs w:val="21"/>
                <w:lang w:eastAsia="zh-CN"/>
              </w:rPr>
            </w:pPr>
            <w:r>
              <w:rPr>
                <w:rFonts w:eastAsia="楷体_GB2312"/>
                <w:b/>
                <w:bCs/>
                <w:sz w:val="18"/>
                <w:szCs w:val="18"/>
              </w:rPr>
              <w:t>占比(%)</w:t>
            </w:r>
          </w:p>
        </w:tc>
      </w:tr>
      <w:tr w14:paraId="4491F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41A056FB">
            <w:pPr>
              <w:jc w:val="both"/>
              <w:rPr>
                <w:rFonts w:eastAsia="楷体_GB2312"/>
                <w:b/>
                <w:bCs/>
                <w:sz w:val="18"/>
                <w:szCs w:val="18"/>
              </w:rPr>
            </w:pPr>
          </w:p>
        </w:tc>
        <w:tc>
          <w:tcPr>
            <w:tcW w:w="0" w:type="auto"/>
            <w:noWrap/>
            <w:vAlign w:val="center"/>
          </w:tcPr>
          <w:p w14:paraId="3F35A596">
            <w:pPr>
              <w:jc w:val="right"/>
              <w:rPr>
                <w:rFonts w:eastAsia="楷体_GB2312"/>
                <w:b/>
                <w:bCs/>
                <w:sz w:val="18"/>
                <w:szCs w:val="18"/>
              </w:rPr>
            </w:pPr>
          </w:p>
        </w:tc>
        <w:tc>
          <w:tcPr>
            <w:tcW w:w="0" w:type="auto"/>
            <w:noWrap/>
            <w:vAlign w:val="center"/>
          </w:tcPr>
          <w:p w14:paraId="081E537F">
            <w:pPr>
              <w:jc w:val="right"/>
              <w:rPr>
                <w:rFonts w:eastAsia="楷体_GB2312"/>
                <w:b/>
                <w:bCs/>
                <w:sz w:val="18"/>
                <w:szCs w:val="18"/>
              </w:rPr>
            </w:pPr>
          </w:p>
        </w:tc>
        <w:tc>
          <w:tcPr>
            <w:tcW w:w="0" w:type="auto"/>
            <w:noWrap/>
            <w:vAlign w:val="center"/>
          </w:tcPr>
          <w:p w14:paraId="0E75E71D">
            <w:pPr>
              <w:jc w:val="right"/>
              <w:rPr>
                <w:rFonts w:eastAsia="楷体_GB2312"/>
                <w:b/>
                <w:bCs/>
                <w:sz w:val="18"/>
                <w:szCs w:val="18"/>
              </w:rPr>
            </w:pPr>
          </w:p>
        </w:tc>
        <w:tc>
          <w:tcPr>
            <w:tcW w:w="0" w:type="auto"/>
            <w:noWrap/>
            <w:vAlign w:val="center"/>
          </w:tcPr>
          <w:p w14:paraId="5C2FEAF2">
            <w:pPr>
              <w:jc w:val="right"/>
              <w:rPr>
                <w:rFonts w:eastAsia="楷体_GB2312"/>
                <w:b/>
                <w:bCs/>
                <w:sz w:val="18"/>
                <w:szCs w:val="18"/>
              </w:rPr>
            </w:pPr>
          </w:p>
        </w:tc>
        <w:tc>
          <w:tcPr>
            <w:tcW w:w="0" w:type="auto"/>
            <w:noWrap/>
            <w:vAlign w:val="center"/>
          </w:tcPr>
          <w:p w14:paraId="35553496">
            <w:pPr>
              <w:jc w:val="right"/>
              <w:rPr>
                <w:rFonts w:eastAsia="楷体_GB2312"/>
                <w:b/>
                <w:bCs/>
                <w:sz w:val="18"/>
                <w:szCs w:val="18"/>
              </w:rPr>
            </w:pPr>
          </w:p>
        </w:tc>
        <w:tc>
          <w:tcPr>
            <w:tcW w:w="0" w:type="auto"/>
            <w:noWrap/>
            <w:vAlign w:val="center"/>
          </w:tcPr>
          <w:p w14:paraId="20CF1CD6">
            <w:pPr>
              <w:jc w:val="right"/>
              <w:rPr>
                <w:rFonts w:eastAsia="楷体_GB2312"/>
                <w:b/>
                <w:bCs/>
                <w:sz w:val="18"/>
                <w:szCs w:val="18"/>
              </w:rPr>
            </w:pPr>
          </w:p>
        </w:tc>
      </w:tr>
      <w:tr w14:paraId="5E9EE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E97BABD">
            <w:pPr>
              <w:jc w:val="both"/>
              <w:rPr>
                <w:rFonts w:eastAsia="楷体_GB2312"/>
                <w:sz w:val="18"/>
                <w:szCs w:val="18"/>
                <w:lang w:eastAsia="zh-CN"/>
              </w:rPr>
            </w:pPr>
          </w:p>
        </w:tc>
        <w:tc>
          <w:tcPr>
            <w:tcW w:w="0" w:type="auto"/>
            <w:noWrap/>
            <w:vAlign w:val="center"/>
          </w:tcPr>
          <w:p w14:paraId="0DE3C2D9">
            <w:pPr>
              <w:jc w:val="right"/>
              <w:rPr>
                <w:rFonts w:eastAsia="楷体_GB2312"/>
                <w:b/>
                <w:bCs/>
                <w:sz w:val="18"/>
                <w:szCs w:val="18"/>
              </w:rPr>
            </w:pPr>
          </w:p>
        </w:tc>
        <w:tc>
          <w:tcPr>
            <w:tcW w:w="0" w:type="auto"/>
            <w:noWrap/>
            <w:vAlign w:val="center"/>
          </w:tcPr>
          <w:p w14:paraId="75B6BEAB">
            <w:pPr>
              <w:jc w:val="right"/>
              <w:rPr>
                <w:rFonts w:eastAsia="楷体_GB2312"/>
                <w:b/>
                <w:bCs/>
                <w:sz w:val="18"/>
                <w:szCs w:val="18"/>
              </w:rPr>
            </w:pPr>
          </w:p>
        </w:tc>
        <w:tc>
          <w:tcPr>
            <w:tcW w:w="0" w:type="auto"/>
            <w:noWrap/>
            <w:vAlign w:val="center"/>
          </w:tcPr>
          <w:p w14:paraId="7EBD9D07">
            <w:pPr>
              <w:jc w:val="right"/>
              <w:rPr>
                <w:rFonts w:eastAsia="楷体_GB2312"/>
                <w:b/>
                <w:bCs/>
                <w:sz w:val="18"/>
                <w:szCs w:val="18"/>
              </w:rPr>
            </w:pPr>
          </w:p>
        </w:tc>
        <w:tc>
          <w:tcPr>
            <w:tcW w:w="0" w:type="auto"/>
            <w:noWrap/>
            <w:vAlign w:val="center"/>
          </w:tcPr>
          <w:p w14:paraId="4B3E1FEF">
            <w:pPr>
              <w:jc w:val="right"/>
              <w:rPr>
                <w:rFonts w:eastAsia="楷体_GB2312"/>
                <w:b/>
                <w:bCs/>
                <w:sz w:val="18"/>
                <w:szCs w:val="18"/>
              </w:rPr>
            </w:pPr>
          </w:p>
        </w:tc>
        <w:tc>
          <w:tcPr>
            <w:tcW w:w="0" w:type="auto"/>
            <w:noWrap/>
            <w:vAlign w:val="center"/>
          </w:tcPr>
          <w:p w14:paraId="295C008C">
            <w:pPr>
              <w:jc w:val="right"/>
              <w:rPr>
                <w:rFonts w:eastAsia="楷体_GB2312"/>
                <w:b/>
                <w:bCs/>
                <w:sz w:val="18"/>
                <w:szCs w:val="18"/>
              </w:rPr>
            </w:pPr>
          </w:p>
        </w:tc>
        <w:tc>
          <w:tcPr>
            <w:tcW w:w="0" w:type="auto"/>
            <w:noWrap/>
            <w:vAlign w:val="center"/>
          </w:tcPr>
          <w:p w14:paraId="498DC3D7">
            <w:pPr>
              <w:jc w:val="right"/>
              <w:rPr>
                <w:rFonts w:eastAsia="楷体_GB2312"/>
                <w:b/>
                <w:bCs/>
                <w:sz w:val="18"/>
                <w:szCs w:val="18"/>
              </w:rPr>
            </w:pPr>
          </w:p>
        </w:tc>
      </w:tr>
      <w:tr w14:paraId="5124F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0E2A305">
            <w:pPr>
              <w:jc w:val="both"/>
              <w:rPr>
                <w:rFonts w:eastAsia="楷体_GB2312"/>
                <w:sz w:val="18"/>
                <w:szCs w:val="18"/>
                <w:lang w:eastAsia="zh-CN"/>
              </w:rPr>
            </w:pPr>
          </w:p>
        </w:tc>
        <w:tc>
          <w:tcPr>
            <w:tcW w:w="0" w:type="auto"/>
            <w:noWrap/>
            <w:vAlign w:val="center"/>
          </w:tcPr>
          <w:p w14:paraId="6194BD79">
            <w:pPr>
              <w:jc w:val="right"/>
              <w:rPr>
                <w:rFonts w:eastAsia="楷体_GB2312"/>
                <w:b/>
                <w:bCs/>
                <w:sz w:val="18"/>
                <w:szCs w:val="18"/>
              </w:rPr>
            </w:pPr>
          </w:p>
        </w:tc>
        <w:tc>
          <w:tcPr>
            <w:tcW w:w="0" w:type="auto"/>
            <w:noWrap/>
            <w:vAlign w:val="center"/>
          </w:tcPr>
          <w:p w14:paraId="2235AFD0">
            <w:pPr>
              <w:jc w:val="right"/>
              <w:rPr>
                <w:rFonts w:eastAsia="楷体_GB2312"/>
                <w:b/>
                <w:bCs/>
                <w:sz w:val="18"/>
                <w:szCs w:val="18"/>
              </w:rPr>
            </w:pPr>
          </w:p>
        </w:tc>
        <w:tc>
          <w:tcPr>
            <w:tcW w:w="0" w:type="auto"/>
            <w:noWrap/>
            <w:vAlign w:val="center"/>
          </w:tcPr>
          <w:p w14:paraId="00A684C6">
            <w:pPr>
              <w:jc w:val="right"/>
              <w:rPr>
                <w:rFonts w:eastAsia="楷体_GB2312"/>
                <w:b/>
                <w:bCs/>
                <w:sz w:val="18"/>
                <w:szCs w:val="18"/>
              </w:rPr>
            </w:pPr>
          </w:p>
        </w:tc>
        <w:tc>
          <w:tcPr>
            <w:tcW w:w="0" w:type="auto"/>
            <w:noWrap/>
            <w:vAlign w:val="center"/>
          </w:tcPr>
          <w:p w14:paraId="0F405AFA">
            <w:pPr>
              <w:jc w:val="right"/>
              <w:rPr>
                <w:rFonts w:eastAsia="楷体_GB2312"/>
                <w:b/>
                <w:bCs/>
                <w:sz w:val="18"/>
                <w:szCs w:val="18"/>
              </w:rPr>
            </w:pPr>
          </w:p>
        </w:tc>
        <w:tc>
          <w:tcPr>
            <w:tcW w:w="0" w:type="auto"/>
            <w:noWrap/>
            <w:vAlign w:val="center"/>
          </w:tcPr>
          <w:p w14:paraId="32EEE165">
            <w:pPr>
              <w:jc w:val="right"/>
              <w:rPr>
                <w:rFonts w:eastAsia="楷体_GB2312"/>
                <w:b/>
                <w:bCs/>
                <w:sz w:val="18"/>
                <w:szCs w:val="18"/>
              </w:rPr>
            </w:pPr>
          </w:p>
        </w:tc>
        <w:tc>
          <w:tcPr>
            <w:tcW w:w="0" w:type="auto"/>
            <w:noWrap/>
            <w:vAlign w:val="center"/>
          </w:tcPr>
          <w:p w14:paraId="1149A3FE">
            <w:pPr>
              <w:jc w:val="right"/>
              <w:rPr>
                <w:rFonts w:eastAsia="楷体_GB2312"/>
                <w:b/>
                <w:bCs/>
                <w:sz w:val="18"/>
                <w:szCs w:val="18"/>
              </w:rPr>
            </w:pPr>
          </w:p>
        </w:tc>
      </w:tr>
      <w:tr w14:paraId="093C2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314B518">
            <w:pPr>
              <w:jc w:val="both"/>
              <w:rPr>
                <w:rFonts w:eastAsia="楷体_GB2312"/>
                <w:sz w:val="18"/>
                <w:szCs w:val="18"/>
                <w:lang w:eastAsia="zh-CN"/>
              </w:rPr>
            </w:pPr>
          </w:p>
        </w:tc>
        <w:tc>
          <w:tcPr>
            <w:tcW w:w="0" w:type="auto"/>
            <w:noWrap/>
            <w:vAlign w:val="center"/>
          </w:tcPr>
          <w:p w14:paraId="1C7408ED">
            <w:pPr>
              <w:jc w:val="right"/>
              <w:rPr>
                <w:rFonts w:eastAsia="楷体_GB2312"/>
                <w:b/>
                <w:bCs/>
                <w:sz w:val="18"/>
                <w:szCs w:val="18"/>
              </w:rPr>
            </w:pPr>
          </w:p>
        </w:tc>
        <w:tc>
          <w:tcPr>
            <w:tcW w:w="0" w:type="auto"/>
            <w:noWrap/>
            <w:vAlign w:val="center"/>
          </w:tcPr>
          <w:p w14:paraId="2A873036">
            <w:pPr>
              <w:jc w:val="right"/>
              <w:rPr>
                <w:rFonts w:eastAsia="楷体_GB2312"/>
                <w:b/>
                <w:bCs/>
                <w:sz w:val="18"/>
                <w:szCs w:val="18"/>
              </w:rPr>
            </w:pPr>
          </w:p>
        </w:tc>
        <w:tc>
          <w:tcPr>
            <w:tcW w:w="0" w:type="auto"/>
            <w:noWrap/>
            <w:vAlign w:val="center"/>
          </w:tcPr>
          <w:p w14:paraId="1F513F5E">
            <w:pPr>
              <w:jc w:val="right"/>
              <w:rPr>
                <w:rFonts w:eastAsia="楷体_GB2312"/>
                <w:b/>
                <w:bCs/>
                <w:sz w:val="18"/>
                <w:szCs w:val="18"/>
              </w:rPr>
            </w:pPr>
          </w:p>
        </w:tc>
        <w:tc>
          <w:tcPr>
            <w:tcW w:w="0" w:type="auto"/>
            <w:noWrap/>
            <w:vAlign w:val="center"/>
          </w:tcPr>
          <w:p w14:paraId="0AF8B206">
            <w:pPr>
              <w:jc w:val="right"/>
              <w:rPr>
                <w:rFonts w:eastAsia="楷体_GB2312"/>
                <w:b/>
                <w:bCs/>
                <w:sz w:val="18"/>
                <w:szCs w:val="18"/>
              </w:rPr>
            </w:pPr>
          </w:p>
        </w:tc>
        <w:tc>
          <w:tcPr>
            <w:tcW w:w="0" w:type="auto"/>
            <w:noWrap/>
            <w:vAlign w:val="center"/>
          </w:tcPr>
          <w:p w14:paraId="01D23E7D">
            <w:pPr>
              <w:jc w:val="right"/>
              <w:rPr>
                <w:rFonts w:eastAsia="楷体_GB2312"/>
                <w:b/>
                <w:bCs/>
                <w:sz w:val="18"/>
                <w:szCs w:val="18"/>
              </w:rPr>
            </w:pPr>
          </w:p>
        </w:tc>
        <w:tc>
          <w:tcPr>
            <w:tcW w:w="0" w:type="auto"/>
            <w:noWrap/>
            <w:vAlign w:val="center"/>
          </w:tcPr>
          <w:p w14:paraId="79B3FEA0">
            <w:pPr>
              <w:jc w:val="right"/>
              <w:rPr>
                <w:rFonts w:eastAsia="楷体_GB2312"/>
                <w:b/>
                <w:bCs/>
                <w:sz w:val="18"/>
                <w:szCs w:val="18"/>
              </w:rPr>
            </w:pPr>
          </w:p>
        </w:tc>
      </w:tr>
      <w:tr w14:paraId="3DF1E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640A46F7">
            <w:pPr>
              <w:jc w:val="both"/>
              <w:rPr>
                <w:rFonts w:eastAsia="楷体_GB2312"/>
                <w:sz w:val="18"/>
                <w:szCs w:val="18"/>
                <w:lang w:eastAsia="zh-CN"/>
              </w:rPr>
            </w:pPr>
            <w:r>
              <w:rPr>
                <w:rFonts w:eastAsia="楷体_GB2312"/>
                <w:b/>
                <w:sz w:val="18"/>
                <w:szCs w:val="18"/>
                <w:lang w:eastAsia="zh-CN"/>
              </w:rPr>
              <w:t>总计</w:t>
            </w:r>
          </w:p>
        </w:tc>
        <w:tc>
          <w:tcPr>
            <w:tcW w:w="0" w:type="auto"/>
            <w:noWrap/>
            <w:vAlign w:val="center"/>
          </w:tcPr>
          <w:p w14:paraId="79516E8F">
            <w:pPr>
              <w:jc w:val="right"/>
              <w:rPr>
                <w:rFonts w:eastAsia="楷体_GB2312"/>
                <w:b/>
                <w:bCs/>
                <w:sz w:val="18"/>
                <w:szCs w:val="18"/>
              </w:rPr>
            </w:pPr>
          </w:p>
        </w:tc>
        <w:tc>
          <w:tcPr>
            <w:tcW w:w="0" w:type="auto"/>
            <w:noWrap/>
            <w:vAlign w:val="center"/>
          </w:tcPr>
          <w:p w14:paraId="440B5551">
            <w:pPr>
              <w:jc w:val="right"/>
              <w:rPr>
                <w:rFonts w:eastAsia="楷体_GB2312"/>
                <w:b/>
                <w:bCs/>
                <w:sz w:val="18"/>
                <w:szCs w:val="18"/>
              </w:rPr>
            </w:pPr>
          </w:p>
        </w:tc>
        <w:tc>
          <w:tcPr>
            <w:tcW w:w="0" w:type="auto"/>
            <w:noWrap/>
            <w:vAlign w:val="center"/>
          </w:tcPr>
          <w:p w14:paraId="01D4D786">
            <w:pPr>
              <w:jc w:val="right"/>
              <w:rPr>
                <w:rFonts w:eastAsia="楷体_GB2312"/>
                <w:b/>
                <w:bCs/>
                <w:sz w:val="18"/>
                <w:szCs w:val="18"/>
              </w:rPr>
            </w:pPr>
          </w:p>
        </w:tc>
        <w:tc>
          <w:tcPr>
            <w:tcW w:w="0" w:type="auto"/>
            <w:noWrap/>
            <w:vAlign w:val="center"/>
          </w:tcPr>
          <w:p w14:paraId="5D5CF403">
            <w:pPr>
              <w:jc w:val="right"/>
              <w:rPr>
                <w:rFonts w:eastAsia="楷体_GB2312"/>
                <w:b/>
                <w:bCs/>
                <w:sz w:val="18"/>
                <w:szCs w:val="18"/>
              </w:rPr>
            </w:pPr>
          </w:p>
        </w:tc>
        <w:tc>
          <w:tcPr>
            <w:tcW w:w="0" w:type="auto"/>
            <w:noWrap/>
            <w:vAlign w:val="center"/>
          </w:tcPr>
          <w:p w14:paraId="520A0A1B">
            <w:pPr>
              <w:jc w:val="right"/>
              <w:rPr>
                <w:rFonts w:eastAsia="楷体_GB2312"/>
                <w:b/>
                <w:bCs/>
                <w:sz w:val="18"/>
                <w:szCs w:val="18"/>
              </w:rPr>
            </w:pPr>
          </w:p>
        </w:tc>
        <w:tc>
          <w:tcPr>
            <w:tcW w:w="0" w:type="auto"/>
            <w:noWrap/>
            <w:vAlign w:val="center"/>
          </w:tcPr>
          <w:p w14:paraId="663297AE">
            <w:pPr>
              <w:jc w:val="right"/>
              <w:rPr>
                <w:rFonts w:eastAsia="楷体_GB2312"/>
                <w:b/>
                <w:bCs/>
                <w:sz w:val="18"/>
                <w:szCs w:val="18"/>
              </w:rPr>
            </w:pPr>
          </w:p>
        </w:tc>
      </w:tr>
      <w:tr w14:paraId="26C09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gridSpan w:val="7"/>
            <w:noWrap/>
            <w:vAlign w:val="center"/>
          </w:tcPr>
          <w:p w14:paraId="035D20D1">
            <w:pPr>
              <w:rPr>
                <w:rFonts w:eastAsia="楷体_GB2312"/>
                <w:b/>
                <w:bCs/>
                <w:sz w:val="18"/>
                <w:szCs w:val="18"/>
                <w:lang w:eastAsia="zh-CN"/>
              </w:rPr>
            </w:pPr>
            <w:r>
              <w:rPr>
                <w:rFonts w:eastAsia="楷体_GB2312"/>
                <w:b/>
                <w:sz w:val="21"/>
                <w:szCs w:val="21"/>
                <w:lang w:eastAsia="zh-CN"/>
              </w:rPr>
              <w:t>（八）贷款剩余期限分布</w:t>
            </w:r>
          </w:p>
        </w:tc>
      </w:tr>
      <w:tr w14:paraId="56336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465CE030">
            <w:pPr>
              <w:jc w:val="center"/>
              <w:rPr>
                <w:rFonts w:eastAsia="楷体_GB2312"/>
                <w:b/>
                <w:sz w:val="18"/>
                <w:szCs w:val="18"/>
                <w:lang w:eastAsia="zh-CN"/>
              </w:rPr>
            </w:pPr>
            <w:r>
              <w:rPr>
                <w:rFonts w:eastAsia="楷体_GB2312"/>
                <w:b/>
                <w:sz w:val="18"/>
                <w:szCs w:val="18"/>
                <w:lang w:eastAsia="zh-CN"/>
              </w:rPr>
              <w:t>剩余期限</w:t>
            </w:r>
          </w:p>
        </w:tc>
        <w:tc>
          <w:tcPr>
            <w:tcW w:w="0" w:type="auto"/>
            <w:noWrap/>
            <w:vAlign w:val="center"/>
          </w:tcPr>
          <w:p w14:paraId="74115FA9">
            <w:pPr>
              <w:jc w:val="right"/>
              <w:rPr>
                <w:rFonts w:eastAsia="楷体_GB2312"/>
                <w:b/>
                <w:bCs/>
                <w:sz w:val="18"/>
                <w:szCs w:val="18"/>
              </w:rPr>
            </w:pPr>
            <w:r>
              <w:rPr>
                <w:rFonts w:eastAsia="楷体_GB2312"/>
                <w:b/>
                <w:bCs/>
                <w:sz w:val="18"/>
                <w:szCs w:val="18"/>
                <w:lang w:eastAsia="zh-CN"/>
              </w:rPr>
              <w:t>贷款笔数</w:t>
            </w:r>
          </w:p>
        </w:tc>
        <w:tc>
          <w:tcPr>
            <w:tcW w:w="0" w:type="auto"/>
            <w:noWrap/>
            <w:vAlign w:val="center"/>
          </w:tcPr>
          <w:p w14:paraId="598FC882">
            <w:pPr>
              <w:jc w:val="right"/>
              <w:rPr>
                <w:rFonts w:eastAsia="楷体_GB2312"/>
                <w:b/>
                <w:bCs/>
                <w:sz w:val="18"/>
                <w:szCs w:val="18"/>
              </w:rPr>
            </w:pPr>
            <w:r>
              <w:rPr>
                <w:rFonts w:eastAsia="楷体_GB2312"/>
                <w:b/>
                <w:bCs/>
                <w:sz w:val="18"/>
                <w:szCs w:val="18"/>
              </w:rPr>
              <w:t>占比(%)</w:t>
            </w:r>
          </w:p>
        </w:tc>
        <w:tc>
          <w:tcPr>
            <w:tcW w:w="0" w:type="auto"/>
            <w:noWrap/>
            <w:vAlign w:val="center"/>
          </w:tcPr>
          <w:p w14:paraId="7C0C15A4">
            <w:pPr>
              <w:jc w:val="center"/>
              <w:rPr>
                <w:rFonts w:eastAsia="楷体_GB2312"/>
                <w:b/>
                <w:bCs/>
                <w:sz w:val="18"/>
                <w:szCs w:val="18"/>
              </w:rPr>
            </w:pPr>
            <w:r>
              <w:rPr>
                <w:rFonts w:eastAsia="楷体_GB2312"/>
                <w:b/>
                <w:bCs/>
                <w:sz w:val="18"/>
                <w:szCs w:val="18"/>
                <w:lang w:eastAsia="zh-CN"/>
              </w:rPr>
              <w:t>初始本金余额(元)</w:t>
            </w:r>
          </w:p>
        </w:tc>
        <w:tc>
          <w:tcPr>
            <w:tcW w:w="0" w:type="auto"/>
            <w:noWrap/>
            <w:vAlign w:val="center"/>
          </w:tcPr>
          <w:p w14:paraId="76A71C6D">
            <w:pPr>
              <w:jc w:val="right"/>
              <w:rPr>
                <w:rFonts w:eastAsia="楷体_GB2312"/>
                <w:b/>
                <w:bCs/>
                <w:sz w:val="18"/>
                <w:szCs w:val="18"/>
              </w:rPr>
            </w:pPr>
            <w:r>
              <w:rPr>
                <w:rFonts w:eastAsia="楷体_GB2312"/>
                <w:b/>
                <w:bCs/>
                <w:sz w:val="18"/>
                <w:szCs w:val="18"/>
              </w:rPr>
              <w:t>占比(%)</w:t>
            </w:r>
          </w:p>
        </w:tc>
        <w:tc>
          <w:tcPr>
            <w:tcW w:w="0" w:type="auto"/>
            <w:noWrap/>
            <w:vAlign w:val="center"/>
          </w:tcPr>
          <w:p w14:paraId="03FA7883">
            <w:pPr>
              <w:jc w:val="center"/>
              <w:rPr>
                <w:rFonts w:eastAsia="楷体_GB2312"/>
                <w:b/>
                <w:bCs/>
                <w:sz w:val="18"/>
                <w:szCs w:val="18"/>
              </w:rPr>
            </w:pPr>
            <w:r>
              <w:rPr>
                <w:rFonts w:eastAsia="楷体_GB2312"/>
                <w:b/>
                <w:bCs/>
                <w:sz w:val="18"/>
                <w:szCs w:val="18"/>
                <w:lang w:eastAsia="zh-CN"/>
              </w:rPr>
              <w:t>未偿本金余额(元)</w:t>
            </w:r>
          </w:p>
        </w:tc>
        <w:tc>
          <w:tcPr>
            <w:tcW w:w="0" w:type="auto"/>
            <w:noWrap/>
            <w:vAlign w:val="center"/>
          </w:tcPr>
          <w:p w14:paraId="3AEDF742">
            <w:pPr>
              <w:jc w:val="right"/>
              <w:rPr>
                <w:rFonts w:eastAsia="楷体_GB2312"/>
                <w:b/>
                <w:bCs/>
                <w:sz w:val="18"/>
                <w:szCs w:val="18"/>
              </w:rPr>
            </w:pPr>
            <w:r>
              <w:rPr>
                <w:rFonts w:eastAsia="楷体_GB2312"/>
                <w:b/>
                <w:bCs/>
                <w:sz w:val="18"/>
                <w:szCs w:val="18"/>
              </w:rPr>
              <w:t>占比(%)</w:t>
            </w:r>
          </w:p>
        </w:tc>
      </w:tr>
      <w:tr w14:paraId="0B4CC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0CC07D5B">
            <w:pPr>
              <w:jc w:val="both"/>
              <w:rPr>
                <w:rFonts w:eastAsia="楷体_GB2312"/>
                <w:b/>
                <w:sz w:val="18"/>
                <w:szCs w:val="18"/>
                <w:lang w:eastAsia="zh-CN"/>
              </w:rPr>
            </w:pPr>
          </w:p>
        </w:tc>
        <w:tc>
          <w:tcPr>
            <w:tcW w:w="0" w:type="auto"/>
            <w:noWrap/>
            <w:vAlign w:val="center"/>
          </w:tcPr>
          <w:p w14:paraId="4F95C082">
            <w:pPr>
              <w:jc w:val="right"/>
              <w:rPr>
                <w:rFonts w:eastAsia="楷体_GB2312"/>
                <w:b/>
                <w:bCs/>
                <w:sz w:val="18"/>
                <w:szCs w:val="18"/>
              </w:rPr>
            </w:pPr>
          </w:p>
        </w:tc>
        <w:tc>
          <w:tcPr>
            <w:tcW w:w="0" w:type="auto"/>
            <w:noWrap/>
            <w:vAlign w:val="center"/>
          </w:tcPr>
          <w:p w14:paraId="3F071AC3">
            <w:pPr>
              <w:jc w:val="right"/>
              <w:rPr>
                <w:rFonts w:eastAsia="楷体_GB2312"/>
                <w:b/>
                <w:bCs/>
                <w:sz w:val="18"/>
                <w:szCs w:val="18"/>
              </w:rPr>
            </w:pPr>
          </w:p>
        </w:tc>
        <w:tc>
          <w:tcPr>
            <w:tcW w:w="0" w:type="auto"/>
            <w:noWrap/>
            <w:vAlign w:val="center"/>
          </w:tcPr>
          <w:p w14:paraId="0E9A7506">
            <w:pPr>
              <w:jc w:val="right"/>
              <w:rPr>
                <w:rFonts w:eastAsia="楷体_GB2312"/>
                <w:b/>
                <w:bCs/>
                <w:sz w:val="18"/>
                <w:szCs w:val="18"/>
              </w:rPr>
            </w:pPr>
          </w:p>
        </w:tc>
        <w:tc>
          <w:tcPr>
            <w:tcW w:w="0" w:type="auto"/>
            <w:noWrap/>
            <w:vAlign w:val="center"/>
          </w:tcPr>
          <w:p w14:paraId="568813E9">
            <w:pPr>
              <w:jc w:val="right"/>
              <w:rPr>
                <w:rFonts w:eastAsia="楷体_GB2312"/>
                <w:b/>
                <w:bCs/>
                <w:sz w:val="18"/>
                <w:szCs w:val="18"/>
              </w:rPr>
            </w:pPr>
          </w:p>
        </w:tc>
        <w:tc>
          <w:tcPr>
            <w:tcW w:w="0" w:type="auto"/>
            <w:noWrap/>
            <w:vAlign w:val="center"/>
          </w:tcPr>
          <w:p w14:paraId="3D70BC58">
            <w:pPr>
              <w:jc w:val="right"/>
              <w:rPr>
                <w:rFonts w:eastAsia="楷体_GB2312"/>
                <w:b/>
                <w:bCs/>
                <w:sz w:val="18"/>
                <w:szCs w:val="18"/>
              </w:rPr>
            </w:pPr>
          </w:p>
        </w:tc>
        <w:tc>
          <w:tcPr>
            <w:tcW w:w="0" w:type="auto"/>
            <w:noWrap/>
            <w:vAlign w:val="center"/>
          </w:tcPr>
          <w:p w14:paraId="28F6489F">
            <w:pPr>
              <w:jc w:val="right"/>
              <w:rPr>
                <w:rFonts w:eastAsia="楷体_GB2312"/>
                <w:b/>
                <w:bCs/>
                <w:sz w:val="18"/>
                <w:szCs w:val="18"/>
              </w:rPr>
            </w:pPr>
          </w:p>
        </w:tc>
      </w:tr>
      <w:tr w14:paraId="6C61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C9FF2A6">
            <w:pPr>
              <w:jc w:val="both"/>
              <w:rPr>
                <w:rFonts w:eastAsia="楷体_GB2312"/>
                <w:b/>
                <w:sz w:val="18"/>
                <w:szCs w:val="18"/>
                <w:lang w:eastAsia="zh-CN"/>
              </w:rPr>
            </w:pPr>
          </w:p>
        </w:tc>
        <w:tc>
          <w:tcPr>
            <w:tcW w:w="0" w:type="auto"/>
            <w:noWrap/>
            <w:vAlign w:val="center"/>
          </w:tcPr>
          <w:p w14:paraId="3F2C7CF5">
            <w:pPr>
              <w:jc w:val="right"/>
              <w:rPr>
                <w:rFonts w:eastAsia="楷体_GB2312"/>
                <w:b/>
                <w:bCs/>
                <w:sz w:val="18"/>
                <w:szCs w:val="18"/>
              </w:rPr>
            </w:pPr>
          </w:p>
        </w:tc>
        <w:tc>
          <w:tcPr>
            <w:tcW w:w="0" w:type="auto"/>
            <w:noWrap/>
            <w:vAlign w:val="center"/>
          </w:tcPr>
          <w:p w14:paraId="28C294C1">
            <w:pPr>
              <w:jc w:val="right"/>
              <w:rPr>
                <w:rFonts w:eastAsia="楷体_GB2312"/>
                <w:b/>
                <w:bCs/>
                <w:sz w:val="18"/>
                <w:szCs w:val="18"/>
              </w:rPr>
            </w:pPr>
          </w:p>
        </w:tc>
        <w:tc>
          <w:tcPr>
            <w:tcW w:w="0" w:type="auto"/>
            <w:noWrap/>
            <w:vAlign w:val="center"/>
          </w:tcPr>
          <w:p w14:paraId="4BD16A1B">
            <w:pPr>
              <w:jc w:val="right"/>
              <w:rPr>
                <w:rFonts w:eastAsia="楷体_GB2312"/>
                <w:b/>
                <w:bCs/>
                <w:sz w:val="18"/>
                <w:szCs w:val="18"/>
              </w:rPr>
            </w:pPr>
          </w:p>
        </w:tc>
        <w:tc>
          <w:tcPr>
            <w:tcW w:w="0" w:type="auto"/>
            <w:noWrap/>
            <w:vAlign w:val="center"/>
          </w:tcPr>
          <w:p w14:paraId="3BE07E47">
            <w:pPr>
              <w:jc w:val="right"/>
              <w:rPr>
                <w:rFonts w:eastAsia="楷体_GB2312"/>
                <w:b/>
                <w:bCs/>
                <w:sz w:val="18"/>
                <w:szCs w:val="18"/>
              </w:rPr>
            </w:pPr>
          </w:p>
        </w:tc>
        <w:tc>
          <w:tcPr>
            <w:tcW w:w="0" w:type="auto"/>
            <w:noWrap/>
            <w:vAlign w:val="center"/>
          </w:tcPr>
          <w:p w14:paraId="2E5935EC">
            <w:pPr>
              <w:jc w:val="right"/>
              <w:rPr>
                <w:rFonts w:eastAsia="楷体_GB2312"/>
                <w:b/>
                <w:bCs/>
                <w:sz w:val="18"/>
                <w:szCs w:val="18"/>
              </w:rPr>
            </w:pPr>
          </w:p>
        </w:tc>
        <w:tc>
          <w:tcPr>
            <w:tcW w:w="0" w:type="auto"/>
            <w:noWrap/>
            <w:vAlign w:val="center"/>
          </w:tcPr>
          <w:p w14:paraId="2F766731">
            <w:pPr>
              <w:jc w:val="right"/>
              <w:rPr>
                <w:rFonts w:eastAsia="楷体_GB2312"/>
                <w:b/>
                <w:bCs/>
                <w:sz w:val="18"/>
                <w:szCs w:val="18"/>
              </w:rPr>
            </w:pPr>
          </w:p>
        </w:tc>
      </w:tr>
      <w:tr w14:paraId="4E693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75BAC8A8">
            <w:pPr>
              <w:jc w:val="both"/>
              <w:rPr>
                <w:rFonts w:eastAsia="楷体_GB2312"/>
                <w:b/>
                <w:sz w:val="18"/>
                <w:szCs w:val="18"/>
                <w:lang w:eastAsia="zh-CN"/>
              </w:rPr>
            </w:pPr>
          </w:p>
        </w:tc>
        <w:tc>
          <w:tcPr>
            <w:tcW w:w="0" w:type="auto"/>
            <w:noWrap/>
            <w:vAlign w:val="center"/>
          </w:tcPr>
          <w:p w14:paraId="19B0BF82">
            <w:pPr>
              <w:jc w:val="right"/>
              <w:rPr>
                <w:rFonts w:eastAsia="楷体_GB2312"/>
                <w:b/>
                <w:bCs/>
                <w:sz w:val="18"/>
                <w:szCs w:val="18"/>
              </w:rPr>
            </w:pPr>
          </w:p>
        </w:tc>
        <w:tc>
          <w:tcPr>
            <w:tcW w:w="0" w:type="auto"/>
            <w:noWrap/>
            <w:vAlign w:val="center"/>
          </w:tcPr>
          <w:p w14:paraId="2CAF960D">
            <w:pPr>
              <w:jc w:val="right"/>
              <w:rPr>
                <w:rFonts w:eastAsia="楷体_GB2312"/>
                <w:b/>
                <w:bCs/>
                <w:sz w:val="18"/>
                <w:szCs w:val="18"/>
              </w:rPr>
            </w:pPr>
          </w:p>
        </w:tc>
        <w:tc>
          <w:tcPr>
            <w:tcW w:w="0" w:type="auto"/>
            <w:noWrap/>
            <w:vAlign w:val="center"/>
          </w:tcPr>
          <w:p w14:paraId="671C308F">
            <w:pPr>
              <w:jc w:val="right"/>
              <w:rPr>
                <w:rFonts w:eastAsia="楷体_GB2312"/>
                <w:b/>
                <w:bCs/>
                <w:sz w:val="18"/>
                <w:szCs w:val="18"/>
              </w:rPr>
            </w:pPr>
          </w:p>
        </w:tc>
        <w:tc>
          <w:tcPr>
            <w:tcW w:w="0" w:type="auto"/>
            <w:noWrap/>
            <w:vAlign w:val="center"/>
          </w:tcPr>
          <w:p w14:paraId="3F7FD4DC">
            <w:pPr>
              <w:jc w:val="right"/>
              <w:rPr>
                <w:rFonts w:eastAsia="楷体_GB2312"/>
                <w:b/>
                <w:bCs/>
                <w:sz w:val="18"/>
                <w:szCs w:val="18"/>
              </w:rPr>
            </w:pPr>
          </w:p>
        </w:tc>
        <w:tc>
          <w:tcPr>
            <w:tcW w:w="0" w:type="auto"/>
            <w:noWrap/>
            <w:vAlign w:val="center"/>
          </w:tcPr>
          <w:p w14:paraId="2615DFE1">
            <w:pPr>
              <w:jc w:val="right"/>
              <w:rPr>
                <w:rFonts w:eastAsia="楷体_GB2312"/>
                <w:b/>
                <w:bCs/>
                <w:sz w:val="18"/>
                <w:szCs w:val="18"/>
              </w:rPr>
            </w:pPr>
          </w:p>
        </w:tc>
        <w:tc>
          <w:tcPr>
            <w:tcW w:w="0" w:type="auto"/>
            <w:noWrap/>
            <w:vAlign w:val="center"/>
          </w:tcPr>
          <w:p w14:paraId="303A7A0E">
            <w:pPr>
              <w:jc w:val="right"/>
              <w:rPr>
                <w:rFonts w:eastAsia="楷体_GB2312"/>
                <w:b/>
                <w:bCs/>
                <w:sz w:val="18"/>
                <w:szCs w:val="18"/>
              </w:rPr>
            </w:pPr>
          </w:p>
        </w:tc>
      </w:tr>
      <w:tr w14:paraId="61DAD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gridSpan w:val="7"/>
            <w:noWrap/>
          </w:tcPr>
          <w:p w14:paraId="34920BC9">
            <w:pPr>
              <w:jc w:val="both"/>
              <w:rPr>
                <w:rFonts w:eastAsia="楷体_GB2312"/>
                <w:b/>
                <w:bCs/>
                <w:sz w:val="18"/>
                <w:szCs w:val="18"/>
              </w:rPr>
            </w:pPr>
            <w:r>
              <w:rPr>
                <w:rFonts w:eastAsia="楷体_GB2312"/>
                <w:b/>
                <w:sz w:val="21"/>
                <w:szCs w:val="21"/>
                <w:lang w:eastAsia="zh-CN"/>
              </w:rPr>
              <w:t>（九）还款方式分布</w:t>
            </w:r>
          </w:p>
        </w:tc>
      </w:tr>
      <w:tr w14:paraId="0AD5E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40556E7">
            <w:pPr>
              <w:jc w:val="center"/>
              <w:rPr>
                <w:rFonts w:eastAsia="楷体_GB2312"/>
                <w:b/>
                <w:bCs/>
                <w:sz w:val="18"/>
                <w:szCs w:val="18"/>
                <w:lang w:eastAsia="zh-CN"/>
              </w:rPr>
            </w:pPr>
            <w:r>
              <w:rPr>
                <w:rFonts w:eastAsia="楷体_GB2312"/>
                <w:b/>
                <w:bCs/>
                <w:sz w:val="18"/>
                <w:szCs w:val="18"/>
                <w:lang w:eastAsia="zh-CN"/>
              </w:rPr>
              <w:t>还款方式</w:t>
            </w:r>
          </w:p>
        </w:tc>
        <w:tc>
          <w:tcPr>
            <w:tcW w:w="0" w:type="auto"/>
            <w:noWrap/>
            <w:vAlign w:val="center"/>
          </w:tcPr>
          <w:p w14:paraId="7BE3AD23">
            <w:pPr>
              <w:jc w:val="right"/>
              <w:rPr>
                <w:rFonts w:eastAsia="楷体_GB2312"/>
                <w:b/>
                <w:bCs/>
                <w:sz w:val="18"/>
                <w:szCs w:val="18"/>
              </w:rPr>
            </w:pPr>
            <w:r>
              <w:rPr>
                <w:rFonts w:eastAsia="楷体_GB2312"/>
                <w:b/>
                <w:bCs/>
                <w:sz w:val="18"/>
                <w:szCs w:val="18"/>
                <w:lang w:eastAsia="zh-CN"/>
              </w:rPr>
              <w:t>贷款笔数</w:t>
            </w:r>
          </w:p>
        </w:tc>
        <w:tc>
          <w:tcPr>
            <w:tcW w:w="0" w:type="auto"/>
            <w:noWrap/>
            <w:vAlign w:val="center"/>
          </w:tcPr>
          <w:p w14:paraId="68761405">
            <w:pPr>
              <w:jc w:val="center"/>
              <w:rPr>
                <w:rFonts w:eastAsia="楷体_GB2312"/>
                <w:b/>
                <w:bCs/>
                <w:sz w:val="18"/>
                <w:szCs w:val="18"/>
                <w:lang w:eastAsia="zh-CN"/>
              </w:rPr>
            </w:pPr>
            <w:r>
              <w:rPr>
                <w:rFonts w:eastAsia="楷体_GB2312"/>
                <w:b/>
                <w:bCs/>
                <w:sz w:val="18"/>
                <w:szCs w:val="18"/>
              </w:rPr>
              <w:t>占比(%)</w:t>
            </w:r>
          </w:p>
        </w:tc>
        <w:tc>
          <w:tcPr>
            <w:tcW w:w="0" w:type="auto"/>
            <w:noWrap/>
            <w:vAlign w:val="center"/>
          </w:tcPr>
          <w:p w14:paraId="14EAEAD9">
            <w:pPr>
              <w:jc w:val="center"/>
              <w:rPr>
                <w:rFonts w:eastAsia="楷体_GB2312"/>
                <w:b/>
                <w:bCs/>
                <w:sz w:val="18"/>
                <w:szCs w:val="18"/>
              </w:rPr>
            </w:pPr>
            <w:r>
              <w:rPr>
                <w:rFonts w:eastAsia="楷体_GB2312"/>
                <w:b/>
                <w:bCs/>
                <w:sz w:val="18"/>
                <w:szCs w:val="18"/>
                <w:lang w:eastAsia="zh-CN"/>
              </w:rPr>
              <w:t>初始本金余额(元)</w:t>
            </w:r>
          </w:p>
        </w:tc>
        <w:tc>
          <w:tcPr>
            <w:tcW w:w="0" w:type="auto"/>
            <w:noWrap/>
            <w:vAlign w:val="center"/>
          </w:tcPr>
          <w:p w14:paraId="134030F2">
            <w:pPr>
              <w:jc w:val="right"/>
              <w:rPr>
                <w:rFonts w:eastAsia="楷体_GB2312"/>
                <w:b/>
                <w:bCs/>
                <w:sz w:val="18"/>
                <w:szCs w:val="18"/>
              </w:rPr>
            </w:pPr>
            <w:r>
              <w:rPr>
                <w:rFonts w:eastAsia="楷体_GB2312"/>
                <w:b/>
                <w:bCs/>
                <w:sz w:val="18"/>
                <w:szCs w:val="18"/>
              </w:rPr>
              <w:t>占比(%)</w:t>
            </w:r>
          </w:p>
        </w:tc>
        <w:tc>
          <w:tcPr>
            <w:tcW w:w="0" w:type="auto"/>
            <w:noWrap/>
            <w:vAlign w:val="center"/>
          </w:tcPr>
          <w:p w14:paraId="20A26A8A">
            <w:pPr>
              <w:jc w:val="center"/>
              <w:rPr>
                <w:rFonts w:eastAsia="楷体_GB2312"/>
                <w:b/>
                <w:bCs/>
                <w:sz w:val="18"/>
                <w:szCs w:val="18"/>
              </w:rPr>
            </w:pPr>
            <w:r>
              <w:rPr>
                <w:rFonts w:eastAsia="楷体_GB2312"/>
                <w:b/>
                <w:bCs/>
                <w:sz w:val="18"/>
                <w:szCs w:val="18"/>
                <w:lang w:eastAsia="zh-CN"/>
              </w:rPr>
              <w:t>未偿本金余额(元)</w:t>
            </w:r>
          </w:p>
        </w:tc>
        <w:tc>
          <w:tcPr>
            <w:tcW w:w="0" w:type="auto"/>
            <w:noWrap/>
            <w:vAlign w:val="center"/>
          </w:tcPr>
          <w:p w14:paraId="11DDF392">
            <w:pPr>
              <w:jc w:val="right"/>
              <w:rPr>
                <w:rFonts w:eastAsia="楷体_GB2312"/>
                <w:b/>
                <w:bCs/>
                <w:sz w:val="18"/>
                <w:szCs w:val="18"/>
              </w:rPr>
            </w:pPr>
            <w:r>
              <w:rPr>
                <w:rFonts w:eastAsia="楷体_GB2312"/>
                <w:b/>
                <w:bCs/>
                <w:sz w:val="18"/>
                <w:szCs w:val="18"/>
              </w:rPr>
              <w:t>占比(%)</w:t>
            </w:r>
          </w:p>
        </w:tc>
      </w:tr>
      <w:tr w14:paraId="35303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4C108912">
            <w:pPr>
              <w:jc w:val="both"/>
              <w:rPr>
                <w:rFonts w:eastAsia="楷体_GB2312"/>
                <w:b/>
                <w:bCs/>
                <w:sz w:val="18"/>
                <w:szCs w:val="18"/>
                <w:lang w:eastAsia="zh-CN"/>
              </w:rPr>
            </w:pPr>
            <w:r>
              <w:rPr>
                <w:rFonts w:eastAsia="楷体_GB2312"/>
                <w:sz w:val="18"/>
                <w:szCs w:val="18"/>
                <w:lang w:eastAsia="zh-CN"/>
              </w:rPr>
              <w:t>等额本金</w:t>
            </w:r>
          </w:p>
        </w:tc>
        <w:tc>
          <w:tcPr>
            <w:tcW w:w="0" w:type="auto"/>
            <w:noWrap/>
            <w:vAlign w:val="center"/>
          </w:tcPr>
          <w:p w14:paraId="316748D6">
            <w:pPr>
              <w:jc w:val="right"/>
              <w:rPr>
                <w:rFonts w:eastAsia="楷体_GB2312"/>
                <w:b/>
                <w:bCs/>
                <w:sz w:val="18"/>
                <w:szCs w:val="18"/>
              </w:rPr>
            </w:pPr>
          </w:p>
        </w:tc>
        <w:tc>
          <w:tcPr>
            <w:tcW w:w="0" w:type="auto"/>
            <w:noWrap/>
            <w:vAlign w:val="center"/>
          </w:tcPr>
          <w:p w14:paraId="626216A7">
            <w:pPr>
              <w:jc w:val="center"/>
              <w:rPr>
                <w:rFonts w:eastAsia="楷体_GB2312"/>
                <w:b/>
                <w:bCs/>
                <w:sz w:val="18"/>
                <w:szCs w:val="18"/>
              </w:rPr>
            </w:pPr>
          </w:p>
        </w:tc>
        <w:tc>
          <w:tcPr>
            <w:tcW w:w="0" w:type="auto"/>
            <w:noWrap/>
            <w:vAlign w:val="center"/>
          </w:tcPr>
          <w:p w14:paraId="680BE77F">
            <w:pPr>
              <w:jc w:val="right"/>
              <w:rPr>
                <w:rFonts w:eastAsia="楷体_GB2312"/>
                <w:b/>
                <w:bCs/>
                <w:sz w:val="18"/>
                <w:szCs w:val="18"/>
              </w:rPr>
            </w:pPr>
          </w:p>
        </w:tc>
        <w:tc>
          <w:tcPr>
            <w:tcW w:w="0" w:type="auto"/>
            <w:noWrap/>
            <w:vAlign w:val="center"/>
          </w:tcPr>
          <w:p w14:paraId="2BBCE362">
            <w:pPr>
              <w:jc w:val="right"/>
              <w:rPr>
                <w:rFonts w:eastAsia="楷体_GB2312"/>
                <w:b/>
                <w:bCs/>
                <w:sz w:val="18"/>
                <w:szCs w:val="18"/>
              </w:rPr>
            </w:pPr>
          </w:p>
        </w:tc>
        <w:tc>
          <w:tcPr>
            <w:tcW w:w="0" w:type="auto"/>
            <w:noWrap/>
            <w:vAlign w:val="center"/>
          </w:tcPr>
          <w:p w14:paraId="086BDDD4">
            <w:pPr>
              <w:jc w:val="right"/>
              <w:rPr>
                <w:rFonts w:eastAsia="楷体_GB2312"/>
                <w:b/>
                <w:bCs/>
                <w:sz w:val="18"/>
                <w:szCs w:val="18"/>
              </w:rPr>
            </w:pPr>
          </w:p>
        </w:tc>
        <w:tc>
          <w:tcPr>
            <w:tcW w:w="0" w:type="auto"/>
            <w:noWrap/>
            <w:vAlign w:val="center"/>
          </w:tcPr>
          <w:p w14:paraId="2D29BC79">
            <w:pPr>
              <w:jc w:val="right"/>
              <w:rPr>
                <w:rFonts w:eastAsia="楷体_GB2312"/>
                <w:b/>
                <w:bCs/>
                <w:sz w:val="18"/>
                <w:szCs w:val="18"/>
              </w:rPr>
            </w:pPr>
          </w:p>
        </w:tc>
      </w:tr>
      <w:tr w14:paraId="20C81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60BC822">
            <w:pPr>
              <w:jc w:val="both"/>
              <w:rPr>
                <w:rFonts w:eastAsia="楷体_GB2312"/>
                <w:sz w:val="18"/>
                <w:szCs w:val="18"/>
                <w:lang w:eastAsia="zh-CN"/>
              </w:rPr>
            </w:pPr>
            <w:r>
              <w:rPr>
                <w:rFonts w:eastAsia="楷体_GB2312"/>
                <w:sz w:val="18"/>
                <w:szCs w:val="18"/>
                <w:lang w:eastAsia="zh-CN"/>
              </w:rPr>
              <w:t>等额本息</w:t>
            </w:r>
          </w:p>
        </w:tc>
        <w:tc>
          <w:tcPr>
            <w:tcW w:w="0" w:type="auto"/>
            <w:noWrap/>
            <w:vAlign w:val="center"/>
          </w:tcPr>
          <w:p w14:paraId="5D097579">
            <w:pPr>
              <w:jc w:val="right"/>
              <w:rPr>
                <w:rFonts w:eastAsia="楷体_GB2312"/>
                <w:b/>
                <w:bCs/>
                <w:sz w:val="18"/>
                <w:szCs w:val="18"/>
              </w:rPr>
            </w:pPr>
          </w:p>
        </w:tc>
        <w:tc>
          <w:tcPr>
            <w:tcW w:w="0" w:type="auto"/>
            <w:noWrap/>
            <w:vAlign w:val="center"/>
          </w:tcPr>
          <w:p w14:paraId="4EEC9AD7">
            <w:pPr>
              <w:jc w:val="center"/>
              <w:rPr>
                <w:rFonts w:eastAsia="楷体_GB2312"/>
                <w:b/>
                <w:bCs/>
                <w:sz w:val="18"/>
                <w:szCs w:val="18"/>
              </w:rPr>
            </w:pPr>
          </w:p>
        </w:tc>
        <w:tc>
          <w:tcPr>
            <w:tcW w:w="0" w:type="auto"/>
            <w:noWrap/>
            <w:vAlign w:val="center"/>
          </w:tcPr>
          <w:p w14:paraId="65FD1BEB">
            <w:pPr>
              <w:jc w:val="right"/>
              <w:rPr>
                <w:rFonts w:eastAsia="楷体_GB2312"/>
                <w:b/>
                <w:bCs/>
                <w:sz w:val="18"/>
                <w:szCs w:val="18"/>
              </w:rPr>
            </w:pPr>
          </w:p>
        </w:tc>
        <w:tc>
          <w:tcPr>
            <w:tcW w:w="0" w:type="auto"/>
            <w:noWrap/>
            <w:vAlign w:val="center"/>
          </w:tcPr>
          <w:p w14:paraId="3A250334">
            <w:pPr>
              <w:jc w:val="right"/>
              <w:rPr>
                <w:rFonts w:eastAsia="楷体_GB2312"/>
                <w:b/>
                <w:bCs/>
                <w:sz w:val="18"/>
                <w:szCs w:val="18"/>
              </w:rPr>
            </w:pPr>
          </w:p>
        </w:tc>
        <w:tc>
          <w:tcPr>
            <w:tcW w:w="0" w:type="auto"/>
            <w:noWrap/>
            <w:vAlign w:val="center"/>
          </w:tcPr>
          <w:p w14:paraId="38F8ACE5">
            <w:pPr>
              <w:jc w:val="right"/>
              <w:rPr>
                <w:rFonts w:eastAsia="楷体_GB2312"/>
                <w:b/>
                <w:bCs/>
                <w:sz w:val="18"/>
                <w:szCs w:val="18"/>
              </w:rPr>
            </w:pPr>
          </w:p>
        </w:tc>
        <w:tc>
          <w:tcPr>
            <w:tcW w:w="0" w:type="auto"/>
            <w:noWrap/>
            <w:vAlign w:val="center"/>
          </w:tcPr>
          <w:p w14:paraId="370DA036">
            <w:pPr>
              <w:jc w:val="right"/>
              <w:rPr>
                <w:rFonts w:eastAsia="楷体_GB2312"/>
                <w:b/>
                <w:bCs/>
                <w:sz w:val="18"/>
                <w:szCs w:val="18"/>
              </w:rPr>
            </w:pPr>
          </w:p>
        </w:tc>
      </w:tr>
      <w:tr w14:paraId="73673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0" w:type="auto"/>
            <w:gridSpan w:val="7"/>
            <w:noWrap/>
            <w:vAlign w:val="center"/>
          </w:tcPr>
          <w:p w14:paraId="37CDF61B">
            <w:pPr>
              <w:rPr>
                <w:rFonts w:eastAsia="楷体_GB2312"/>
                <w:b/>
                <w:bCs/>
                <w:sz w:val="18"/>
                <w:szCs w:val="18"/>
              </w:rPr>
            </w:pPr>
            <w:r>
              <w:rPr>
                <w:rFonts w:eastAsia="楷体_GB2312"/>
                <w:b/>
                <w:sz w:val="21"/>
                <w:szCs w:val="21"/>
                <w:lang w:eastAsia="zh-CN"/>
              </w:rPr>
              <w:t>（十）贷款用途分布</w:t>
            </w:r>
          </w:p>
        </w:tc>
      </w:tr>
      <w:tr w14:paraId="6E394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5A8155A6">
            <w:pPr>
              <w:jc w:val="center"/>
              <w:rPr>
                <w:rFonts w:eastAsia="楷体_GB2312"/>
                <w:sz w:val="18"/>
                <w:szCs w:val="18"/>
                <w:lang w:eastAsia="zh-CN"/>
              </w:rPr>
            </w:pPr>
            <w:r>
              <w:rPr>
                <w:rFonts w:eastAsia="楷体_GB2312"/>
                <w:b/>
                <w:sz w:val="18"/>
                <w:szCs w:val="18"/>
                <w:lang w:eastAsia="zh-CN"/>
              </w:rPr>
              <w:t>贷款用途</w:t>
            </w:r>
          </w:p>
        </w:tc>
        <w:tc>
          <w:tcPr>
            <w:tcW w:w="0" w:type="auto"/>
            <w:noWrap/>
            <w:vAlign w:val="center"/>
          </w:tcPr>
          <w:p w14:paraId="2EBFAEED">
            <w:pPr>
              <w:jc w:val="center"/>
              <w:rPr>
                <w:rFonts w:eastAsia="楷体_GB2312"/>
                <w:b/>
                <w:bCs/>
                <w:sz w:val="18"/>
                <w:szCs w:val="18"/>
              </w:rPr>
            </w:pPr>
            <w:r>
              <w:rPr>
                <w:rFonts w:eastAsia="楷体_GB2312"/>
                <w:b/>
                <w:bCs/>
                <w:sz w:val="18"/>
                <w:szCs w:val="18"/>
                <w:lang w:eastAsia="zh-CN"/>
              </w:rPr>
              <w:t>贷款笔数</w:t>
            </w:r>
          </w:p>
        </w:tc>
        <w:tc>
          <w:tcPr>
            <w:tcW w:w="0" w:type="auto"/>
            <w:noWrap/>
            <w:vAlign w:val="center"/>
          </w:tcPr>
          <w:p w14:paraId="0AA689FA">
            <w:pPr>
              <w:jc w:val="center"/>
              <w:rPr>
                <w:rFonts w:eastAsia="楷体_GB2312"/>
                <w:b/>
                <w:bCs/>
                <w:sz w:val="18"/>
                <w:szCs w:val="18"/>
              </w:rPr>
            </w:pPr>
            <w:r>
              <w:rPr>
                <w:rFonts w:eastAsia="楷体_GB2312"/>
                <w:b/>
                <w:bCs/>
                <w:sz w:val="18"/>
                <w:szCs w:val="18"/>
              </w:rPr>
              <w:t>占比(%)</w:t>
            </w:r>
          </w:p>
        </w:tc>
        <w:tc>
          <w:tcPr>
            <w:tcW w:w="0" w:type="auto"/>
            <w:noWrap/>
            <w:vAlign w:val="center"/>
          </w:tcPr>
          <w:p w14:paraId="3207E110">
            <w:pPr>
              <w:jc w:val="center"/>
              <w:rPr>
                <w:rFonts w:eastAsia="楷体_GB2312"/>
                <w:b/>
                <w:bCs/>
                <w:sz w:val="18"/>
                <w:szCs w:val="18"/>
              </w:rPr>
            </w:pPr>
            <w:r>
              <w:rPr>
                <w:rFonts w:eastAsia="楷体_GB2312"/>
                <w:b/>
                <w:bCs/>
                <w:sz w:val="18"/>
                <w:szCs w:val="18"/>
                <w:lang w:eastAsia="zh-CN"/>
              </w:rPr>
              <w:t>初始本金余额(元)</w:t>
            </w:r>
          </w:p>
        </w:tc>
        <w:tc>
          <w:tcPr>
            <w:tcW w:w="0" w:type="auto"/>
            <w:noWrap/>
            <w:vAlign w:val="center"/>
          </w:tcPr>
          <w:p w14:paraId="7351E0DA">
            <w:pPr>
              <w:jc w:val="center"/>
              <w:rPr>
                <w:rFonts w:eastAsia="楷体_GB2312"/>
                <w:b/>
                <w:bCs/>
                <w:sz w:val="18"/>
                <w:szCs w:val="18"/>
              </w:rPr>
            </w:pPr>
            <w:r>
              <w:rPr>
                <w:rFonts w:eastAsia="楷体_GB2312"/>
                <w:b/>
                <w:bCs/>
                <w:sz w:val="18"/>
                <w:szCs w:val="18"/>
              </w:rPr>
              <w:t>占比(%)</w:t>
            </w:r>
          </w:p>
        </w:tc>
        <w:tc>
          <w:tcPr>
            <w:tcW w:w="0" w:type="auto"/>
            <w:noWrap/>
            <w:vAlign w:val="center"/>
          </w:tcPr>
          <w:p w14:paraId="272BF452">
            <w:pPr>
              <w:jc w:val="center"/>
              <w:rPr>
                <w:rFonts w:eastAsia="楷体_GB2312"/>
                <w:b/>
                <w:bCs/>
                <w:sz w:val="18"/>
                <w:szCs w:val="18"/>
              </w:rPr>
            </w:pPr>
            <w:r>
              <w:rPr>
                <w:rFonts w:eastAsia="楷体_GB2312"/>
                <w:b/>
                <w:bCs/>
                <w:sz w:val="18"/>
                <w:szCs w:val="18"/>
                <w:lang w:eastAsia="zh-CN"/>
              </w:rPr>
              <w:t>未偿本金余额(元)</w:t>
            </w:r>
          </w:p>
        </w:tc>
        <w:tc>
          <w:tcPr>
            <w:tcW w:w="0" w:type="auto"/>
            <w:noWrap/>
            <w:vAlign w:val="center"/>
          </w:tcPr>
          <w:p w14:paraId="5C48C1A2">
            <w:pPr>
              <w:jc w:val="center"/>
              <w:rPr>
                <w:rFonts w:eastAsia="楷体_GB2312"/>
                <w:b/>
                <w:bCs/>
                <w:sz w:val="18"/>
                <w:szCs w:val="18"/>
              </w:rPr>
            </w:pPr>
            <w:r>
              <w:rPr>
                <w:rFonts w:eastAsia="楷体_GB2312"/>
                <w:b/>
                <w:bCs/>
                <w:sz w:val="18"/>
                <w:szCs w:val="18"/>
              </w:rPr>
              <w:t>占比(%)</w:t>
            </w:r>
          </w:p>
        </w:tc>
      </w:tr>
      <w:tr w14:paraId="603F4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6791008">
            <w:pPr>
              <w:jc w:val="both"/>
              <w:rPr>
                <w:rFonts w:eastAsia="楷体_GB2312"/>
                <w:sz w:val="18"/>
                <w:szCs w:val="18"/>
                <w:lang w:eastAsia="zh-CN"/>
              </w:rPr>
            </w:pPr>
          </w:p>
        </w:tc>
        <w:tc>
          <w:tcPr>
            <w:tcW w:w="0" w:type="auto"/>
            <w:noWrap/>
            <w:vAlign w:val="center"/>
          </w:tcPr>
          <w:p w14:paraId="0D68D99A">
            <w:pPr>
              <w:jc w:val="right"/>
              <w:rPr>
                <w:rFonts w:eastAsia="楷体_GB2312"/>
                <w:b/>
                <w:bCs/>
                <w:sz w:val="18"/>
                <w:szCs w:val="18"/>
              </w:rPr>
            </w:pPr>
          </w:p>
        </w:tc>
        <w:tc>
          <w:tcPr>
            <w:tcW w:w="0" w:type="auto"/>
            <w:noWrap/>
            <w:vAlign w:val="center"/>
          </w:tcPr>
          <w:p w14:paraId="0A70A27E">
            <w:pPr>
              <w:jc w:val="center"/>
              <w:rPr>
                <w:rFonts w:eastAsia="楷体_GB2312"/>
                <w:b/>
                <w:bCs/>
                <w:sz w:val="18"/>
                <w:szCs w:val="18"/>
              </w:rPr>
            </w:pPr>
          </w:p>
        </w:tc>
        <w:tc>
          <w:tcPr>
            <w:tcW w:w="0" w:type="auto"/>
            <w:noWrap/>
            <w:vAlign w:val="center"/>
          </w:tcPr>
          <w:p w14:paraId="1E16826F">
            <w:pPr>
              <w:jc w:val="right"/>
              <w:rPr>
                <w:rFonts w:eastAsia="楷体_GB2312"/>
                <w:b/>
                <w:bCs/>
                <w:sz w:val="18"/>
                <w:szCs w:val="18"/>
              </w:rPr>
            </w:pPr>
          </w:p>
        </w:tc>
        <w:tc>
          <w:tcPr>
            <w:tcW w:w="0" w:type="auto"/>
            <w:noWrap/>
            <w:vAlign w:val="center"/>
          </w:tcPr>
          <w:p w14:paraId="60969AD0">
            <w:pPr>
              <w:jc w:val="right"/>
              <w:rPr>
                <w:rFonts w:eastAsia="楷体_GB2312"/>
                <w:b/>
                <w:bCs/>
                <w:sz w:val="18"/>
                <w:szCs w:val="18"/>
              </w:rPr>
            </w:pPr>
          </w:p>
        </w:tc>
        <w:tc>
          <w:tcPr>
            <w:tcW w:w="0" w:type="auto"/>
            <w:noWrap/>
            <w:vAlign w:val="center"/>
          </w:tcPr>
          <w:p w14:paraId="0CBE0A23">
            <w:pPr>
              <w:jc w:val="right"/>
              <w:rPr>
                <w:rFonts w:eastAsia="楷体_GB2312"/>
                <w:b/>
                <w:bCs/>
                <w:sz w:val="18"/>
                <w:szCs w:val="18"/>
              </w:rPr>
            </w:pPr>
          </w:p>
        </w:tc>
        <w:tc>
          <w:tcPr>
            <w:tcW w:w="0" w:type="auto"/>
            <w:noWrap/>
            <w:vAlign w:val="center"/>
          </w:tcPr>
          <w:p w14:paraId="71979BC1">
            <w:pPr>
              <w:jc w:val="right"/>
              <w:rPr>
                <w:rFonts w:eastAsia="楷体_GB2312"/>
                <w:b/>
                <w:bCs/>
                <w:sz w:val="18"/>
                <w:szCs w:val="18"/>
              </w:rPr>
            </w:pPr>
          </w:p>
        </w:tc>
      </w:tr>
      <w:tr w14:paraId="128DA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7596DB60">
            <w:pPr>
              <w:jc w:val="both"/>
              <w:rPr>
                <w:rFonts w:eastAsia="楷体_GB2312"/>
                <w:sz w:val="18"/>
                <w:szCs w:val="18"/>
                <w:lang w:eastAsia="zh-CN"/>
              </w:rPr>
            </w:pPr>
          </w:p>
        </w:tc>
        <w:tc>
          <w:tcPr>
            <w:tcW w:w="0" w:type="auto"/>
            <w:noWrap/>
            <w:vAlign w:val="center"/>
          </w:tcPr>
          <w:p w14:paraId="376AECE8">
            <w:pPr>
              <w:jc w:val="right"/>
              <w:rPr>
                <w:rFonts w:eastAsia="楷体_GB2312"/>
                <w:b/>
                <w:bCs/>
                <w:sz w:val="18"/>
                <w:szCs w:val="18"/>
              </w:rPr>
            </w:pPr>
          </w:p>
        </w:tc>
        <w:tc>
          <w:tcPr>
            <w:tcW w:w="0" w:type="auto"/>
            <w:noWrap/>
            <w:vAlign w:val="center"/>
          </w:tcPr>
          <w:p w14:paraId="1C0F6403">
            <w:pPr>
              <w:jc w:val="center"/>
              <w:rPr>
                <w:rFonts w:eastAsia="楷体_GB2312"/>
                <w:b/>
                <w:bCs/>
                <w:sz w:val="18"/>
                <w:szCs w:val="18"/>
              </w:rPr>
            </w:pPr>
          </w:p>
        </w:tc>
        <w:tc>
          <w:tcPr>
            <w:tcW w:w="0" w:type="auto"/>
            <w:noWrap/>
            <w:vAlign w:val="center"/>
          </w:tcPr>
          <w:p w14:paraId="157C97DE">
            <w:pPr>
              <w:jc w:val="right"/>
              <w:rPr>
                <w:rFonts w:eastAsia="楷体_GB2312"/>
                <w:b/>
                <w:bCs/>
                <w:sz w:val="18"/>
                <w:szCs w:val="18"/>
              </w:rPr>
            </w:pPr>
          </w:p>
        </w:tc>
        <w:tc>
          <w:tcPr>
            <w:tcW w:w="0" w:type="auto"/>
            <w:noWrap/>
            <w:vAlign w:val="center"/>
          </w:tcPr>
          <w:p w14:paraId="67DACBC7">
            <w:pPr>
              <w:jc w:val="right"/>
              <w:rPr>
                <w:rFonts w:eastAsia="楷体_GB2312"/>
                <w:b/>
                <w:bCs/>
                <w:sz w:val="18"/>
                <w:szCs w:val="18"/>
              </w:rPr>
            </w:pPr>
          </w:p>
        </w:tc>
        <w:tc>
          <w:tcPr>
            <w:tcW w:w="0" w:type="auto"/>
            <w:noWrap/>
            <w:vAlign w:val="center"/>
          </w:tcPr>
          <w:p w14:paraId="4FC890F8">
            <w:pPr>
              <w:jc w:val="right"/>
              <w:rPr>
                <w:rFonts w:eastAsia="楷体_GB2312"/>
                <w:b/>
                <w:bCs/>
                <w:sz w:val="18"/>
                <w:szCs w:val="18"/>
              </w:rPr>
            </w:pPr>
          </w:p>
        </w:tc>
        <w:tc>
          <w:tcPr>
            <w:tcW w:w="0" w:type="auto"/>
            <w:noWrap/>
            <w:vAlign w:val="center"/>
          </w:tcPr>
          <w:p w14:paraId="5C6E67B6">
            <w:pPr>
              <w:jc w:val="right"/>
              <w:rPr>
                <w:rFonts w:eastAsia="楷体_GB2312"/>
                <w:b/>
                <w:bCs/>
                <w:sz w:val="18"/>
                <w:szCs w:val="18"/>
              </w:rPr>
            </w:pPr>
          </w:p>
        </w:tc>
      </w:tr>
      <w:tr w14:paraId="12031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5F5A19A9">
            <w:pPr>
              <w:jc w:val="both"/>
              <w:rPr>
                <w:rFonts w:eastAsia="楷体_GB2312"/>
                <w:sz w:val="18"/>
                <w:szCs w:val="18"/>
                <w:lang w:eastAsia="zh-CN"/>
              </w:rPr>
            </w:pPr>
          </w:p>
        </w:tc>
        <w:tc>
          <w:tcPr>
            <w:tcW w:w="0" w:type="auto"/>
            <w:noWrap/>
            <w:vAlign w:val="center"/>
          </w:tcPr>
          <w:p w14:paraId="1E974CCD">
            <w:pPr>
              <w:jc w:val="right"/>
              <w:rPr>
                <w:rFonts w:eastAsia="楷体_GB2312"/>
                <w:b/>
                <w:bCs/>
                <w:sz w:val="18"/>
                <w:szCs w:val="18"/>
              </w:rPr>
            </w:pPr>
          </w:p>
        </w:tc>
        <w:tc>
          <w:tcPr>
            <w:tcW w:w="0" w:type="auto"/>
            <w:noWrap/>
            <w:vAlign w:val="center"/>
          </w:tcPr>
          <w:p w14:paraId="2D6A173C">
            <w:pPr>
              <w:jc w:val="center"/>
              <w:rPr>
                <w:rFonts w:eastAsia="楷体_GB2312"/>
                <w:b/>
                <w:bCs/>
                <w:sz w:val="18"/>
                <w:szCs w:val="18"/>
              </w:rPr>
            </w:pPr>
          </w:p>
        </w:tc>
        <w:tc>
          <w:tcPr>
            <w:tcW w:w="0" w:type="auto"/>
            <w:noWrap/>
            <w:vAlign w:val="center"/>
          </w:tcPr>
          <w:p w14:paraId="5A0A2C91">
            <w:pPr>
              <w:jc w:val="right"/>
              <w:rPr>
                <w:rFonts w:eastAsia="楷体_GB2312"/>
                <w:b/>
                <w:bCs/>
                <w:sz w:val="18"/>
                <w:szCs w:val="18"/>
              </w:rPr>
            </w:pPr>
          </w:p>
        </w:tc>
        <w:tc>
          <w:tcPr>
            <w:tcW w:w="0" w:type="auto"/>
            <w:noWrap/>
            <w:vAlign w:val="center"/>
          </w:tcPr>
          <w:p w14:paraId="535C935C">
            <w:pPr>
              <w:jc w:val="right"/>
              <w:rPr>
                <w:rFonts w:eastAsia="楷体_GB2312"/>
                <w:b/>
                <w:bCs/>
                <w:sz w:val="18"/>
                <w:szCs w:val="18"/>
              </w:rPr>
            </w:pPr>
          </w:p>
        </w:tc>
        <w:tc>
          <w:tcPr>
            <w:tcW w:w="0" w:type="auto"/>
            <w:noWrap/>
            <w:vAlign w:val="center"/>
          </w:tcPr>
          <w:p w14:paraId="218E24B6">
            <w:pPr>
              <w:jc w:val="right"/>
              <w:rPr>
                <w:rFonts w:eastAsia="楷体_GB2312"/>
                <w:b/>
                <w:bCs/>
                <w:sz w:val="18"/>
                <w:szCs w:val="18"/>
              </w:rPr>
            </w:pPr>
          </w:p>
        </w:tc>
        <w:tc>
          <w:tcPr>
            <w:tcW w:w="0" w:type="auto"/>
            <w:noWrap/>
            <w:vAlign w:val="center"/>
          </w:tcPr>
          <w:p w14:paraId="6523305C">
            <w:pPr>
              <w:jc w:val="right"/>
              <w:rPr>
                <w:rFonts w:eastAsia="楷体_GB2312"/>
                <w:b/>
                <w:bCs/>
                <w:sz w:val="18"/>
                <w:szCs w:val="18"/>
              </w:rPr>
            </w:pPr>
          </w:p>
        </w:tc>
      </w:tr>
      <w:tr w14:paraId="01149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gridSpan w:val="7"/>
            <w:noWrap/>
            <w:vAlign w:val="center"/>
          </w:tcPr>
          <w:p w14:paraId="1B6B5E7D">
            <w:pPr>
              <w:rPr>
                <w:rFonts w:eastAsia="楷体_GB2312"/>
                <w:b/>
                <w:bCs/>
                <w:sz w:val="18"/>
                <w:szCs w:val="18"/>
                <w:lang w:eastAsia="zh-CN"/>
              </w:rPr>
            </w:pPr>
            <w:r>
              <w:rPr>
                <w:rFonts w:eastAsia="楷体_GB2312"/>
                <w:b/>
                <w:sz w:val="21"/>
                <w:szCs w:val="21"/>
                <w:lang w:eastAsia="zh-CN"/>
              </w:rPr>
              <w:t>（十一）贷款类型分布</w:t>
            </w:r>
          </w:p>
        </w:tc>
      </w:tr>
      <w:tr w14:paraId="489D7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0EF0EB02">
            <w:pPr>
              <w:jc w:val="center"/>
              <w:rPr>
                <w:rFonts w:eastAsia="楷体_GB2312"/>
                <w:sz w:val="18"/>
                <w:szCs w:val="18"/>
                <w:lang w:eastAsia="zh-CN"/>
              </w:rPr>
            </w:pPr>
            <w:r>
              <w:rPr>
                <w:rFonts w:eastAsia="楷体_GB2312"/>
                <w:b/>
                <w:sz w:val="18"/>
                <w:szCs w:val="18"/>
                <w:lang w:eastAsia="zh-CN"/>
              </w:rPr>
              <w:t>贷款类型</w:t>
            </w:r>
          </w:p>
        </w:tc>
        <w:tc>
          <w:tcPr>
            <w:tcW w:w="0" w:type="auto"/>
            <w:noWrap/>
            <w:vAlign w:val="center"/>
          </w:tcPr>
          <w:p w14:paraId="4B746F50">
            <w:pPr>
              <w:jc w:val="right"/>
              <w:rPr>
                <w:rFonts w:eastAsia="楷体_GB2312"/>
                <w:b/>
                <w:bCs/>
                <w:sz w:val="18"/>
                <w:szCs w:val="18"/>
              </w:rPr>
            </w:pPr>
            <w:r>
              <w:rPr>
                <w:rFonts w:eastAsia="楷体_GB2312"/>
                <w:b/>
                <w:bCs/>
                <w:sz w:val="18"/>
                <w:szCs w:val="18"/>
                <w:lang w:eastAsia="zh-CN"/>
              </w:rPr>
              <w:t>贷款笔数</w:t>
            </w:r>
          </w:p>
        </w:tc>
        <w:tc>
          <w:tcPr>
            <w:tcW w:w="0" w:type="auto"/>
            <w:noWrap/>
            <w:vAlign w:val="center"/>
          </w:tcPr>
          <w:p w14:paraId="4CDF2F42">
            <w:pPr>
              <w:jc w:val="center"/>
              <w:rPr>
                <w:rFonts w:eastAsia="楷体_GB2312"/>
                <w:b/>
                <w:bCs/>
                <w:sz w:val="18"/>
                <w:szCs w:val="18"/>
              </w:rPr>
            </w:pPr>
            <w:r>
              <w:rPr>
                <w:rFonts w:eastAsia="楷体_GB2312"/>
                <w:b/>
                <w:bCs/>
                <w:sz w:val="18"/>
                <w:szCs w:val="18"/>
              </w:rPr>
              <w:t>占比(%)</w:t>
            </w:r>
          </w:p>
        </w:tc>
        <w:tc>
          <w:tcPr>
            <w:tcW w:w="0" w:type="auto"/>
            <w:noWrap/>
            <w:vAlign w:val="center"/>
          </w:tcPr>
          <w:p w14:paraId="2924DB62">
            <w:pPr>
              <w:jc w:val="center"/>
              <w:rPr>
                <w:rFonts w:eastAsia="楷体_GB2312"/>
                <w:b/>
                <w:bCs/>
                <w:sz w:val="18"/>
                <w:szCs w:val="18"/>
              </w:rPr>
            </w:pPr>
            <w:r>
              <w:rPr>
                <w:rFonts w:eastAsia="楷体_GB2312"/>
                <w:b/>
                <w:bCs/>
                <w:sz w:val="18"/>
                <w:szCs w:val="18"/>
                <w:lang w:eastAsia="zh-CN"/>
              </w:rPr>
              <w:t>初始本金余额(元)</w:t>
            </w:r>
          </w:p>
        </w:tc>
        <w:tc>
          <w:tcPr>
            <w:tcW w:w="0" w:type="auto"/>
            <w:noWrap/>
            <w:vAlign w:val="center"/>
          </w:tcPr>
          <w:p w14:paraId="0601015E">
            <w:pPr>
              <w:jc w:val="right"/>
              <w:rPr>
                <w:rFonts w:eastAsia="楷体_GB2312"/>
                <w:b/>
                <w:bCs/>
                <w:sz w:val="18"/>
                <w:szCs w:val="18"/>
              </w:rPr>
            </w:pPr>
            <w:r>
              <w:rPr>
                <w:rFonts w:eastAsia="楷体_GB2312"/>
                <w:b/>
                <w:bCs/>
                <w:sz w:val="18"/>
                <w:szCs w:val="18"/>
              </w:rPr>
              <w:t>占比(%)</w:t>
            </w:r>
          </w:p>
        </w:tc>
        <w:tc>
          <w:tcPr>
            <w:tcW w:w="0" w:type="auto"/>
            <w:noWrap/>
            <w:vAlign w:val="center"/>
          </w:tcPr>
          <w:p w14:paraId="6F9E208D">
            <w:pPr>
              <w:jc w:val="center"/>
              <w:rPr>
                <w:rFonts w:eastAsia="楷体_GB2312"/>
                <w:b/>
                <w:bCs/>
                <w:sz w:val="18"/>
                <w:szCs w:val="18"/>
              </w:rPr>
            </w:pPr>
            <w:r>
              <w:rPr>
                <w:rFonts w:eastAsia="楷体_GB2312"/>
                <w:b/>
                <w:bCs/>
                <w:sz w:val="18"/>
                <w:szCs w:val="18"/>
                <w:lang w:eastAsia="zh-CN"/>
              </w:rPr>
              <w:t>未偿本金余额(元)</w:t>
            </w:r>
          </w:p>
        </w:tc>
        <w:tc>
          <w:tcPr>
            <w:tcW w:w="0" w:type="auto"/>
            <w:noWrap/>
            <w:vAlign w:val="center"/>
          </w:tcPr>
          <w:p w14:paraId="2053C446">
            <w:pPr>
              <w:jc w:val="right"/>
              <w:rPr>
                <w:rFonts w:eastAsia="楷体_GB2312"/>
                <w:b/>
                <w:bCs/>
                <w:sz w:val="18"/>
                <w:szCs w:val="18"/>
              </w:rPr>
            </w:pPr>
            <w:r>
              <w:rPr>
                <w:rFonts w:eastAsia="楷体_GB2312"/>
                <w:b/>
                <w:bCs/>
                <w:sz w:val="18"/>
                <w:szCs w:val="18"/>
              </w:rPr>
              <w:t>占比(%)</w:t>
            </w:r>
          </w:p>
        </w:tc>
      </w:tr>
      <w:tr w14:paraId="4348B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5D2E7C2C">
            <w:pPr>
              <w:jc w:val="both"/>
              <w:rPr>
                <w:rFonts w:eastAsia="楷体_GB2312"/>
                <w:sz w:val="18"/>
                <w:szCs w:val="18"/>
                <w:lang w:eastAsia="zh-CN"/>
              </w:rPr>
            </w:pPr>
          </w:p>
        </w:tc>
        <w:tc>
          <w:tcPr>
            <w:tcW w:w="0" w:type="auto"/>
            <w:noWrap/>
            <w:vAlign w:val="center"/>
          </w:tcPr>
          <w:p w14:paraId="5B5E7C53">
            <w:pPr>
              <w:jc w:val="right"/>
              <w:rPr>
                <w:rFonts w:eastAsia="楷体_GB2312"/>
                <w:b/>
                <w:bCs/>
                <w:sz w:val="18"/>
                <w:szCs w:val="18"/>
              </w:rPr>
            </w:pPr>
          </w:p>
        </w:tc>
        <w:tc>
          <w:tcPr>
            <w:tcW w:w="0" w:type="auto"/>
            <w:noWrap/>
            <w:vAlign w:val="center"/>
          </w:tcPr>
          <w:p w14:paraId="52D45BE9">
            <w:pPr>
              <w:jc w:val="center"/>
              <w:rPr>
                <w:rFonts w:eastAsia="楷体_GB2312"/>
                <w:b/>
                <w:bCs/>
                <w:sz w:val="18"/>
                <w:szCs w:val="18"/>
              </w:rPr>
            </w:pPr>
          </w:p>
        </w:tc>
        <w:tc>
          <w:tcPr>
            <w:tcW w:w="0" w:type="auto"/>
            <w:noWrap/>
            <w:vAlign w:val="center"/>
          </w:tcPr>
          <w:p w14:paraId="37D6D8BB">
            <w:pPr>
              <w:jc w:val="right"/>
              <w:rPr>
                <w:rFonts w:eastAsia="楷体_GB2312"/>
                <w:b/>
                <w:bCs/>
                <w:sz w:val="18"/>
                <w:szCs w:val="18"/>
              </w:rPr>
            </w:pPr>
          </w:p>
        </w:tc>
        <w:tc>
          <w:tcPr>
            <w:tcW w:w="0" w:type="auto"/>
            <w:noWrap/>
            <w:vAlign w:val="center"/>
          </w:tcPr>
          <w:p w14:paraId="484544AA">
            <w:pPr>
              <w:jc w:val="right"/>
              <w:rPr>
                <w:rFonts w:eastAsia="楷体_GB2312"/>
                <w:b/>
                <w:bCs/>
                <w:sz w:val="18"/>
                <w:szCs w:val="18"/>
              </w:rPr>
            </w:pPr>
          </w:p>
        </w:tc>
        <w:tc>
          <w:tcPr>
            <w:tcW w:w="0" w:type="auto"/>
            <w:noWrap/>
            <w:vAlign w:val="center"/>
          </w:tcPr>
          <w:p w14:paraId="24681995">
            <w:pPr>
              <w:jc w:val="right"/>
              <w:rPr>
                <w:rFonts w:eastAsia="楷体_GB2312"/>
                <w:b/>
                <w:bCs/>
                <w:sz w:val="18"/>
                <w:szCs w:val="18"/>
              </w:rPr>
            </w:pPr>
          </w:p>
        </w:tc>
        <w:tc>
          <w:tcPr>
            <w:tcW w:w="0" w:type="auto"/>
            <w:noWrap/>
            <w:vAlign w:val="center"/>
          </w:tcPr>
          <w:p w14:paraId="48AA2B37">
            <w:pPr>
              <w:jc w:val="right"/>
              <w:rPr>
                <w:rFonts w:eastAsia="楷体_GB2312"/>
                <w:b/>
                <w:bCs/>
                <w:sz w:val="18"/>
                <w:szCs w:val="18"/>
              </w:rPr>
            </w:pPr>
          </w:p>
        </w:tc>
      </w:tr>
      <w:tr w14:paraId="2476B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58CB1A40">
            <w:pPr>
              <w:jc w:val="both"/>
              <w:rPr>
                <w:rFonts w:eastAsia="楷体_GB2312"/>
                <w:sz w:val="18"/>
                <w:szCs w:val="18"/>
                <w:lang w:eastAsia="zh-CN"/>
              </w:rPr>
            </w:pPr>
          </w:p>
        </w:tc>
        <w:tc>
          <w:tcPr>
            <w:tcW w:w="0" w:type="auto"/>
            <w:noWrap/>
            <w:vAlign w:val="center"/>
          </w:tcPr>
          <w:p w14:paraId="02BAFA2C">
            <w:pPr>
              <w:jc w:val="right"/>
              <w:rPr>
                <w:rFonts w:eastAsia="楷体_GB2312"/>
                <w:b/>
                <w:bCs/>
                <w:sz w:val="18"/>
                <w:szCs w:val="18"/>
              </w:rPr>
            </w:pPr>
          </w:p>
        </w:tc>
        <w:tc>
          <w:tcPr>
            <w:tcW w:w="0" w:type="auto"/>
            <w:noWrap/>
            <w:vAlign w:val="center"/>
          </w:tcPr>
          <w:p w14:paraId="5A1C1332">
            <w:pPr>
              <w:jc w:val="center"/>
              <w:rPr>
                <w:rFonts w:eastAsia="楷体_GB2312"/>
                <w:b/>
                <w:bCs/>
                <w:sz w:val="18"/>
                <w:szCs w:val="18"/>
              </w:rPr>
            </w:pPr>
          </w:p>
        </w:tc>
        <w:tc>
          <w:tcPr>
            <w:tcW w:w="0" w:type="auto"/>
            <w:noWrap/>
            <w:vAlign w:val="center"/>
          </w:tcPr>
          <w:p w14:paraId="02193B43">
            <w:pPr>
              <w:jc w:val="right"/>
              <w:rPr>
                <w:rFonts w:eastAsia="楷体_GB2312"/>
                <w:b/>
                <w:bCs/>
                <w:sz w:val="18"/>
                <w:szCs w:val="18"/>
              </w:rPr>
            </w:pPr>
          </w:p>
        </w:tc>
        <w:tc>
          <w:tcPr>
            <w:tcW w:w="0" w:type="auto"/>
            <w:noWrap/>
            <w:vAlign w:val="center"/>
          </w:tcPr>
          <w:p w14:paraId="1D033882">
            <w:pPr>
              <w:jc w:val="right"/>
              <w:rPr>
                <w:rFonts w:eastAsia="楷体_GB2312"/>
                <w:b/>
                <w:bCs/>
                <w:sz w:val="18"/>
                <w:szCs w:val="18"/>
              </w:rPr>
            </w:pPr>
          </w:p>
        </w:tc>
        <w:tc>
          <w:tcPr>
            <w:tcW w:w="0" w:type="auto"/>
            <w:noWrap/>
            <w:vAlign w:val="center"/>
          </w:tcPr>
          <w:p w14:paraId="1F9B8B6D">
            <w:pPr>
              <w:jc w:val="right"/>
              <w:rPr>
                <w:rFonts w:eastAsia="楷体_GB2312"/>
                <w:b/>
                <w:bCs/>
                <w:sz w:val="18"/>
                <w:szCs w:val="18"/>
              </w:rPr>
            </w:pPr>
          </w:p>
        </w:tc>
        <w:tc>
          <w:tcPr>
            <w:tcW w:w="0" w:type="auto"/>
            <w:noWrap/>
            <w:vAlign w:val="center"/>
          </w:tcPr>
          <w:p w14:paraId="2D40A7EB">
            <w:pPr>
              <w:jc w:val="right"/>
              <w:rPr>
                <w:rFonts w:eastAsia="楷体_GB2312"/>
                <w:b/>
                <w:bCs/>
                <w:sz w:val="18"/>
                <w:szCs w:val="18"/>
              </w:rPr>
            </w:pPr>
          </w:p>
        </w:tc>
      </w:tr>
      <w:tr w14:paraId="09C9C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7A083652">
            <w:pPr>
              <w:jc w:val="both"/>
              <w:rPr>
                <w:rFonts w:eastAsia="楷体_GB2312"/>
                <w:sz w:val="18"/>
                <w:szCs w:val="18"/>
                <w:lang w:eastAsia="zh-CN"/>
              </w:rPr>
            </w:pPr>
          </w:p>
        </w:tc>
        <w:tc>
          <w:tcPr>
            <w:tcW w:w="0" w:type="auto"/>
            <w:noWrap/>
            <w:vAlign w:val="center"/>
          </w:tcPr>
          <w:p w14:paraId="2818E226">
            <w:pPr>
              <w:jc w:val="right"/>
              <w:rPr>
                <w:rFonts w:eastAsia="楷体_GB2312"/>
                <w:b/>
                <w:bCs/>
                <w:sz w:val="18"/>
                <w:szCs w:val="18"/>
              </w:rPr>
            </w:pPr>
          </w:p>
        </w:tc>
        <w:tc>
          <w:tcPr>
            <w:tcW w:w="0" w:type="auto"/>
            <w:noWrap/>
            <w:vAlign w:val="center"/>
          </w:tcPr>
          <w:p w14:paraId="5DA8971B">
            <w:pPr>
              <w:jc w:val="center"/>
              <w:rPr>
                <w:rFonts w:eastAsia="楷体_GB2312"/>
                <w:b/>
                <w:bCs/>
                <w:sz w:val="18"/>
                <w:szCs w:val="18"/>
              </w:rPr>
            </w:pPr>
          </w:p>
        </w:tc>
        <w:tc>
          <w:tcPr>
            <w:tcW w:w="0" w:type="auto"/>
            <w:noWrap/>
            <w:vAlign w:val="center"/>
          </w:tcPr>
          <w:p w14:paraId="27B9D5B4">
            <w:pPr>
              <w:jc w:val="right"/>
              <w:rPr>
                <w:rFonts w:eastAsia="楷体_GB2312"/>
                <w:b/>
                <w:bCs/>
                <w:sz w:val="18"/>
                <w:szCs w:val="18"/>
              </w:rPr>
            </w:pPr>
          </w:p>
        </w:tc>
        <w:tc>
          <w:tcPr>
            <w:tcW w:w="0" w:type="auto"/>
            <w:noWrap/>
            <w:vAlign w:val="center"/>
          </w:tcPr>
          <w:p w14:paraId="1F482DA3">
            <w:pPr>
              <w:jc w:val="right"/>
              <w:rPr>
                <w:rFonts w:eastAsia="楷体_GB2312"/>
                <w:b/>
                <w:bCs/>
                <w:sz w:val="18"/>
                <w:szCs w:val="18"/>
              </w:rPr>
            </w:pPr>
          </w:p>
        </w:tc>
        <w:tc>
          <w:tcPr>
            <w:tcW w:w="0" w:type="auto"/>
            <w:noWrap/>
            <w:vAlign w:val="center"/>
          </w:tcPr>
          <w:p w14:paraId="2F0B987D">
            <w:pPr>
              <w:jc w:val="right"/>
              <w:rPr>
                <w:rFonts w:eastAsia="楷体_GB2312"/>
                <w:b/>
                <w:bCs/>
                <w:sz w:val="18"/>
                <w:szCs w:val="18"/>
              </w:rPr>
            </w:pPr>
          </w:p>
        </w:tc>
        <w:tc>
          <w:tcPr>
            <w:tcW w:w="0" w:type="auto"/>
            <w:noWrap/>
            <w:vAlign w:val="center"/>
          </w:tcPr>
          <w:p w14:paraId="6AE5B7D1">
            <w:pPr>
              <w:jc w:val="right"/>
              <w:rPr>
                <w:rFonts w:eastAsia="楷体_GB2312"/>
                <w:b/>
                <w:bCs/>
                <w:sz w:val="18"/>
                <w:szCs w:val="18"/>
              </w:rPr>
            </w:pPr>
          </w:p>
        </w:tc>
      </w:tr>
    </w:tbl>
    <w:p w14:paraId="1CE0A766">
      <w:pPr>
        <w:spacing w:line="360" w:lineRule="auto"/>
        <w:rPr>
          <w:rFonts w:eastAsia="楷体_GB2312"/>
        </w:rPr>
      </w:pPr>
    </w:p>
    <w:p w14:paraId="7182A3DB">
      <w:pPr>
        <w:rPr>
          <w:rFonts w:eastAsia="楷体_GB2312"/>
        </w:rPr>
      </w:pPr>
      <w:r>
        <w:rPr>
          <w:rFonts w:eastAsia="楷体_GB2312"/>
        </w:rPr>
        <w:br w:type="page"/>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939"/>
        <w:gridCol w:w="878"/>
        <w:gridCol w:w="1601"/>
        <w:gridCol w:w="878"/>
        <w:gridCol w:w="1601"/>
        <w:gridCol w:w="878"/>
      </w:tblGrid>
      <w:tr w14:paraId="741C4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gridSpan w:val="7"/>
            <w:noWrap/>
          </w:tcPr>
          <w:p w14:paraId="3BD5046A">
            <w:pPr>
              <w:spacing w:line="360" w:lineRule="auto"/>
              <w:jc w:val="center"/>
              <w:rPr>
                <w:rFonts w:eastAsia="楷体_GB2312"/>
                <w:b/>
                <w:sz w:val="28"/>
                <w:lang w:eastAsia="zh-CN"/>
              </w:rPr>
            </w:pPr>
            <w:r>
              <w:rPr>
                <w:rFonts w:eastAsia="楷体_GB2312"/>
                <w:b/>
                <w:sz w:val="28"/>
                <w:lang w:eastAsia="zh-CN"/>
              </w:rPr>
              <w:t>【信托名称】</w:t>
            </w:r>
          </w:p>
          <w:p w14:paraId="76173A16">
            <w:pPr>
              <w:jc w:val="center"/>
              <w:rPr>
                <w:rFonts w:eastAsia="楷体_GB2312"/>
                <w:b/>
                <w:sz w:val="21"/>
                <w:szCs w:val="21"/>
                <w:lang w:eastAsia="zh-CN"/>
              </w:rPr>
            </w:pPr>
            <w:r>
              <w:rPr>
                <w:rFonts w:eastAsia="楷体_GB2312"/>
                <w:b/>
                <w:sz w:val="28"/>
                <w:lang w:eastAsia="zh-CN"/>
              </w:rPr>
              <w:t>受托机构月度/年度报告</w:t>
            </w:r>
          </w:p>
        </w:tc>
      </w:tr>
      <w:tr w14:paraId="74826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gridSpan w:val="7"/>
            <w:noWrap/>
          </w:tcPr>
          <w:p w14:paraId="7BE3FD89">
            <w:pPr>
              <w:rPr>
                <w:rFonts w:eastAsia="楷体_GB2312"/>
                <w:b/>
                <w:sz w:val="21"/>
                <w:szCs w:val="21"/>
                <w:lang w:eastAsia="zh-CN"/>
              </w:rPr>
            </w:pPr>
            <w:r>
              <w:rPr>
                <w:rFonts w:eastAsia="楷体_GB2312"/>
                <w:b/>
                <w:bCs/>
                <w:lang w:eastAsia="zh-CN"/>
              </w:rPr>
              <w:t>七、存续期基础资产持续购买分布信息（续）</w:t>
            </w:r>
          </w:p>
        </w:tc>
      </w:tr>
      <w:tr w14:paraId="600A5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gridSpan w:val="7"/>
            <w:noWrap/>
            <w:vAlign w:val="center"/>
          </w:tcPr>
          <w:p w14:paraId="4B06D446">
            <w:pPr>
              <w:rPr>
                <w:rFonts w:eastAsia="楷体_GB2312"/>
                <w:b/>
                <w:bCs/>
                <w:lang w:eastAsia="zh-CN"/>
              </w:rPr>
            </w:pPr>
            <w:r>
              <w:rPr>
                <w:rFonts w:eastAsia="楷体_GB2312"/>
                <w:b/>
                <w:szCs w:val="21"/>
              </w:rPr>
              <w:t>借款人分布</w:t>
            </w:r>
          </w:p>
        </w:tc>
      </w:tr>
      <w:tr w14:paraId="356BF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gridSpan w:val="7"/>
            <w:noWrap/>
            <w:vAlign w:val="center"/>
          </w:tcPr>
          <w:p w14:paraId="07BB3EFC">
            <w:pPr>
              <w:rPr>
                <w:rFonts w:eastAsia="楷体_GB2312"/>
                <w:b/>
                <w:bCs/>
                <w:lang w:eastAsia="zh-CN"/>
              </w:rPr>
            </w:pPr>
            <w:r>
              <w:rPr>
                <w:rFonts w:eastAsia="楷体_GB2312"/>
                <w:b/>
                <w:bCs/>
                <w:sz w:val="21"/>
                <w:szCs w:val="21"/>
                <w:lang w:eastAsia="zh-CN"/>
              </w:rPr>
              <w:t>(一)年龄分布</w:t>
            </w:r>
          </w:p>
        </w:tc>
      </w:tr>
      <w:tr w14:paraId="0641C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0ADC6099">
            <w:pPr>
              <w:jc w:val="center"/>
              <w:rPr>
                <w:rFonts w:eastAsia="楷体_GB2312"/>
                <w:sz w:val="18"/>
                <w:szCs w:val="18"/>
                <w:lang w:eastAsia="zh-CN"/>
              </w:rPr>
            </w:pPr>
            <w:r>
              <w:rPr>
                <w:rFonts w:eastAsia="楷体_GB2312"/>
                <w:b/>
                <w:bCs/>
                <w:sz w:val="18"/>
                <w:szCs w:val="18"/>
                <w:lang w:eastAsia="zh-CN"/>
              </w:rPr>
              <w:t>年龄</w:t>
            </w:r>
          </w:p>
        </w:tc>
        <w:tc>
          <w:tcPr>
            <w:tcW w:w="0" w:type="auto"/>
            <w:noWrap/>
            <w:vAlign w:val="center"/>
          </w:tcPr>
          <w:p w14:paraId="4372785E">
            <w:pPr>
              <w:jc w:val="center"/>
              <w:rPr>
                <w:rFonts w:eastAsia="楷体_GB2312"/>
                <w:sz w:val="18"/>
                <w:szCs w:val="18"/>
                <w:lang w:eastAsia="zh-CN"/>
              </w:rPr>
            </w:pPr>
            <w:r>
              <w:rPr>
                <w:rFonts w:eastAsia="楷体_GB2312"/>
                <w:b/>
                <w:bCs/>
                <w:sz w:val="18"/>
                <w:szCs w:val="18"/>
                <w:lang w:eastAsia="zh-CN"/>
              </w:rPr>
              <w:t>贷款笔数</w:t>
            </w:r>
          </w:p>
        </w:tc>
        <w:tc>
          <w:tcPr>
            <w:tcW w:w="0" w:type="auto"/>
            <w:noWrap/>
            <w:vAlign w:val="center"/>
          </w:tcPr>
          <w:p w14:paraId="19807D20">
            <w:pPr>
              <w:jc w:val="center"/>
              <w:rPr>
                <w:rFonts w:eastAsia="楷体_GB2312"/>
                <w:sz w:val="18"/>
                <w:szCs w:val="18"/>
                <w:lang w:eastAsia="zh-CN"/>
              </w:rPr>
            </w:pPr>
            <w:r>
              <w:rPr>
                <w:rFonts w:eastAsia="楷体_GB2312"/>
                <w:b/>
                <w:bCs/>
                <w:sz w:val="18"/>
                <w:szCs w:val="18"/>
              </w:rPr>
              <w:t>占比(%)</w:t>
            </w:r>
          </w:p>
        </w:tc>
        <w:tc>
          <w:tcPr>
            <w:tcW w:w="0" w:type="auto"/>
            <w:noWrap/>
            <w:vAlign w:val="center"/>
          </w:tcPr>
          <w:p w14:paraId="714CF955">
            <w:pPr>
              <w:jc w:val="center"/>
              <w:rPr>
                <w:rFonts w:eastAsia="楷体_GB2312"/>
                <w:sz w:val="18"/>
                <w:szCs w:val="18"/>
                <w:lang w:eastAsia="zh-CN"/>
              </w:rPr>
            </w:pPr>
            <w:r>
              <w:rPr>
                <w:rFonts w:eastAsia="楷体_GB2312"/>
                <w:b/>
                <w:bCs/>
                <w:sz w:val="18"/>
                <w:szCs w:val="18"/>
                <w:lang w:eastAsia="zh-CN"/>
              </w:rPr>
              <w:t>初始本金余额(元)</w:t>
            </w:r>
          </w:p>
        </w:tc>
        <w:tc>
          <w:tcPr>
            <w:tcW w:w="0" w:type="auto"/>
            <w:noWrap/>
            <w:vAlign w:val="center"/>
          </w:tcPr>
          <w:p w14:paraId="31062160">
            <w:pPr>
              <w:jc w:val="center"/>
              <w:rPr>
                <w:rFonts w:eastAsia="楷体_GB2312"/>
                <w:sz w:val="18"/>
                <w:szCs w:val="18"/>
                <w:lang w:eastAsia="zh-CN"/>
              </w:rPr>
            </w:pPr>
            <w:r>
              <w:rPr>
                <w:rFonts w:eastAsia="楷体_GB2312"/>
                <w:b/>
                <w:bCs/>
                <w:sz w:val="18"/>
                <w:szCs w:val="18"/>
              </w:rPr>
              <w:t>占比(%)</w:t>
            </w:r>
          </w:p>
        </w:tc>
        <w:tc>
          <w:tcPr>
            <w:tcW w:w="0" w:type="auto"/>
            <w:noWrap/>
            <w:vAlign w:val="center"/>
          </w:tcPr>
          <w:p w14:paraId="533B1E24">
            <w:pPr>
              <w:jc w:val="center"/>
              <w:rPr>
                <w:rFonts w:eastAsia="楷体_GB2312"/>
                <w:sz w:val="18"/>
                <w:szCs w:val="18"/>
                <w:lang w:eastAsia="zh-CN"/>
              </w:rPr>
            </w:pPr>
            <w:r>
              <w:rPr>
                <w:rFonts w:eastAsia="楷体_GB2312"/>
                <w:b/>
                <w:bCs/>
                <w:sz w:val="18"/>
                <w:szCs w:val="18"/>
                <w:lang w:eastAsia="zh-CN"/>
              </w:rPr>
              <w:t>未偿本金余额(元)</w:t>
            </w:r>
          </w:p>
        </w:tc>
        <w:tc>
          <w:tcPr>
            <w:tcW w:w="0" w:type="auto"/>
            <w:noWrap/>
            <w:vAlign w:val="center"/>
          </w:tcPr>
          <w:p w14:paraId="1E0022BF">
            <w:pPr>
              <w:jc w:val="center"/>
              <w:rPr>
                <w:rFonts w:eastAsia="楷体_GB2312"/>
                <w:sz w:val="18"/>
                <w:szCs w:val="18"/>
                <w:lang w:eastAsia="zh-CN"/>
              </w:rPr>
            </w:pPr>
            <w:r>
              <w:rPr>
                <w:rFonts w:eastAsia="楷体_GB2312"/>
                <w:b/>
                <w:bCs/>
                <w:sz w:val="18"/>
                <w:szCs w:val="18"/>
              </w:rPr>
              <w:t>占比(%)</w:t>
            </w:r>
          </w:p>
        </w:tc>
      </w:tr>
      <w:tr w14:paraId="738EB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38E098F">
            <w:pPr>
              <w:jc w:val="center"/>
              <w:rPr>
                <w:rFonts w:eastAsia="楷体_GB2312"/>
                <w:sz w:val="18"/>
                <w:szCs w:val="18"/>
                <w:lang w:eastAsia="zh-CN"/>
              </w:rPr>
            </w:pPr>
          </w:p>
        </w:tc>
        <w:tc>
          <w:tcPr>
            <w:tcW w:w="0" w:type="auto"/>
            <w:noWrap/>
            <w:vAlign w:val="center"/>
          </w:tcPr>
          <w:p w14:paraId="1B117650">
            <w:pPr>
              <w:jc w:val="right"/>
              <w:rPr>
                <w:rFonts w:eastAsia="楷体_GB2312"/>
                <w:sz w:val="18"/>
                <w:szCs w:val="18"/>
                <w:lang w:eastAsia="zh-CN"/>
              </w:rPr>
            </w:pPr>
          </w:p>
        </w:tc>
        <w:tc>
          <w:tcPr>
            <w:tcW w:w="0" w:type="auto"/>
            <w:noWrap/>
            <w:vAlign w:val="center"/>
          </w:tcPr>
          <w:p w14:paraId="07F499DB">
            <w:pPr>
              <w:jc w:val="right"/>
              <w:rPr>
                <w:rFonts w:eastAsia="楷体_GB2312"/>
                <w:sz w:val="18"/>
                <w:szCs w:val="18"/>
                <w:lang w:eastAsia="zh-CN"/>
              </w:rPr>
            </w:pPr>
          </w:p>
        </w:tc>
        <w:tc>
          <w:tcPr>
            <w:tcW w:w="0" w:type="auto"/>
            <w:noWrap/>
            <w:vAlign w:val="center"/>
          </w:tcPr>
          <w:p w14:paraId="4DBF2247">
            <w:pPr>
              <w:jc w:val="right"/>
              <w:rPr>
                <w:rFonts w:eastAsia="楷体_GB2312"/>
                <w:sz w:val="18"/>
                <w:szCs w:val="18"/>
                <w:lang w:eastAsia="zh-CN"/>
              </w:rPr>
            </w:pPr>
          </w:p>
        </w:tc>
        <w:tc>
          <w:tcPr>
            <w:tcW w:w="0" w:type="auto"/>
            <w:noWrap/>
            <w:vAlign w:val="center"/>
          </w:tcPr>
          <w:p w14:paraId="3892CEB7">
            <w:pPr>
              <w:jc w:val="right"/>
              <w:rPr>
                <w:rFonts w:eastAsia="楷体_GB2312"/>
                <w:sz w:val="18"/>
                <w:szCs w:val="18"/>
                <w:lang w:eastAsia="zh-CN"/>
              </w:rPr>
            </w:pPr>
          </w:p>
        </w:tc>
        <w:tc>
          <w:tcPr>
            <w:tcW w:w="0" w:type="auto"/>
            <w:noWrap/>
            <w:vAlign w:val="center"/>
          </w:tcPr>
          <w:p w14:paraId="731122E9">
            <w:pPr>
              <w:jc w:val="right"/>
              <w:rPr>
                <w:rFonts w:eastAsia="楷体_GB2312"/>
                <w:sz w:val="18"/>
                <w:szCs w:val="18"/>
                <w:lang w:eastAsia="zh-CN"/>
              </w:rPr>
            </w:pPr>
          </w:p>
        </w:tc>
        <w:tc>
          <w:tcPr>
            <w:tcW w:w="0" w:type="auto"/>
            <w:noWrap/>
            <w:vAlign w:val="center"/>
          </w:tcPr>
          <w:p w14:paraId="73753C14">
            <w:pPr>
              <w:jc w:val="right"/>
              <w:rPr>
                <w:rFonts w:eastAsia="楷体_GB2312"/>
                <w:sz w:val="18"/>
                <w:szCs w:val="18"/>
                <w:lang w:eastAsia="zh-CN"/>
              </w:rPr>
            </w:pPr>
          </w:p>
        </w:tc>
      </w:tr>
      <w:tr w14:paraId="39003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457A2ADD">
            <w:pPr>
              <w:jc w:val="center"/>
              <w:rPr>
                <w:rFonts w:eastAsia="楷体_GB2312"/>
                <w:sz w:val="18"/>
                <w:szCs w:val="18"/>
                <w:lang w:eastAsia="zh-CN"/>
              </w:rPr>
            </w:pPr>
          </w:p>
        </w:tc>
        <w:tc>
          <w:tcPr>
            <w:tcW w:w="0" w:type="auto"/>
            <w:noWrap/>
            <w:vAlign w:val="center"/>
          </w:tcPr>
          <w:p w14:paraId="7ACB27D7">
            <w:pPr>
              <w:jc w:val="right"/>
              <w:rPr>
                <w:rFonts w:eastAsia="楷体_GB2312"/>
                <w:sz w:val="18"/>
                <w:szCs w:val="18"/>
                <w:lang w:eastAsia="zh-CN"/>
              </w:rPr>
            </w:pPr>
          </w:p>
        </w:tc>
        <w:tc>
          <w:tcPr>
            <w:tcW w:w="0" w:type="auto"/>
            <w:noWrap/>
            <w:vAlign w:val="center"/>
          </w:tcPr>
          <w:p w14:paraId="5EC44EDA">
            <w:pPr>
              <w:jc w:val="right"/>
              <w:rPr>
                <w:rFonts w:eastAsia="楷体_GB2312"/>
                <w:sz w:val="18"/>
                <w:szCs w:val="18"/>
                <w:lang w:eastAsia="zh-CN"/>
              </w:rPr>
            </w:pPr>
          </w:p>
        </w:tc>
        <w:tc>
          <w:tcPr>
            <w:tcW w:w="0" w:type="auto"/>
            <w:noWrap/>
            <w:vAlign w:val="center"/>
          </w:tcPr>
          <w:p w14:paraId="2C11E2D4">
            <w:pPr>
              <w:jc w:val="right"/>
              <w:rPr>
                <w:rFonts w:eastAsia="楷体_GB2312"/>
                <w:sz w:val="18"/>
                <w:szCs w:val="18"/>
                <w:lang w:eastAsia="zh-CN"/>
              </w:rPr>
            </w:pPr>
          </w:p>
        </w:tc>
        <w:tc>
          <w:tcPr>
            <w:tcW w:w="0" w:type="auto"/>
            <w:noWrap/>
            <w:vAlign w:val="center"/>
          </w:tcPr>
          <w:p w14:paraId="4537AC7E">
            <w:pPr>
              <w:jc w:val="right"/>
              <w:rPr>
                <w:rFonts w:eastAsia="楷体_GB2312"/>
                <w:sz w:val="18"/>
                <w:szCs w:val="18"/>
                <w:lang w:eastAsia="zh-CN"/>
              </w:rPr>
            </w:pPr>
          </w:p>
        </w:tc>
        <w:tc>
          <w:tcPr>
            <w:tcW w:w="0" w:type="auto"/>
            <w:noWrap/>
            <w:vAlign w:val="center"/>
          </w:tcPr>
          <w:p w14:paraId="03E13093">
            <w:pPr>
              <w:jc w:val="right"/>
              <w:rPr>
                <w:rFonts w:eastAsia="楷体_GB2312"/>
                <w:sz w:val="18"/>
                <w:szCs w:val="18"/>
                <w:lang w:eastAsia="zh-CN"/>
              </w:rPr>
            </w:pPr>
          </w:p>
        </w:tc>
        <w:tc>
          <w:tcPr>
            <w:tcW w:w="0" w:type="auto"/>
            <w:noWrap/>
            <w:vAlign w:val="center"/>
          </w:tcPr>
          <w:p w14:paraId="71111FDC">
            <w:pPr>
              <w:jc w:val="right"/>
              <w:rPr>
                <w:rFonts w:eastAsia="楷体_GB2312"/>
                <w:sz w:val="18"/>
                <w:szCs w:val="18"/>
                <w:lang w:eastAsia="zh-CN"/>
              </w:rPr>
            </w:pPr>
          </w:p>
        </w:tc>
      </w:tr>
      <w:tr w14:paraId="68DAF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596786AE">
            <w:pPr>
              <w:jc w:val="center"/>
              <w:rPr>
                <w:rFonts w:eastAsia="楷体_GB2312"/>
                <w:sz w:val="18"/>
                <w:szCs w:val="18"/>
                <w:lang w:eastAsia="zh-CN"/>
              </w:rPr>
            </w:pPr>
          </w:p>
        </w:tc>
        <w:tc>
          <w:tcPr>
            <w:tcW w:w="0" w:type="auto"/>
            <w:noWrap/>
            <w:vAlign w:val="center"/>
          </w:tcPr>
          <w:p w14:paraId="73A6AC0E">
            <w:pPr>
              <w:jc w:val="right"/>
              <w:rPr>
                <w:rFonts w:eastAsia="楷体_GB2312"/>
                <w:sz w:val="18"/>
                <w:szCs w:val="18"/>
                <w:lang w:eastAsia="zh-CN"/>
              </w:rPr>
            </w:pPr>
          </w:p>
        </w:tc>
        <w:tc>
          <w:tcPr>
            <w:tcW w:w="0" w:type="auto"/>
            <w:noWrap/>
            <w:vAlign w:val="center"/>
          </w:tcPr>
          <w:p w14:paraId="5C239609">
            <w:pPr>
              <w:jc w:val="right"/>
              <w:rPr>
                <w:rFonts w:eastAsia="楷体_GB2312"/>
                <w:sz w:val="18"/>
                <w:szCs w:val="18"/>
                <w:lang w:eastAsia="zh-CN"/>
              </w:rPr>
            </w:pPr>
          </w:p>
        </w:tc>
        <w:tc>
          <w:tcPr>
            <w:tcW w:w="0" w:type="auto"/>
            <w:noWrap/>
            <w:vAlign w:val="center"/>
          </w:tcPr>
          <w:p w14:paraId="5C3FC856">
            <w:pPr>
              <w:jc w:val="right"/>
              <w:rPr>
                <w:rFonts w:eastAsia="楷体_GB2312"/>
                <w:sz w:val="18"/>
                <w:szCs w:val="18"/>
                <w:lang w:eastAsia="zh-CN"/>
              </w:rPr>
            </w:pPr>
          </w:p>
        </w:tc>
        <w:tc>
          <w:tcPr>
            <w:tcW w:w="0" w:type="auto"/>
            <w:noWrap/>
            <w:vAlign w:val="center"/>
          </w:tcPr>
          <w:p w14:paraId="15F568C1">
            <w:pPr>
              <w:jc w:val="right"/>
              <w:rPr>
                <w:rFonts w:eastAsia="楷体_GB2312"/>
                <w:sz w:val="18"/>
                <w:szCs w:val="18"/>
                <w:lang w:eastAsia="zh-CN"/>
              </w:rPr>
            </w:pPr>
          </w:p>
        </w:tc>
        <w:tc>
          <w:tcPr>
            <w:tcW w:w="0" w:type="auto"/>
            <w:noWrap/>
            <w:vAlign w:val="center"/>
          </w:tcPr>
          <w:p w14:paraId="02C081F8">
            <w:pPr>
              <w:jc w:val="right"/>
              <w:rPr>
                <w:rFonts w:eastAsia="楷体_GB2312"/>
                <w:sz w:val="18"/>
                <w:szCs w:val="18"/>
                <w:lang w:eastAsia="zh-CN"/>
              </w:rPr>
            </w:pPr>
          </w:p>
        </w:tc>
        <w:tc>
          <w:tcPr>
            <w:tcW w:w="0" w:type="auto"/>
            <w:noWrap/>
            <w:vAlign w:val="center"/>
          </w:tcPr>
          <w:p w14:paraId="2E46B002">
            <w:pPr>
              <w:jc w:val="right"/>
              <w:rPr>
                <w:rFonts w:eastAsia="楷体_GB2312"/>
                <w:sz w:val="18"/>
                <w:szCs w:val="18"/>
                <w:lang w:eastAsia="zh-CN"/>
              </w:rPr>
            </w:pPr>
          </w:p>
        </w:tc>
      </w:tr>
      <w:tr w14:paraId="50113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gridSpan w:val="7"/>
            <w:noWrap/>
            <w:vAlign w:val="center"/>
          </w:tcPr>
          <w:p w14:paraId="334097ED">
            <w:pPr>
              <w:rPr>
                <w:rFonts w:eastAsia="楷体_GB2312"/>
                <w:sz w:val="18"/>
                <w:szCs w:val="18"/>
                <w:lang w:eastAsia="zh-CN"/>
              </w:rPr>
            </w:pPr>
            <w:r>
              <w:rPr>
                <w:rFonts w:eastAsia="楷体_GB2312"/>
                <w:b/>
                <w:bCs/>
                <w:sz w:val="21"/>
                <w:szCs w:val="21"/>
                <w:lang w:eastAsia="zh-CN"/>
              </w:rPr>
              <w:t>(二)收入分布</w:t>
            </w:r>
          </w:p>
        </w:tc>
      </w:tr>
      <w:tr w14:paraId="43F4A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403DBB4C">
            <w:pPr>
              <w:jc w:val="center"/>
              <w:rPr>
                <w:rFonts w:eastAsia="楷体_GB2312"/>
                <w:sz w:val="18"/>
                <w:szCs w:val="18"/>
                <w:lang w:eastAsia="zh-CN"/>
              </w:rPr>
            </w:pPr>
            <w:r>
              <w:rPr>
                <w:rFonts w:eastAsia="楷体_GB2312"/>
                <w:b/>
                <w:bCs/>
                <w:sz w:val="18"/>
                <w:szCs w:val="18"/>
                <w:lang w:eastAsia="zh-CN"/>
              </w:rPr>
              <w:t>收入</w:t>
            </w:r>
          </w:p>
        </w:tc>
        <w:tc>
          <w:tcPr>
            <w:tcW w:w="0" w:type="auto"/>
            <w:noWrap/>
            <w:vAlign w:val="center"/>
          </w:tcPr>
          <w:p w14:paraId="1B473A9D">
            <w:pPr>
              <w:jc w:val="right"/>
              <w:rPr>
                <w:rFonts w:eastAsia="楷体_GB2312"/>
                <w:sz w:val="18"/>
                <w:szCs w:val="18"/>
                <w:lang w:eastAsia="zh-CN"/>
              </w:rPr>
            </w:pPr>
            <w:r>
              <w:rPr>
                <w:rFonts w:eastAsia="楷体_GB2312"/>
                <w:b/>
                <w:bCs/>
                <w:sz w:val="18"/>
                <w:szCs w:val="18"/>
                <w:lang w:eastAsia="zh-CN"/>
              </w:rPr>
              <w:t>贷款笔数</w:t>
            </w:r>
          </w:p>
        </w:tc>
        <w:tc>
          <w:tcPr>
            <w:tcW w:w="0" w:type="auto"/>
            <w:noWrap/>
            <w:vAlign w:val="center"/>
          </w:tcPr>
          <w:p w14:paraId="16A05102">
            <w:pPr>
              <w:jc w:val="right"/>
              <w:rPr>
                <w:rFonts w:eastAsia="楷体_GB2312"/>
                <w:sz w:val="18"/>
                <w:szCs w:val="18"/>
                <w:lang w:eastAsia="zh-CN"/>
              </w:rPr>
            </w:pPr>
            <w:r>
              <w:rPr>
                <w:rFonts w:eastAsia="楷体_GB2312"/>
                <w:b/>
                <w:bCs/>
                <w:sz w:val="18"/>
                <w:szCs w:val="18"/>
              </w:rPr>
              <w:t>占比(%)</w:t>
            </w:r>
          </w:p>
        </w:tc>
        <w:tc>
          <w:tcPr>
            <w:tcW w:w="0" w:type="auto"/>
            <w:noWrap/>
            <w:vAlign w:val="center"/>
          </w:tcPr>
          <w:p w14:paraId="1F508781">
            <w:pPr>
              <w:jc w:val="right"/>
              <w:rPr>
                <w:rFonts w:eastAsia="楷体_GB2312"/>
                <w:sz w:val="18"/>
                <w:szCs w:val="18"/>
                <w:lang w:eastAsia="zh-CN"/>
              </w:rPr>
            </w:pPr>
            <w:r>
              <w:rPr>
                <w:rFonts w:eastAsia="楷体_GB2312"/>
                <w:b/>
                <w:bCs/>
                <w:sz w:val="18"/>
                <w:szCs w:val="18"/>
                <w:lang w:eastAsia="zh-CN"/>
              </w:rPr>
              <w:t>初始本金余额(元)</w:t>
            </w:r>
          </w:p>
        </w:tc>
        <w:tc>
          <w:tcPr>
            <w:tcW w:w="0" w:type="auto"/>
            <w:noWrap/>
            <w:vAlign w:val="center"/>
          </w:tcPr>
          <w:p w14:paraId="6F6B282B">
            <w:pPr>
              <w:jc w:val="right"/>
              <w:rPr>
                <w:rFonts w:eastAsia="楷体_GB2312"/>
                <w:sz w:val="18"/>
                <w:szCs w:val="18"/>
                <w:lang w:eastAsia="zh-CN"/>
              </w:rPr>
            </w:pPr>
            <w:r>
              <w:rPr>
                <w:rFonts w:eastAsia="楷体_GB2312"/>
                <w:b/>
                <w:bCs/>
                <w:sz w:val="18"/>
                <w:szCs w:val="18"/>
              </w:rPr>
              <w:t>占比(%)</w:t>
            </w:r>
          </w:p>
        </w:tc>
        <w:tc>
          <w:tcPr>
            <w:tcW w:w="0" w:type="auto"/>
            <w:noWrap/>
            <w:vAlign w:val="center"/>
          </w:tcPr>
          <w:p w14:paraId="7CF0DE52">
            <w:pPr>
              <w:jc w:val="right"/>
              <w:rPr>
                <w:rFonts w:eastAsia="楷体_GB2312"/>
                <w:sz w:val="18"/>
                <w:szCs w:val="18"/>
                <w:lang w:eastAsia="zh-CN"/>
              </w:rPr>
            </w:pPr>
            <w:r>
              <w:rPr>
                <w:rFonts w:eastAsia="楷体_GB2312"/>
                <w:b/>
                <w:bCs/>
                <w:sz w:val="18"/>
                <w:szCs w:val="18"/>
                <w:lang w:eastAsia="zh-CN"/>
              </w:rPr>
              <w:t>未偿本金余额(元)</w:t>
            </w:r>
          </w:p>
        </w:tc>
        <w:tc>
          <w:tcPr>
            <w:tcW w:w="0" w:type="auto"/>
            <w:noWrap/>
            <w:vAlign w:val="center"/>
          </w:tcPr>
          <w:p w14:paraId="3F8DF4CA">
            <w:pPr>
              <w:jc w:val="right"/>
              <w:rPr>
                <w:rFonts w:eastAsia="楷体_GB2312"/>
                <w:sz w:val="18"/>
                <w:szCs w:val="18"/>
                <w:lang w:eastAsia="zh-CN"/>
              </w:rPr>
            </w:pPr>
            <w:r>
              <w:rPr>
                <w:rFonts w:eastAsia="楷体_GB2312"/>
                <w:b/>
                <w:bCs/>
                <w:sz w:val="18"/>
                <w:szCs w:val="18"/>
              </w:rPr>
              <w:t>占比(%)</w:t>
            </w:r>
          </w:p>
        </w:tc>
      </w:tr>
      <w:tr w14:paraId="68A55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C93DA2E">
            <w:pPr>
              <w:jc w:val="center"/>
              <w:rPr>
                <w:rFonts w:eastAsia="楷体_GB2312"/>
                <w:sz w:val="18"/>
                <w:szCs w:val="18"/>
                <w:lang w:eastAsia="zh-CN"/>
              </w:rPr>
            </w:pPr>
          </w:p>
        </w:tc>
        <w:tc>
          <w:tcPr>
            <w:tcW w:w="0" w:type="auto"/>
            <w:noWrap/>
            <w:vAlign w:val="center"/>
          </w:tcPr>
          <w:p w14:paraId="6F25D26D">
            <w:pPr>
              <w:jc w:val="right"/>
              <w:rPr>
                <w:rFonts w:eastAsia="楷体_GB2312"/>
                <w:sz w:val="18"/>
                <w:szCs w:val="18"/>
                <w:lang w:eastAsia="zh-CN"/>
              </w:rPr>
            </w:pPr>
          </w:p>
        </w:tc>
        <w:tc>
          <w:tcPr>
            <w:tcW w:w="0" w:type="auto"/>
            <w:noWrap/>
            <w:vAlign w:val="center"/>
          </w:tcPr>
          <w:p w14:paraId="190696E3">
            <w:pPr>
              <w:jc w:val="right"/>
              <w:rPr>
                <w:rFonts w:eastAsia="楷体_GB2312"/>
                <w:sz w:val="18"/>
                <w:szCs w:val="18"/>
                <w:lang w:eastAsia="zh-CN"/>
              </w:rPr>
            </w:pPr>
          </w:p>
        </w:tc>
        <w:tc>
          <w:tcPr>
            <w:tcW w:w="0" w:type="auto"/>
            <w:noWrap/>
            <w:vAlign w:val="center"/>
          </w:tcPr>
          <w:p w14:paraId="2CD73C89">
            <w:pPr>
              <w:jc w:val="right"/>
              <w:rPr>
                <w:rFonts w:eastAsia="楷体_GB2312"/>
                <w:sz w:val="18"/>
                <w:szCs w:val="18"/>
                <w:lang w:eastAsia="zh-CN"/>
              </w:rPr>
            </w:pPr>
          </w:p>
        </w:tc>
        <w:tc>
          <w:tcPr>
            <w:tcW w:w="0" w:type="auto"/>
            <w:noWrap/>
            <w:vAlign w:val="center"/>
          </w:tcPr>
          <w:p w14:paraId="583A24D7">
            <w:pPr>
              <w:jc w:val="right"/>
              <w:rPr>
                <w:rFonts w:eastAsia="楷体_GB2312"/>
                <w:sz w:val="18"/>
                <w:szCs w:val="18"/>
                <w:lang w:eastAsia="zh-CN"/>
              </w:rPr>
            </w:pPr>
          </w:p>
        </w:tc>
        <w:tc>
          <w:tcPr>
            <w:tcW w:w="0" w:type="auto"/>
            <w:noWrap/>
            <w:vAlign w:val="center"/>
          </w:tcPr>
          <w:p w14:paraId="49A43A79">
            <w:pPr>
              <w:jc w:val="right"/>
              <w:rPr>
                <w:rFonts w:eastAsia="楷体_GB2312"/>
                <w:sz w:val="18"/>
                <w:szCs w:val="18"/>
                <w:lang w:eastAsia="zh-CN"/>
              </w:rPr>
            </w:pPr>
          </w:p>
        </w:tc>
        <w:tc>
          <w:tcPr>
            <w:tcW w:w="0" w:type="auto"/>
            <w:noWrap/>
            <w:vAlign w:val="center"/>
          </w:tcPr>
          <w:p w14:paraId="3C642327">
            <w:pPr>
              <w:jc w:val="right"/>
              <w:rPr>
                <w:rFonts w:eastAsia="楷体_GB2312"/>
                <w:sz w:val="18"/>
                <w:szCs w:val="18"/>
                <w:lang w:eastAsia="zh-CN"/>
              </w:rPr>
            </w:pPr>
          </w:p>
        </w:tc>
      </w:tr>
      <w:tr w14:paraId="5BA0D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A2AE0E3">
            <w:pPr>
              <w:jc w:val="center"/>
              <w:rPr>
                <w:rFonts w:eastAsia="楷体_GB2312"/>
                <w:sz w:val="18"/>
                <w:szCs w:val="18"/>
                <w:lang w:eastAsia="zh-CN"/>
              </w:rPr>
            </w:pPr>
          </w:p>
        </w:tc>
        <w:tc>
          <w:tcPr>
            <w:tcW w:w="0" w:type="auto"/>
            <w:noWrap/>
            <w:vAlign w:val="center"/>
          </w:tcPr>
          <w:p w14:paraId="4A022A5F">
            <w:pPr>
              <w:jc w:val="right"/>
              <w:rPr>
                <w:rFonts w:eastAsia="楷体_GB2312"/>
                <w:sz w:val="18"/>
                <w:szCs w:val="18"/>
                <w:lang w:eastAsia="zh-CN"/>
              </w:rPr>
            </w:pPr>
          </w:p>
        </w:tc>
        <w:tc>
          <w:tcPr>
            <w:tcW w:w="0" w:type="auto"/>
            <w:noWrap/>
            <w:vAlign w:val="center"/>
          </w:tcPr>
          <w:p w14:paraId="50206A68">
            <w:pPr>
              <w:jc w:val="right"/>
              <w:rPr>
                <w:rFonts w:eastAsia="楷体_GB2312"/>
                <w:sz w:val="18"/>
                <w:szCs w:val="18"/>
                <w:lang w:eastAsia="zh-CN"/>
              </w:rPr>
            </w:pPr>
          </w:p>
        </w:tc>
        <w:tc>
          <w:tcPr>
            <w:tcW w:w="0" w:type="auto"/>
            <w:noWrap/>
            <w:vAlign w:val="center"/>
          </w:tcPr>
          <w:p w14:paraId="069F0734">
            <w:pPr>
              <w:jc w:val="right"/>
              <w:rPr>
                <w:rFonts w:eastAsia="楷体_GB2312"/>
                <w:sz w:val="18"/>
                <w:szCs w:val="18"/>
                <w:lang w:eastAsia="zh-CN"/>
              </w:rPr>
            </w:pPr>
          </w:p>
        </w:tc>
        <w:tc>
          <w:tcPr>
            <w:tcW w:w="0" w:type="auto"/>
            <w:noWrap/>
            <w:vAlign w:val="center"/>
          </w:tcPr>
          <w:p w14:paraId="1DE40D31">
            <w:pPr>
              <w:jc w:val="right"/>
              <w:rPr>
                <w:rFonts w:eastAsia="楷体_GB2312"/>
                <w:sz w:val="18"/>
                <w:szCs w:val="18"/>
                <w:lang w:eastAsia="zh-CN"/>
              </w:rPr>
            </w:pPr>
          </w:p>
        </w:tc>
        <w:tc>
          <w:tcPr>
            <w:tcW w:w="0" w:type="auto"/>
            <w:noWrap/>
            <w:vAlign w:val="center"/>
          </w:tcPr>
          <w:p w14:paraId="50DAC639">
            <w:pPr>
              <w:jc w:val="right"/>
              <w:rPr>
                <w:rFonts w:eastAsia="楷体_GB2312"/>
                <w:sz w:val="18"/>
                <w:szCs w:val="18"/>
                <w:lang w:eastAsia="zh-CN"/>
              </w:rPr>
            </w:pPr>
          </w:p>
        </w:tc>
        <w:tc>
          <w:tcPr>
            <w:tcW w:w="0" w:type="auto"/>
            <w:noWrap/>
            <w:vAlign w:val="center"/>
          </w:tcPr>
          <w:p w14:paraId="73F36619">
            <w:pPr>
              <w:jc w:val="right"/>
              <w:rPr>
                <w:rFonts w:eastAsia="楷体_GB2312"/>
                <w:sz w:val="18"/>
                <w:szCs w:val="18"/>
                <w:lang w:eastAsia="zh-CN"/>
              </w:rPr>
            </w:pPr>
          </w:p>
        </w:tc>
      </w:tr>
      <w:tr w14:paraId="401BE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440FAE55">
            <w:pPr>
              <w:jc w:val="center"/>
              <w:rPr>
                <w:rFonts w:eastAsia="楷体_GB2312"/>
                <w:sz w:val="18"/>
                <w:szCs w:val="18"/>
                <w:lang w:eastAsia="zh-CN"/>
              </w:rPr>
            </w:pPr>
          </w:p>
        </w:tc>
        <w:tc>
          <w:tcPr>
            <w:tcW w:w="0" w:type="auto"/>
            <w:noWrap/>
            <w:vAlign w:val="center"/>
          </w:tcPr>
          <w:p w14:paraId="289FDD21">
            <w:pPr>
              <w:jc w:val="right"/>
              <w:rPr>
                <w:rFonts w:eastAsia="楷体_GB2312"/>
                <w:sz w:val="18"/>
                <w:szCs w:val="18"/>
                <w:lang w:eastAsia="zh-CN"/>
              </w:rPr>
            </w:pPr>
          </w:p>
        </w:tc>
        <w:tc>
          <w:tcPr>
            <w:tcW w:w="0" w:type="auto"/>
            <w:noWrap/>
            <w:vAlign w:val="center"/>
          </w:tcPr>
          <w:p w14:paraId="17F30432">
            <w:pPr>
              <w:jc w:val="right"/>
              <w:rPr>
                <w:rFonts w:eastAsia="楷体_GB2312"/>
                <w:sz w:val="18"/>
                <w:szCs w:val="18"/>
                <w:lang w:eastAsia="zh-CN"/>
              </w:rPr>
            </w:pPr>
          </w:p>
        </w:tc>
        <w:tc>
          <w:tcPr>
            <w:tcW w:w="0" w:type="auto"/>
            <w:noWrap/>
            <w:vAlign w:val="center"/>
          </w:tcPr>
          <w:p w14:paraId="60F4B765">
            <w:pPr>
              <w:jc w:val="right"/>
              <w:rPr>
                <w:rFonts w:eastAsia="楷体_GB2312"/>
                <w:sz w:val="18"/>
                <w:szCs w:val="18"/>
                <w:lang w:eastAsia="zh-CN"/>
              </w:rPr>
            </w:pPr>
          </w:p>
        </w:tc>
        <w:tc>
          <w:tcPr>
            <w:tcW w:w="0" w:type="auto"/>
            <w:noWrap/>
            <w:vAlign w:val="center"/>
          </w:tcPr>
          <w:p w14:paraId="272C979A">
            <w:pPr>
              <w:jc w:val="right"/>
              <w:rPr>
                <w:rFonts w:eastAsia="楷体_GB2312"/>
                <w:sz w:val="18"/>
                <w:szCs w:val="18"/>
                <w:lang w:eastAsia="zh-CN"/>
              </w:rPr>
            </w:pPr>
          </w:p>
        </w:tc>
        <w:tc>
          <w:tcPr>
            <w:tcW w:w="0" w:type="auto"/>
            <w:noWrap/>
            <w:vAlign w:val="center"/>
          </w:tcPr>
          <w:p w14:paraId="74C0B6B9">
            <w:pPr>
              <w:jc w:val="right"/>
              <w:rPr>
                <w:rFonts w:eastAsia="楷体_GB2312"/>
                <w:sz w:val="18"/>
                <w:szCs w:val="18"/>
                <w:lang w:eastAsia="zh-CN"/>
              </w:rPr>
            </w:pPr>
          </w:p>
        </w:tc>
        <w:tc>
          <w:tcPr>
            <w:tcW w:w="0" w:type="auto"/>
            <w:noWrap/>
            <w:vAlign w:val="center"/>
          </w:tcPr>
          <w:p w14:paraId="202ED7DC">
            <w:pPr>
              <w:jc w:val="right"/>
              <w:rPr>
                <w:rFonts w:eastAsia="楷体_GB2312"/>
                <w:sz w:val="18"/>
                <w:szCs w:val="18"/>
                <w:lang w:eastAsia="zh-CN"/>
              </w:rPr>
            </w:pPr>
          </w:p>
        </w:tc>
      </w:tr>
      <w:tr w14:paraId="08FCC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0" w:type="auto"/>
            <w:gridSpan w:val="7"/>
            <w:noWrap/>
            <w:vAlign w:val="center"/>
          </w:tcPr>
          <w:p w14:paraId="09A48E89">
            <w:pPr>
              <w:rPr>
                <w:rFonts w:eastAsia="楷体_GB2312"/>
                <w:sz w:val="18"/>
                <w:szCs w:val="18"/>
                <w:lang w:eastAsia="zh-CN"/>
              </w:rPr>
            </w:pPr>
            <w:r>
              <w:rPr>
                <w:rFonts w:eastAsia="楷体_GB2312"/>
                <w:b/>
                <w:bCs/>
                <w:sz w:val="21"/>
                <w:szCs w:val="21"/>
                <w:lang w:eastAsia="zh-CN"/>
              </w:rPr>
              <w:t>(三)职业分布</w:t>
            </w:r>
          </w:p>
        </w:tc>
      </w:tr>
      <w:tr w14:paraId="242CF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63EEC6D6">
            <w:pPr>
              <w:jc w:val="center"/>
              <w:rPr>
                <w:rFonts w:eastAsia="楷体_GB2312"/>
                <w:sz w:val="18"/>
                <w:szCs w:val="18"/>
                <w:lang w:eastAsia="zh-CN"/>
              </w:rPr>
            </w:pPr>
            <w:r>
              <w:rPr>
                <w:rFonts w:eastAsia="楷体_GB2312"/>
                <w:b/>
                <w:sz w:val="18"/>
                <w:szCs w:val="18"/>
                <w:lang w:eastAsia="zh-CN"/>
              </w:rPr>
              <w:t>职业</w:t>
            </w:r>
          </w:p>
        </w:tc>
        <w:tc>
          <w:tcPr>
            <w:tcW w:w="0" w:type="auto"/>
            <w:noWrap/>
            <w:vAlign w:val="center"/>
          </w:tcPr>
          <w:p w14:paraId="5A4EE605">
            <w:pPr>
              <w:jc w:val="right"/>
              <w:rPr>
                <w:rFonts w:eastAsia="楷体_GB2312"/>
                <w:sz w:val="18"/>
                <w:szCs w:val="18"/>
                <w:lang w:eastAsia="zh-CN"/>
              </w:rPr>
            </w:pPr>
            <w:r>
              <w:rPr>
                <w:rFonts w:eastAsia="楷体_GB2312"/>
                <w:b/>
                <w:bCs/>
                <w:sz w:val="18"/>
                <w:szCs w:val="18"/>
                <w:lang w:eastAsia="zh-CN"/>
              </w:rPr>
              <w:t>贷款笔数</w:t>
            </w:r>
          </w:p>
        </w:tc>
        <w:tc>
          <w:tcPr>
            <w:tcW w:w="0" w:type="auto"/>
            <w:noWrap/>
            <w:vAlign w:val="center"/>
          </w:tcPr>
          <w:p w14:paraId="1FDB2556">
            <w:pPr>
              <w:jc w:val="right"/>
              <w:rPr>
                <w:rFonts w:eastAsia="楷体_GB2312"/>
                <w:sz w:val="18"/>
                <w:szCs w:val="18"/>
                <w:lang w:eastAsia="zh-CN"/>
              </w:rPr>
            </w:pPr>
            <w:r>
              <w:rPr>
                <w:rFonts w:eastAsia="楷体_GB2312"/>
                <w:b/>
                <w:bCs/>
                <w:sz w:val="18"/>
                <w:szCs w:val="18"/>
              </w:rPr>
              <w:t>占比(%)</w:t>
            </w:r>
          </w:p>
        </w:tc>
        <w:tc>
          <w:tcPr>
            <w:tcW w:w="0" w:type="auto"/>
            <w:noWrap/>
            <w:vAlign w:val="center"/>
          </w:tcPr>
          <w:p w14:paraId="35340DB7">
            <w:pPr>
              <w:jc w:val="right"/>
              <w:rPr>
                <w:rFonts w:eastAsia="楷体_GB2312"/>
                <w:sz w:val="18"/>
                <w:szCs w:val="18"/>
                <w:lang w:eastAsia="zh-CN"/>
              </w:rPr>
            </w:pPr>
            <w:r>
              <w:rPr>
                <w:rFonts w:eastAsia="楷体_GB2312"/>
                <w:b/>
                <w:bCs/>
                <w:sz w:val="18"/>
                <w:szCs w:val="18"/>
                <w:lang w:eastAsia="zh-CN"/>
              </w:rPr>
              <w:t>初始本金余额(元)</w:t>
            </w:r>
          </w:p>
        </w:tc>
        <w:tc>
          <w:tcPr>
            <w:tcW w:w="0" w:type="auto"/>
            <w:noWrap/>
            <w:vAlign w:val="center"/>
          </w:tcPr>
          <w:p w14:paraId="28FEE52C">
            <w:pPr>
              <w:jc w:val="right"/>
              <w:rPr>
                <w:rFonts w:eastAsia="楷体_GB2312"/>
                <w:sz w:val="18"/>
                <w:szCs w:val="18"/>
                <w:lang w:eastAsia="zh-CN"/>
              </w:rPr>
            </w:pPr>
            <w:r>
              <w:rPr>
                <w:rFonts w:eastAsia="楷体_GB2312"/>
                <w:b/>
                <w:bCs/>
                <w:sz w:val="18"/>
                <w:szCs w:val="18"/>
              </w:rPr>
              <w:t>占比(%)</w:t>
            </w:r>
          </w:p>
        </w:tc>
        <w:tc>
          <w:tcPr>
            <w:tcW w:w="0" w:type="auto"/>
            <w:noWrap/>
            <w:vAlign w:val="center"/>
          </w:tcPr>
          <w:p w14:paraId="55AA8B98">
            <w:pPr>
              <w:jc w:val="right"/>
              <w:rPr>
                <w:rFonts w:eastAsia="楷体_GB2312"/>
                <w:sz w:val="18"/>
                <w:szCs w:val="18"/>
                <w:lang w:eastAsia="zh-CN"/>
              </w:rPr>
            </w:pPr>
            <w:r>
              <w:rPr>
                <w:rFonts w:eastAsia="楷体_GB2312"/>
                <w:b/>
                <w:bCs/>
                <w:sz w:val="18"/>
                <w:szCs w:val="18"/>
                <w:lang w:eastAsia="zh-CN"/>
              </w:rPr>
              <w:t>未偿本金余额(元)</w:t>
            </w:r>
          </w:p>
        </w:tc>
        <w:tc>
          <w:tcPr>
            <w:tcW w:w="0" w:type="auto"/>
            <w:noWrap/>
            <w:vAlign w:val="center"/>
          </w:tcPr>
          <w:p w14:paraId="0ABA326B">
            <w:pPr>
              <w:jc w:val="right"/>
              <w:rPr>
                <w:rFonts w:eastAsia="楷体_GB2312"/>
                <w:sz w:val="18"/>
                <w:szCs w:val="18"/>
                <w:lang w:eastAsia="zh-CN"/>
              </w:rPr>
            </w:pPr>
            <w:r>
              <w:rPr>
                <w:rFonts w:eastAsia="楷体_GB2312"/>
                <w:b/>
                <w:bCs/>
                <w:sz w:val="18"/>
                <w:szCs w:val="18"/>
              </w:rPr>
              <w:t>占比(%)</w:t>
            </w:r>
          </w:p>
        </w:tc>
      </w:tr>
      <w:tr w14:paraId="4AAED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6B3722DD">
            <w:pPr>
              <w:jc w:val="center"/>
              <w:rPr>
                <w:rFonts w:eastAsia="楷体_GB2312"/>
                <w:sz w:val="18"/>
                <w:szCs w:val="18"/>
                <w:lang w:eastAsia="zh-CN"/>
              </w:rPr>
            </w:pPr>
          </w:p>
        </w:tc>
        <w:tc>
          <w:tcPr>
            <w:tcW w:w="0" w:type="auto"/>
            <w:noWrap/>
            <w:vAlign w:val="center"/>
          </w:tcPr>
          <w:p w14:paraId="3D415592">
            <w:pPr>
              <w:jc w:val="right"/>
              <w:rPr>
                <w:rFonts w:eastAsia="楷体_GB2312"/>
                <w:sz w:val="18"/>
                <w:szCs w:val="18"/>
                <w:lang w:eastAsia="zh-CN"/>
              </w:rPr>
            </w:pPr>
          </w:p>
        </w:tc>
        <w:tc>
          <w:tcPr>
            <w:tcW w:w="0" w:type="auto"/>
            <w:noWrap/>
            <w:vAlign w:val="center"/>
          </w:tcPr>
          <w:p w14:paraId="0E7CA16D">
            <w:pPr>
              <w:jc w:val="right"/>
              <w:rPr>
                <w:rFonts w:eastAsia="楷体_GB2312"/>
                <w:sz w:val="18"/>
                <w:szCs w:val="18"/>
                <w:lang w:eastAsia="zh-CN"/>
              </w:rPr>
            </w:pPr>
          </w:p>
        </w:tc>
        <w:tc>
          <w:tcPr>
            <w:tcW w:w="0" w:type="auto"/>
            <w:noWrap/>
            <w:vAlign w:val="center"/>
          </w:tcPr>
          <w:p w14:paraId="5E498ED7">
            <w:pPr>
              <w:jc w:val="right"/>
              <w:rPr>
                <w:rFonts w:eastAsia="楷体_GB2312"/>
                <w:sz w:val="18"/>
                <w:szCs w:val="18"/>
                <w:lang w:eastAsia="zh-CN"/>
              </w:rPr>
            </w:pPr>
          </w:p>
        </w:tc>
        <w:tc>
          <w:tcPr>
            <w:tcW w:w="0" w:type="auto"/>
            <w:noWrap/>
            <w:vAlign w:val="center"/>
          </w:tcPr>
          <w:p w14:paraId="46F9A971">
            <w:pPr>
              <w:jc w:val="right"/>
              <w:rPr>
                <w:rFonts w:eastAsia="楷体_GB2312"/>
                <w:sz w:val="18"/>
                <w:szCs w:val="18"/>
                <w:lang w:eastAsia="zh-CN"/>
              </w:rPr>
            </w:pPr>
          </w:p>
        </w:tc>
        <w:tc>
          <w:tcPr>
            <w:tcW w:w="0" w:type="auto"/>
            <w:noWrap/>
            <w:vAlign w:val="center"/>
          </w:tcPr>
          <w:p w14:paraId="72E63DFF">
            <w:pPr>
              <w:jc w:val="right"/>
              <w:rPr>
                <w:rFonts w:eastAsia="楷体_GB2312"/>
                <w:sz w:val="18"/>
                <w:szCs w:val="18"/>
                <w:lang w:eastAsia="zh-CN"/>
              </w:rPr>
            </w:pPr>
          </w:p>
        </w:tc>
        <w:tc>
          <w:tcPr>
            <w:tcW w:w="0" w:type="auto"/>
            <w:noWrap/>
            <w:vAlign w:val="center"/>
          </w:tcPr>
          <w:p w14:paraId="05E559B3">
            <w:pPr>
              <w:jc w:val="right"/>
              <w:rPr>
                <w:rFonts w:eastAsia="楷体_GB2312"/>
                <w:sz w:val="18"/>
                <w:szCs w:val="18"/>
                <w:lang w:eastAsia="zh-CN"/>
              </w:rPr>
            </w:pPr>
          </w:p>
        </w:tc>
      </w:tr>
      <w:tr w14:paraId="3A782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308C7C85">
            <w:pPr>
              <w:jc w:val="center"/>
              <w:rPr>
                <w:rFonts w:eastAsia="楷体_GB2312"/>
                <w:sz w:val="18"/>
                <w:szCs w:val="18"/>
                <w:lang w:eastAsia="zh-CN"/>
              </w:rPr>
            </w:pPr>
          </w:p>
        </w:tc>
        <w:tc>
          <w:tcPr>
            <w:tcW w:w="0" w:type="auto"/>
            <w:noWrap/>
            <w:vAlign w:val="center"/>
          </w:tcPr>
          <w:p w14:paraId="1891CC11">
            <w:pPr>
              <w:jc w:val="right"/>
              <w:rPr>
                <w:rFonts w:eastAsia="楷体_GB2312"/>
                <w:sz w:val="18"/>
                <w:szCs w:val="18"/>
                <w:lang w:eastAsia="zh-CN"/>
              </w:rPr>
            </w:pPr>
          </w:p>
        </w:tc>
        <w:tc>
          <w:tcPr>
            <w:tcW w:w="0" w:type="auto"/>
            <w:noWrap/>
            <w:vAlign w:val="center"/>
          </w:tcPr>
          <w:p w14:paraId="2C4E622C">
            <w:pPr>
              <w:jc w:val="right"/>
              <w:rPr>
                <w:rFonts w:eastAsia="楷体_GB2312"/>
                <w:sz w:val="18"/>
                <w:szCs w:val="18"/>
                <w:lang w:eastAsia="zh-CN"/>
              </w:rPr>
            </w:pPr>
          </w:p>
        </w:tc>
        <w:tc>
          <w:tcPr>
            <w:tcW w:w="0" w:type="auto"/>
            <w:noWrap/>
            <w:vAlign w:val="center"/>
          </w:tcPr>
          <w:p w14:paraId="5618FC16">
            <w:pPr>
              <w:jc w:val="right"/>
              <w:rPr>
                <w:rFonts w:eastAsia="楷体_GB2312"/>
                <w:sz w:val="18"/>
                <w:szCs w:val="18"/>
                <w:lang w:eastAsia="zh-CN"/>
              </w:rPr>
            </w:pPr>
          </w:p>
        </w:tc>
        <w:tc>
          <w:tcPr>
            <w:tcW w:w="0" w:type="auto"/>
            <w:noWrap/>
            <w:vAlign w:val="center"/>
          </w:tcPr>
          <w:p w14:paraId="178BCA7C">
            <w:pPr>
              <w:jc w:val="right"/>
              <w:rPr>
                <w:rFonts w:eastAsia="楷体_GB2312"/>
                <w:sz w:val="18"/>
                <w:szCs w:val="18"/>
                <w:lang w:eastAsia="zh-CN"/>
              </w:rPr>
            </w:pPr>
          </w:p>
        </w:tc>
        <w:tc>
          <w:tcPr>
            <w:tcW w:w="0" w:type="auto"/>
            <w:noWrap/>
            <w:vAlign w:val="center"/>
          </w:tcPr>
          <w:p w14:paraId="68E3BF80">
            <w:pPr>
              <w:jc w:val="right"/>
              <w:rPr>
                <w:rFonts w:eastAsia="楷体_GB2312"/>
                <w:sz w:val="18"/>
                <w:szCs w:val="18"/>
                <w:lang w:eastAsia="zh-CN"/>
              </w:rPr>
            </w:pPr>
          </w:p>
        </w:tc>
        <w:tc>
          <w:tcPr>
            <w:tcW w:w="0" w:type="auto"/>
            <w:noWrap/>
            <w:vAlign w:val="center"/>
          </w:tcPr>
          <w:p w14:paraId="04368425">
            <w:pPr>
              <w:jc w:val="right"/>
              <w:rPr>
                <w:rFonts w:eastAsia="楷体_GB2312"/>
                <w:sz w:val="18"/>
                <w:szCs w:val="18"/>
                <w:lang w:eastAsia="zh-CN"/>
              </w:rPr>
            </w:pPr>
          </w:p>
        </w:tc>
      </w:tr>
      <w:tr w14:paraId="669AC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FC1F8FE">
            <w:pPr>
              <w:jc w:val="center"/>
              <w:rPr>
                <w:rFonts w:eastAsia="楷体_GB2312"/>
                <w:sz w:val="18"/>
                <w:szCs w:val="18"/>
                <w:lang w:eastAsia="zh-CN"/>
              </w:rPr>
            </w:pPr>
          </w:p>
        </w:tc>
        <w:tc>
          <w:tcPr>
            <w:tcW w:w="0" w:type="auto"/>
            <w:noWrap/>
            <w:vAlign w:val="center"/>
          </w:tcPr>
          <w:p w14:paraId="3F79FF6A">
            <w:pPr>
              <w:jc w:val="right"/>
              <w:rPr>
                <w:rFonts w:eastAsia="楷体_GB2312"/>
                <w:sz w:val="18"/>
                <w:szCs w:val="18"/>
                <w:lang w:eastAsia="zh-CN"/>
              </w:rPr>
            </w:pPr>
          </w:p>
        </w:tc>
        <w:tc>
          <w:tcPr>
            <w:tcW w:w="0" w:type="auto"/>
            <w:noWrap/>
            <w:vAlign w:val="center"/>
          </w:tcPr>
          <w:p w14:paraId="464868DD">
            <w:pPr>
              <w:jc w:val="right"/>
              <w:rPr>
                <w:rFonts w:eastAsia="楷体_GB2312"/>
                <w:sz w:val="18"/>
                <w:szCs w:val="18"/>
                <w:lang w:eastAsia="zh-CN"/>
              </w:rPr>
            </w:pPr>
          </w:p>
        </w:tc>
        <w:tc>
          <w:tcPr>
            <w:tcW w:w="0" w:type="auto"/>
            <w:noWrap/>
            <w:vAlign w:val="center"/>
          </w:tcPr>
          <w:p w14:paraId="62EBBA94">
            <w:pPr>
              <w:jc w:val="right"/>
              <w:rPr>
                <w:rFonts w:eastAsia="楷体_GB2312"/>
                <w:sz w:val="18"/>
                <w:szCs w:val="18"/>
                <w:lang w:eastAsia="zh-CN"/>
              </w:rPr>
            </w:pPr>
          </w:p>
        </w:tc>
        <w:tc>
          <w:tcPr>
            <w:tcW w:w="0" w:type="auto"/>
            <w:noWrap/>
            <w:vAlign w:val="center"/>
          </w:tcPr>
          <w:p w14:paraId="0861A6DF">
            <w:pPr>
              <w:jc w:val="right"/>
              <w:rPr>
                <w:rFonts w:eastAsia="楷体_GB2312"/>
                <w:sz w:val="18"/>
                <w:szCs w:val="18"/>
                <w:lang w:eastAsia="zh-CN"/>
              </w:rPr>
            </w:pPr>
          </w:p>
        </w:tc>
        <w:tc>
          <w:tcPr>
            <w:tcW w:w="0" w:type="auto"/>
            <w:noWrap/>
            <w:vAlign w:val="center"/>
          </w:tcPr>
          <w:p w14:paraId="254B6A17">
            <w:pPr>
              <w:jc w:val="right"/>
              <w:rPr>
                <w:rFonts w:eastAsia="楷体_GB2312"/>
                <w:sz w:val="18"/>
                <w:szCs w:val="18"/>
                <w:lang w:eastAsia="zh-CN"/>
              </w:rPr>
            </w:pPr>
          </w:p>
        </w:tc>
        <w:tc>
          <w:tcPr>
            <w:tcW w:w="0" w:type="auto"/>
            <w:noWrap/>
            <w:vAlign w:val="center"/>
          </w:tcPr>
          <w:p w14:paraId="5931CD38">
            <w:pPr>
              <w:jc w:val="right"/>
              <w:rPr>
                <w:rFonts w:eastAsia="楷体_GB2312"/>
                <w:sz w:val="18"/>
                <w:szCs w:val="18"/>
                <w:lang w:eastAsia="zh-CN"/>
              </w:rPr>
            </w:pPr>
          </w:p>
        </w:tc>
      </w:tr>
      <w:tr w14:paraId="1D933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gridSpan w:val="7"/>
            <w:noWrap/>
            <w:vAlign w:val="center"/>
          </w:tcPr>
          <w:p w14:paraId="5AE4FB8D">
            <w:pPr>
              <w:rPr>
                <w:rFonts w:eastAsia="楷体_GB2312"/>
                <w:sz w:val="18"/>
                <w:szCs w:val="18"/>
                <w:lang w:eastAsia="zh-CN"/>
              </w:rPr>
            </w:pPr>
            <w:r>
              <w:rPr>
                <w:rFonts w:eastAsia="楷体_GB2312"/>
                <w:b/>
                <w:bCs/>
                <w:sz w:val="21"/>
                <w:szCs w:val="21"/>
                <w:lang w:eastAsia="zh-CN"/>
              </w:rPr>
              <w:t>(四)地区分布</w:t>
            </w:r>
          </w:p>
        </w:tc>
      </w:tr>
      <w:tr w14:paraId="0C9BD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3508D3B9">
            <w:pPr>
              <w:jc w:val="center"/>
              <w:rPr>
                <w:rFonts w:eastAsia="楷体_GB2312"/>
                <w:sz w:val="18"/>
                <w:szCs w:val="18"/>
                <w:lang w:eastAsia="zh-CN"/>
              </w:rPr>
            </w:pPr>
            <w:r>
              <w:rPr>
                <w:rFonts w:eastAsia="楷体_GB2312"/>
                <w:b/>
                <w:sz w:val="18"/>
                <w:szCs w:val="18"/>
                <w:lang w:eastAsia="zh-CN"/>
              </w:rPr>
              <w:t>地区</w:t>
            </w:r>
          </w:p>
        </w:tc>
        <w:tc>
          <w:tcPr>
            <w:tcW w:w="0" w:type="auto"/>
            <w:noWrap/>
            <w:vAlign w:val="center"/>
          </w:tcPr>
          <w:p w14:paraId="2EAF2B83">
            <w:pPr>
              <w:jc w:val="center"/>
              <w:rPr>
                <w:rFonts w:eastAsia="楷体_GB2312"/>
                <w:sz w:val="18"/>
                <w:szCs w:val="18"/>
                <w:lang w:eastAsia="zh-CN"/>
              </w:rPr>
            </w:pPr>
            <w:r>
              <w:rPr>
                <w:rFonts w:eastAsia="楷体_GB2312"/>
                <w:b/>
                <w:bCs/>
                <w:sz w:val="18"/>
                <w:szCs w:val="18"/>
                <w:lang w:eastAsia="zh-CN"/>
              </w:rPr>
              <w:t>贷款笔数</w:t>
            </w:r>
          </w:p>
        </w:tc>
        <w:tc>
          <w:tcPr>
            <w:tcW w:w="0" w:type="auto"/>
            <w:noWrap/>
            <w:vAlign w:val="center"/>
          </w:tcPr>
          <w:p w14:paraId="11250920">
            <w:pPr>
              <w:jc w:val="center"/>
              <w:rPr>
                <w:rFonts w:eastAsia="楷体_GB2312"/>
                <w:sz w:val="18"/>
                <w:szCs w:val="18"/>
                <w:lang w:eastAsia="zh-CN"/>
              </w:rPr>
            </w:pPr>
            <w:r>
              <w:rPr>
                <w:rFonts w:eastAsia="楷体_GB2312"/>
                <w:b/>
                <w:bCs/>
                <w:sz w:val="18"/>
                <w:szCs w:val="18"/>
              </w:rPr>
              <w:t>占比(%)</w:t>
            </w:r>
          </w:p>
        </w:tc>
        <w:tc>
          <w:tcPr>
            <w:tcW w:w="0" w:type="auto"/>
            <w:noWrap/>
            <w:vAlign w:val="center"/>
          </w:tcPr>
          <w:p w14:paraId="54DBBD82">
            <w:pPr>
              <w:jc w:val="center"/>
              <w:rPr>
                <w:rFonts w:eastAsia="楷体_GB2312"/>
                <w:sz w:val="18"/>
                <w:szCs w:val="18"/>
                <w:lang w:eastAsia="zh-CN"/>
              </w:rPr>
            </w:pPr>
            <w:r>
              <w:rPr>
                <w:rFonts w:eastAsia="楷体_GB2312"/>
                <w:b/>
                <w:bCs/>
                <w:sz w:val="18"/>
                <w:szCs w:val="18"/>
                <w:lang w:eastAsia="zh-CN"/>
              </w:rPr>
              <w:t>初始本金余额(元)</w:t>
            </w:r>
          </w:p>
        </w:tc>
        <w:tc>
          <w:tcPr>
            <w:tcW w:w="0" w:type="auto"/>
            <w:noWrap/>
            <w:vAlign w:val="center"/>
          </w:tcPr>
          <w:p w14:paraId="0D01F680">
            <w:pPr>
              <w:jc w:val="center"/>
              <w:rPr>
                <w:rFonts w:eastAsia="楷体_GB2312"/>
                <w:sz w:val="18"/>
                <w:szCs w:val="18"/>
                <w:lang w:eastAsia="zh-CN"/>
              </w:rPr>
            </w:pPr>
            <w:r>
              <w:rPr>
                <w:rFonts w:eastAsia="楷体_GB2312"/>
                <w:b/>
                <w:bCs/>
                <w:sz w:val="18"/>
                <w:szCs w:val="18"/>
              </w:rPr>
              <w:t>占比(%)</w:t>
            </w:r>
          </w:p>
        </w:tc>
        <w:tc>
          <w:tcPr>
            <w:tcW w:w="0" w:type="auto"/>
            <w:noWrap/>
            <w:vAlign w:val="center"/>
          </w:tcPr>
          <w:p w14:paraId="1F5A50E9">
            <w:pPr>
              <w:jc w:val="center"/>
              <w:rPr>
                <w:rFonts w:eastAsia="楷体_GB2312"/>
                <w:sz w:val="18"/>
                <w:szCs w:val="18"/>
                <w:lang w:eastAsia="zh-CN"/>
              </w:rPr>
            </w:pPr>
            <w:r>
              <w:rPr>
                <w:rFonts w:eastAsia="楷体_GB2312"/>
                <w:b/>
                <w:bCs/>
                <w:sz w:val="18"/>
                <w:szCs w:val="18"/>
                <w:lang w:eastAsia="zh-CN"/>
              </w:rPr>
              <w:t>未偿本金余额(元)</w:t>
            </w:r>
          </w:p>
        </w:tc>
        <w:tc>
          <w:tcPr>
            <w:tcW w:w="0" w:type="auto"/>
            <w:noWrap/>
            <w:vAlign w:val="center"/>
          </w:tcPr>
          <w:p w14:paraId="66DECE43">
            <w:pPr>
              <w:jc w:val="center"/>
              <w:rPr>
                <w:rFonts w:eastAsia="楷体_GB2312"/>
                <w:sz w:val="18"/>
                <w:szCs w:val="18"/>
                <w:lang w:eastAsia="zh-CN"/>
              </w:rPr>
            </w:pPr>
            <w:r>
              <w:rPr>
                <w:rFonts w:eastAsia="楷体_GB2312"/>
                <w:b/>
                <w:bCs/>
                <w:sz w:val="18"/>
                <w:szCs w:val="18"/>
              </w:rPr>
              <w:t>占比(%)</w:t>
            </w:r>
          </w:p>
        </w:tc>
      </w:tr>
      <w:tr w14:paraId="31266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5158994F">
            <w:pPr>
              <w:jc w:val="center"/>
              <w:rPr>
                <w:rFonts w:eastAsia="楷体_GB2312"/>
                <w:sz w:val="18"/>
                <w:szCs w:val="18"/>
                <w:lang w:eastAsia="zh-CN"/>
              </w:rPr>
            </w:pPr>
          </w:p>
        </w:tc>
        <w:tc>
          <w:tcPr>
            <w:tcW w:w="0" w:type="auto"/>
            <w:noWrap/>
            <w:vAlign w:val="center"/>
          </w:tcPr>
          <w:p w14:paraId="4EFE4131">
            <w:pPr>
              <w:jc w:val="right"/>
              <w:rPr>
                <w:rFonts w:eastAsia="楷体_GB2312"/>
                <w:sz w:val="18"/>
                <w:szCs w:val="18"/>
                <w:lang w:eastAsia="zh-CN"/>
              </w:rPr>
            </w:pPr>
          </w:p>
        </w:tc>
        <w:tc>
          <w:tcPr>
            <w:tcW w:w="0" w:type="auto"/>
            <w:noWrap/>
            <w:vAlign w:val="center"/>
          </w:tcPr>
          <w:p w14:paraId="0B17D84F">
            <w:pPr>
              <w:jc w:val="right"/>
              <w:rPr>
                <w:rFonts w:eastAsia="楷体_GB2312"/>
                <w:sz w:val="18"/>
                <w:szCs w:val="18"/>
                <w:lang w:eastAsia="zh-CN"/>
              </w:rPr>
            </w:pPr>
          </w:p>
        </w:tc>
        <w:tc>
          <w:tcPr>
            <w:tcW w:w="0" w:type="auto"/>
            <w:noWrap/>
            <w:vAlign w:val="center"/>
          </w:tcPr>
          <w:p w14:paraId="2CD20A92">
            <w:pPr>
              <w:jc w:val="right"/>
              <w:rPr>
                <w:rFonts w:eastAsia="楷体_GB2312"/>
                <w:sz w:val="18"/>
                <w:szCs w:val="18"/>
                <w:lang w:eastAsia="zh-CN"/>
              </w:rPr>
            </w:pPr>
          </w:p>
        </w:tc>
        <w:tc>
          <w:tcPr>
            <w:tcW w:w="0" w:type="auto"/>
            <w:noWrap/>
            <w:vAlign w:val="center"/>
          </w:tcPr>
          <w:p w14:paraId="10EC3B8A">
            <w:pPr>
              <w:jc w:val="right"/>
              <w:rPr>
                <w:rFonts w:eastAsia="楷体_GB2312"/>
                <w:sz w:val="18"/>
                <w:szCs w:val="18"/>
                <w:lang w:eastAsia="zh-CN"/>
              </w:rPr>
            </w:pPr>
          </w:p>
        </w:tc>
        <w:tc>
          <w:tcPr>
            <w:tcW w:w="0" w:type="auto"/>
            <w:noWrap/>
            <w:vAlign w:val="center"/>
          </w:tcPr>
          <w:p w14:paraId="51B4CEF6">
            <w:pPr>
              <w:jc w:val="right"/>
              <w:rPr>
                <w:rFonts w:eastAsia="楷体_GB2312"/>
                <w:sz w:val="18"/>
                <w:szCs w:val="18"/>
                <w:lang w:eastAsia="zh-CN"/>
              </w:rPr>
            </w:pPr>
          </w:p>
        </w:tc>
        <w:tc>
          <w:tcPr>
            <w:tcW w:w="0" w:type="auto"/>
            <w:noWrap/>
            <w:vAlign w:val="center"/>
          </w:tcPr>
          <w:p w14:paraId="20748531">
            <w:pPr>
              <w:jc w:val="right"/>
              <w:rPr>
                <w:rFonts w:eastAsia="楷体_GB2312"/>
                <w:sz w:val="18"/>
                <w:szCs w:val="18"/>
                <w:lang w:eastAsia="zh-CN"/>
              </w:rPr>
            </w:pPr>
          </w:p>
        </w:tc>
      </w:tr>
      <w:tr w14:paraId="07539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9B44A30">
            <w:pPr>
              <w:jc w:val="center"/>
              <w:rPr>
                <w:rFonts w:eastAsia="楷体_GB2312"/>
                <w:sz w:val="18"/>
                <w:szCs w:val="18"/>
                <w:lang w:eastAsia="zh-CN"/>
              </w:rPr>
            </w:pPr>
          </w:p>
        </w:tc>
        <w:tc>
          <w:tcPr>
            <w:tcW w:w="0" w:type="auto"/>
            <w:noWrap/>
            <w:vAlign w:val="center"/>
          </w:tcPr>
          <w:p w14:paraId="048EDFF1">
            <w:pPr>
              <w:jc w:val="right"/>
              <w:rPr>
                <w:rFonts w:eastAsia="楷体_GB2312"/>
                <w:sz w:val="18"/>
                <w:szCs w:val="18"/>
                <w:lang w:eastAsia="zh-CN"/>
              </w:rPr>
            </w:pPr>
          </w:p>
        </w:tc>
        <w:tc>
          <w:tcPr>
            <w:tcW w:w="0" w:type="auto"/>
            <w:noWrap/>
            <w:vAlign w:val="center"/>
          </w:tcPr>
          <w:p w14:paraId="7831E57B">
            <w:pPr>
              <w:jc w:val="right"/>
              <w:rPr>
                <w:rFonts w:eastAsia="楷体_GB2312"/>
                <w:sz w:val="18"/>
                <w:szCs w:val="18"/>
                <w:lang w:eastAsia="zh-CN"/>
              </w:rPr>
            </w:pPr>
          </w:p>
        </w:tc>
        <w:tc>
          <w:tcPr>
            <w:tcW w:w="0" w:type="auto"/>
            <w:noWrap/>
            <w:vAlign w:val="center"/>
          </w:tcPr>
          <w:p w14:paraId="2D3DA415">
            <w:pPr>
              <w:jc w:val="right"/>
              <w:rPr>
                <w:rFonts w:eastAsia="楷体_GB2312"/>
                <w:sz w:val="18"/>
                <w:szCs w:val="18"/>
                <w:lang w:eastAsia="zh-CN"/>
              </w:rPr>
            </w:pPr>
          </w:p>
        </w:tc>
        <w:tc>
          <w:tcPr>
            <w:tcW w:w="0" w:type="auto"/>
            <w:noWrap/>
            <w:vAlign w:val="center"/>
          </w:tcPr>
          <w:p w14:paraId="30CC91F8">
            <w:pPr>
              <w:jc w:val="right"/>
              <w:rPr>
                <w:rFonts w:eastAsia="楷体_GB2312"/>
                <w:sz w:val="18"/>
                <w:szCs w:val="18"/>
                <w:lang w:eastAsia="zh-CN"/>
              </w:rPr>
            </w:pPr>
          </w:p>
        </w:tc>
        <w:tc>
          <w:tcPr>
            <w:tcW w:w="0" w:type="auto"/>
            <w:noWrap/>
            <w:vAlign w:val="center"/>
          </w:tcPr>
          <w:p w14:paraId="3308B6DA">
            <w:pPr>
              <w:jc w:val="right"/>
              <w:rPr>
                <w:rFonts w:eastAsia="楷体_GB2312"/>
                <w:sz w:val="18"/>
                <w:szCs w:val="18"/>
                <w:lang w:eastAsia="zh-CN"/>
              </w:rPr>
            </w:pPr>
          </w:p>
        </w:tc>
        <w:tc>
          <w:tcPr>
            <w:tcW w:w="0" w:type="auto"/>
            <w:noWrap/>
            <w:vAlign w:val="center"/>
          </w:tcPr>
          <w:p w14:paraId="705BA847">
            <w:pPr>
              <w:jc w:val="right"/>
              <w:rPr>
                <w:rFonts w:eastAsia="楷体_GB2312"/>
                <w:sz w:val="18"/>
                <w:szCs w:val="18"/>
                <w:lang w:eastAsia="zh-CN"/>
              </w:rPr>
            </w:pPr>
          </w:p>
        </w:tc>
      </w:tr>
      <w:tr w14:paraId="0AE73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D1D284A">
            <w:pPr>
              <w:jc w:val="center"/>
              <w:rPr>
                <w:rFonts w:eastAsia="楷体_GB2312"/>
                <w:sz w:val="18"/>
                <w:szCs w:val="18"/>
                <w:lang w:eastAsia="zh-CN"/>
              </w:rPr>
            </w:pPr>
          </w:p>
        </w:tc>
        <w:tc>
          <w:tcPr>
            <w:tcW w:w="0" w:type="auto"/>
            <w:noWrap/>
            <w:vAlign w:val="center"/>
          </w:tcPr>
          <w:p w14:paraId="529F60F8">
            <w:pPr>
              <w:jc w:val="right"/>
              <w:rPr>
                <w:rFonts w:eastAsia="楷体_GB2312"/>
                <w:sz w:val="18"/>
                <w:szCs w:val="18"/>
                <w:lang w:eastAsia="zh-CN"/>
              </w:rPr>
            </w:pPr>
          </w:p>
        </w:tc>
        <w:tc>
          <w:tcPr>
            <w:tcW w:w="0" w:type="auto"/>
            <w:noWrap/>
            <w:vAlign w:val="center"/>
          </w:tcPr>
          <w:p w14:paraId="4757EBE0">
            <w:pPr>
              <w:jc w:val="right"/>
              <w:rPr>
                <w:rFonts w:eastAsia="楷体_GB2312"/>
                <w:sz w:val="18"/>
                <w:szCs w:val="18"/>
                <w:lang w:eastAsia="zh-CN"/>
              </w:rPr>
            </w:pPr>
          </w:p>
        </w:tc>
        <w:tc>
          <w:tcPr>
            <w:tcW w:w="0" w:type="auto"/>
            <w:noWrap/>
            <w:vAlign w:val="center"/>
          </w:tcPr>
          <w:p w14:paraId="1300CBCA">
            <w:pPr>
              <w:jc w:val="right"/>
              <w:rPr>
                <w:rFonts w:eastAsia="楷体_GB2312"/>
                <w:sz w:val="18"/>
                <w:szCs w:val="18"/>
                <w:lang w:eastAsia="zh-CN"/>
              </w:rPr>
            </w:pPr>
          </w:p>
        </w:tc>
        <w:tc>
          <w:tcPr>
            <w:tcW w:w="0" w:type="auto"/>
            <w:noWrap/>
            <w:vAlign w:val="center"/>
          </w:tcPr>
          <w:p w14:paraId="2096CEF0">
            <w:pPr>
              <w:jc w:val="right"/>
              <w:rPr>
                <w:rFonts w:eastAsia="楷体_GB2312"/>
                <w:sz w:val="18"/>
                <w:szCs w:val="18"/>
                <w:lang w:eastAsia="zh-CN"/>
              </w:rPr>
            </w:pPr>
          </w:p>
        </w:tc>
        <w:tc>
          <w:tcPr>
            <w:tcW w:w="0" w:type="auto"/>
            <w:noWrap/>
            <w:vAlign w:val="center"/>
          </w:tcPr>
          <w:p w14:paraId="548D9CC3">
            <w:pPr>
              <w:jc w:val="right"/>
              <w:rPr>
                <w:rFonts w:eastAsia="楷体_GB2312"/>
                <w:sz w:val="18"/>
                <w:szCs w:val="18"/>
                <w:lang w:eastAsia="zh-CN"/>
              </w:rPr>
            </w:pPr>
          </w:p>
        </w:tc>
        <w:tc>
          <w:tcPr>
            <w:tcW w:w="0" w:type="auto"/>
            <w:noWrap/>
            <w:vAlign w:val="center"/>
          </w:tcPr>
          <w:p w14:paraId="57C3BAEE">
            <w:pPr>
              <w:jc w:val="right"/>
              <w:rPr>
                <w:rFonts w:eastAsia="楷体_GB2312"/>
                <w:sz w:val="18"/>
                <w:szCs w:val="18"/>
                <w:lang w:eastAsia="zh-CN"/>
              </w:rPr>
            </w:pPr>
          </w:p>
        </w:tc>
      </w:tr>
      <w:tr w14:paraId="267A3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gridSpan w:val="7"/>
            <w:noWrap/>
            <w:vAlign w:val="center"/>
          </w:tcPr>
          <w:p w14:paraId="625D0AF5">
            <w:pPr>
              <w:rPr>
                <w:rFonts w:eastAsia="楷体_GB2312"/>
                <w:sz w:val="18"/>
                <w:szCs w:val="18"/>
                <w:lang w:eastAsia="zh-CN"/>
              </w:rPr>
            </w:pPr>
            <w:r>
              <w:rPr>
                <w:rFonts w:eastAsia="楷体_GB2312"/>
                <w:b/>
                <w:bCs/>
                <w:sz w:val="21"/>
                <w:szCs w:val="21"/>
                <w:lang w:eastAsia="zh-CN"/>
              </w:rPr>
              <w:t>(五)信用分数分布</w:t>
            </w:r>
          </w:p>
        </w:tc>
      </w:tr>
      <w:tr w14:paraId="393F5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3A30EC4E">
            <w:pPr>
              <w:jc w:val="center"/>
              <w:rPr>
                <w:rFonts w:eastAsia="楷体_GB2312"/>
                <w:sz w:val="18"/>
                <w:szCs w:val="18"/>
                <w:lang w:eastAsia="zh-CN"/>
              </w:rPr>
            </w:pPr>
            <w:r>
              <w:rPr>
                <w:rFonts w:eastAsia="楷体_GB2312"/>
                <w:b/>
                <w:sz w:val="18"/>
                <w:szCs w:val="18"/>
                <w:lang w:eastAsia="zh-CN"/>
              </w:rPr>
              <w:t>信用分数</w:t>
            </w:r>
          </w:p>
        </w:tc>
        <w:tc>
          <w:tcPr>
            <w:tcW w:w="0" w:type="auto"/>
            <w:noWrap/>
            <w:vAlign w:val="center"/>
          </w:tcPr>
          <w:p w14:paraId="01E632C6">
            <w:pPr>
              <w:jc w:val="center"/>
              <w:rPr>
                <w:rFonts w:eastAsia="楷体_GB2312"/>
                <w:sz w:val="18"/>
                <w:szCs w:val="18"/>
                <w:lang w:eastAsia="zh-CN"/>
              </w:rPr>
            </w:pPr>
            <w:r>
              <w:rPr>
                <w:rFonts w:eastAsia="楷体_GB2312"/>
                <w:b/>
                <w:bCs/>
                <w:sz w:val="18"/>
                <w:szCs w:val="18"/>
                <w:lang w:eastAsia="zh-CN"/>
              </w:rPr>
              <w:t>贷款笔数</w:t>
            </w:r>
          </w:p>
        </w:tc>
        <w:tc>
          <w:tcPr>
            <w:tcW w:w="0" w:type="auto"/>
            <w:noWrap/>
            <w:vAlign w:val="center"/>
          </w:tcPr>
          <w:p w14:paraId="77367F83">
            <w:pPr>
              <w:jc w:val="center"/>
              <w:rPr>
                <w:rFonts w:eastAsia="楷体_GB2312"/>
                <w:sz w:val="18"/>
                <w:szCs w:val="18"/>
                <w:lang w:eastAsia="zh-CN"/>
              </w:rPr>
            </w:pPr>
            <w:r>
              <w:rPr>
                <w:rFonts w:eastAsia="楷体_GB2312"/>
                <w:b/>
                <w:bCs/>
                <w:sz w:val="18"/>
                <w:szCs w:val="18"/>
              </w:rPr>
              <w:t>占比(%)</w:t>
            </w:r>
          </w:p>
        </w:tc>
        <w:tc>
          <w:tcPr>
            <w:tcW w:w="0" w:type="auto"/>
            <w:noWrap/>
            <w:vAlign w:val="center"/>
          </w:tcPr>
          <w:p w14:paraId="00C6BD88">
            <w:pPr>
              <w:jc w:val="center"/>
              <w:rPr>
                <w:rFonts w:eastAsia="楷体_GB2312"/>
                <w:sz w:val="18"/>
                <w:szCs w:val="18"/>
                <w:lang w:eastAsia="zh-CN"/>
              </w:rPr>
            </w:pPr>
            <w:r>
              <w:rPr>
                <w:rFonts w:eastAsia="楷体_GB2312"/>
                <w:b/>
                <w:bCs/>
                <w:sz w:val="18"/>
                <w:szCs w:val="18"/>
                <w:lang w:eastAsia="zh-CN"/>
              </w:rPr>
              <w:t>初始本金余额(元)</w:t>
            </w:r>
          </w:p>
        </w:tc>
        <w:tc>
          <w:tcPr>
            <w:tcW w:w="0" w:type="auto"/>
            <w:noWrap/>
            <w:vAlign w:val="center"/>
          </w:tcPr>
          <w:p w14:paraId="6361B50A">
            <w:pPr>
              <w:jc w:val="center"/>
              <w:rPr>
                <w:rFonts w:eastAsia="楷体_GB2312"/>
                <w:sz w:val="18"/>
                <w:szCs w:val="18"/>
                <w:lang w:eastAsia="zh-CN"/>
              </w:rPr>
            </w:pPr>
            <w:r>
              <w:rPr>
                <w:rFonts w:eastAsia="楷体_GB2312"/>
                <w:b/>
                <w:bCs/>
                <w:sz w:val="18"/>
                <w:szCs w:val="18"/>
              </w:rPr>
              <w:t>占比(%)</w:t>
            </w:r>
          </w:p>
        </w:tc>
        <w:tc>
          <w:tcPr>
            <w:tcW w:w="0" w:type="auto"/>
            <w:noWrap/>
            <w:vAlign w:val="center"/>
          </w:tcPr>
          <w:p w14:paraId="366B2809">
            <w:pPr>
              <w:jc w:val="center"/>
              <w:rPr>
                <w:rFonts w:eastAsia="楷体_GB2312"/>
                <w:sz w:val="18"/>
                <w:szCs w:val="18"/>
                <w:lang w:eastAsia="zh-CN"/>
              </w:rPr>
            </w:pPr>
            <w:r>
              <w:rPr>
                <w:rFonts w:eastAsia="楷体_GB2312"/>
                <w:b/>
                <w:bCs/>
                <w:sz w:val="18"/>
                <w:szCs w:val="18"/>
                <w:lang w:eastAsia="zh-CN"/>
              </w:rPr>
              <w:t>未偿本金余额(元)</w:t>
            </w:r>
          </w:p>
        </w:tc>
        <w:tc>
          <w:tcPr>
            <w:tcW w:w="0" w:type="auto"/>
            <w:noWrap/>
            <w:vAlign w:val="center"/>
          </w:tcPr>
          <w:p w14:paraId="47EBB9AF">
            <w:pPr>
              <w:jc w:val="center"/>
              <w:rPr>
                <w:rFonts w:eastAsia="楷体_GB2312"/>
                <w:sz w:val="18"/>
                <w:szCs w:val="18"/>
                <w:lang w:eastAsia="zh-CN"/>
              </w:rPr>
            </w:pPr>
            <w:r>
              <w:rPr>
                <w:rFonts w:eastAsia="楷体_GB2312"/>
                <w:b/>
                <w:bCs/>
                <w:sz w:val="18"/>
                <w:szCs w:val="18"/>
              </w:rPr>
              <w:t>占比(%)</w:t>
            </w:r>
          </w:p>
        </w:tc>
      </w:tr>
      <w:tr w14:paraId="11C1F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4DB845EF">
            <w:pPr>
              <w:jc w:val="center"/>
              <w:rPr>
                <w:rFonts w:eastAsia="楷体_GB2312"/>
                <w:sz w:val="18"/>
                <w:szCs w:val="18"/>
                <w:lang w:eastAsia="zh-CN"/>
              </w:rPr>
            </w:pPr>
          </w:p>
        </w:tc>
        <w:tc>
          <w:tcPr>
            <w:tcW w:w="0" w:type="auto"/>
            <w:noWrap/>
            <w:vAlign w:val="center"/>
          </w:tcPr>
          <w:p w14:paraId="315FCF4C">
            <w:pPr>
              <w:jc w:val="right"/>
              <w:rPr>
                <w:rFonts w:eastAsia="楷体_GB2312"/>
                <w:sz w:val="18"/>
                <w:szCs w:val="18"/>
                <w:lang w:eastAsia="zh-CN"/>
              </w:rPr>
            </w:pPr>
          </w:p>
        </w:tc>
        <w:tc>
          <w:tcPr>
            <w:tcW w:w="0" w:type="auto"/>
            <w:noWrap/>
            <w:vAlign w:val="center"/>
          </w:tcPr>
          <w:p w14:paraId="43A0588C">
            <w:pPr>
              <w:jc w:val="right"/>
              <w:rPr>
                <w:rFonts w:eastAsia="楷体_GB2312"/>
                <w:sz w:val="18"/>
                <w:szCs w:val="18"/>
                <w:lang w:eastAsia="zh-CN"/>
              </w:rPr>
            </w:pPr>
          </w:p>
        </w:tc>
        <w:tc>
          <w:tcPr>
            <w:tcW w:w="0" w:type="auto"/>
            <w:noWrap/>
            <w:vAlign w:val="center"/>
          </w:tcPr>
          <w:p w14:paraId="7971C6B3">
            <w:pPr>
              <w:jc w:val="right"/>
              <w:rPr>
                <w:rFonts w:eastAsia="楷体_GB2312"/>
                <w:sz w:val="18"/>
                <w:szCs w:val="18"/>
                <w:lang w:eastAsia="zh-CN"/>
              </w:rPr>
            </w:pPr>
          </w:p>
        </w:tc>
        <w:tc>
          <w:tcPr>
            <w:tcW w:w="0" w:type="auto"/>
            <w:noWrap/>
            <w:vAlign w:val="center"/>
          </w:tcPr>
          <w:p w14:paraId="1CE0CB0C">
            <w:pPr>
              <w:jc w:val="right"/>
              <w:rPr>
                <w:rFonts w:eastAsia="楷体_GB2312"/>
                <w:sz w:val="18"/>
                <w:szCs w:val="18"/>
                <w:lang w:eastAsia="zh-CN"/>
              </w:rPr>
            </w:pPr>
          </w:p>
        </w:tc>
        <w:tc>
          <w:tcPr>
            <w:tcW w:w="0" w:type="auto"/>
            <w:noWrap/>
            <w:vAlign w:val="center"/>
          </w:tcPr>
          <w:p w14:paraId="76DA5550">
            <w:pPr>
              <w:jc w:val="right"/>
              <w:rPr>
                <w:rFonts w:eastAsia="楷体_GB2312"/>
                <w:sz w:val="18"/>
                <w:szCs w:val="18"/>
                <w:lang w:eastAsia="zh-CN"/>
              </w:rPr>
            </w:pPr>
          </w:p>
        </w:tc>
        <w:tc>
          <w:tcPr>
            <w:tcW w:w="0" w:type="auto"/>
            <w:noWrap/>
            <w:vAlign w:val="center"/>
          </w:tcPr>
          <w:p w14:paraId="3107C29E">
            <w:pPr>
              <w:jc w:val="right"/>
              <w:rPr>
                <w:rFonts w:eastAsia="楷体_GB2312"/>
                <w:sz w:val="18"/>
                <w:szCs w:val="18"/>
                <w:lang w:eastAsia="zh-CN"/>
              </w:rPr>
            </w:pPr>
          </w:p>
        </w:tc>
      </w:tr>
      <w:tr w14:paraId="2FC24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595D625A">
            <w:pPr>
              <w:jc w:val="center"/>
              <w:rPr>
                <w:rFonts w:eastAsia="楷体_GB2312"/>
                <w:sz w:val="18"/>
                <w:szCs w:val="18"/>
                <w:lang w:eastAsia="zh-CN"/>
              </w:rPr>
            </w:pPr>
          </w:p>
        </w:tc>
        <w:tc>
          <w:tcPr>
            <w:tcW w:w="0" w:type="auto"/>
            <w:noWrap/>
            <w:vAlign w:val="center"/>
          </w:tcPr>
          <w:p w14:paraId="6E92EBE3">
            <w:pPr>
              <w:jc w:val="right"/>
              <w:rPr>
                <w:rFonts w:eastAsia="楷体_GB2312"/>
                <w:sz w:val="18"/>
                <w:szCs w:val="18"/>
                <w:lang w:eastAsia="zh-CN"/>
              </w:rPr>
            </w:pPr>
          </w:p>
        </w:tc>
        <w:tc>
          <w:tcPr>
            <w:tcW w:w="0" w:type="auto"/>
            <w:noWrap/>
            <w:vAlign w:val="center"/>
          </w:tcPr>
          <w:p w14:paraId="15705176">
            <w:pPr>
              <w:jc w:val="right"/>
              <w:rPr>
                <w:rFonts w:eastAsia="楷体_GB2312"/>
                <w:sz w:val="18"/>
                <w:szCs w:val="18"/>
                <w:lang w:eastAsia="zh-CN"/>
              </w:rPr>
            </w:pPr>
          </w:p>
        </w:tc>
        <w:tc>
          <w:tcPr>
            <w:tcW w:w="0" w:type="auto"/>
            <w:noWrap/>
            <w:vAlign w:val="center"/>
          </w:tcPr>
          <w:p w14:paraId="10F1E839">
            <w:pPr>
              <w:jc w:val="right"/>
              <w:rPr>
                <w:rFonts w:eastAsia="楷体_GB2312"/>
                <w:sz w:val="18"/>
                <w:szCs w:val="18"/>
                <w:lang w:eastAsia="zh-CN"/>
              </w:rPr>
            </w:pPr>
          </w:p>
        </w:tc>
        <w:tc>
          <w:tcPr>
            <w:tcW w:w="0" w:type="auto"/>
            <w:noWrap/>
            <w:vAlign w:val="center"/>
          </w:tcPr>
          <w:p w14:paraId="2B6689B5">
            <w:pPr>
              <w:jc w:val="right"/>
              <w:rPr>
                <w:rFonts w:eastAsia="楷体_GB2312"/>
                <w:sz w:val="18"/>
                <w:szCs w:val="18"/>
                <w:lang w:eastAsia="zh-CN"/>
              </w:rPr>
            </w:pPr>
          </w:p>
        </w:tc>
        <w:tc>
          <w:tcPr>
            <w:tcW w:w="0" w:type="auto"/>
            <w:noWrap/>
            <w:vAlign w:val="center"/>
          </w:tcPr>
          <w:p w14:paraId="17BDA4AC">
            <w:pPr>
              <w:jc w:val="right"/>
              <w:rPr>
                <w:rFonts w:eastAsia="楷体_GB2312"/>
                <w:sz w:val="18"/>
                <w:szCs w:val="18"/>
                <w:lang w:eastAsia="zh-CN"/>
              </w:rPr>
            </w:pPr>
          </w:p>
        </w:tc>
        <w:tc>
          <w:tcPr>
            <w:tcW w:w="0" w:type="auto"/>
            <w:noWrap/>
            <w:vAlign w:val="center"/>
          </w:tcPr>
          <w:p w14:paraId="61630BA3">
            <w:pPr>
              <w:jc w:val="right"/>
              <w:rPr>
                <w:rFonts w:eastAsia="楷体_GB2312"/>
                <w:sz w:val="18"/>
                <w:szCs w:val="18"/>
                <w:lang w:eastAsia="zh-CN"/>
              </w:rPr>
            </w:pPr>
          </w:p>
        </w:tc>
      </w:tr>
      <w:tr w14:paraId="7DCD2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4BEC4E69">
            <w:pPr>
              <w:jc w:val="center"/>
              <w:rPr>
                <w:rFonts w:eastAsia="楷体_GB2312"/>
                <w:sz w:val="18"/>
                <w:szCs w:val="18"/>
                <w:lang w:eastAsia="zh-CN"/>
              </w:rPr>
            </w:pPr>
          </w:p>
        </w:tc>
        <w:tc>
          <w:tcPr>
            <w:tcW w:w="0" w:type="auto"/>
            <w:noWrap/>
            <w:vAlign w:val="center"/>
          </w:tcPr>
          <w:p w14:paraId="4388FB1F">
            <w:pPr>
              <w:jc w:val="right"/>
              <w:rPr>
                <w:rFonts w:eastAsia="楷体_GB2312"/>
                <w:sz w:val="18"/>
                <w:szCs w:val="18"/>
                <w:lang w:eastAsia="zh-CN"/>
              </w:rPr>
            </w:pPr>
          </w:p>
        </w:tc>
        <w:tc>
          <w:tcPr>
            <w:tcW w:w="0" w:type="auto"/>
            <w:noWrap/>
            <w:vAlign w:val="center"/>
          </w:tcPr>
          <w:p w14:paraId="79169A17">
            <w:pPr>
              <w:jc w:val="right"/>
              <w:rPr>
                <w:rFonts w:eastAsia="楷体_GB2312"/>
                <w:sz w:val="18"/>
                <w:szCs w:val="18"/>
                <w:lang w:eastAsia="zh-CN"/>
              </w:rPr>
            </w:pPr>
          </w:p>
        </w:tc>
        <w:tc>
          <w:tcPr>
            <w:tcW w:w="0" w:type="auto"/>
            <w:noWrap/>
            <w:vAlign w:val="center"/>
          </w:tcPr>
          <w:p w14:paraId="73226FA5">
            <w:pPr>
              <w:jc w:val="right"/>
              <w:rPr>
                <w:rFonts w:eastAsia="楷体_GB2312"/>
                <w:sz w:val="18"/>
                <w:szCs w:val="18"/>
                <w:lang w:eastAsia="zh-CN"/>
              </w:rPr>
            </w:pPr>
          </w:p>
        </w:tc>
        <w:tc>
          <w:tcPr>
            <w:tcW w:w="0" w:type="auto"/>
            <w:noWrap/>
            <w:vAlign w:val="center"/>
          </w:tcPr>
          <w:p w14:paraId="0B22008F">
            <w:pPr>
              <w:jc w:val="right"/>
              <w:rPr>
                <w:rFonts w:eastAsia="楷体_GB2312"/>
                <w:sz w:val="18"/>
                <w:szCs w:val="18"/>
                <w:lang w:eastAsia="zh-CN"/>
              </w:rPr>
            </w:pPr>
          </w:p>
        </w:tc>
        <w:tc>
          <w:tcPr>
            <w:tcW w:w="0" w:type="auto"/>
            <w:noWrap/>
            <w:vAlign w:val="center"/>
          </w:tcPr>
          <w:p w14:paraId="327C2BEB">
            <w:pPr>
              <w:jc w:val="right"/>
              <w:rPr>
                <w:rFonts w:eastAsia="楷体_GB2312"/>
                <w:sz w:val="18"/>
                <w:szCs w:val="18"/>
                <w:lang w:eastAsia="zh-CN"/>
              </w:rPr>
            </w:pPr>
          </w:p>
        </w:tc>
        <w:tc>
          <w:tcPr>
            <w:tcW w:w="0" w:type="auto"/>
            <w:noWrap/>
            <w:vAlign w:val="center"/>
          </w:tcPr>
          <w:p w14:paraId="60AD922A">
            <w:pPr>
              <w:jc w:val="right"/>
              <w:rPr>
                <w:rFonts w:eastAsia="楷体_GB2312"/>
                <w:sz w:val="18"/>
                <w:szCs w:val="18"/>
                <w:lang w:eastAsia="zh-CN"/>
              </w:rPr>
            </w:pPr>
          </w:p>
        </w:tc>
      </w:tr>
      <w:tr w14:paraId="05343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gridSpan w:val="7"/>
            <w:noWrap/>
            <w:vAlign w:val="center"/>
          </w:tcPr>
          <w:p w14:paraId="4349E71E">
            <w:pPr>
              <w:rPr>
                <w:rFonts w:eastAsia="楷体_GB2312"/>
                <w:b/>
                <w:szCs w:val="21"/>
                <w:lang w:eastAsia="zh-CN"/>
              </w:rPr>
            </w:pPr>
            <w:r>
              <w:rPr>
                <w:rFonts w:eastAsia="楷体_GB2312"/>
                <w:b/>
                <w:szCs w:val="21"/>
              </w:rPr>
              <w:t>抵（质）押物分布</w:t>
            </w:r>
          </w:p>
        </w:tc>
      </w:tr>
      <w:tr w14:paraId="7E14F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gridSpan w:val="7"/>
            <w:noWrap/>
            <w:vAlign w:val="center"/>
          </w:tcPr>
          <w:p w14:paraId="3FD589D1">
            <w:pPr>
              <w:rPr>
                <w:rFonts w:eastAsia="楷体_GB2312"/>
                <w:sz w:val="21"/>
                <w:szCs w:val="21"/>
                <w:lang w:eastAsia="zh-CN"/>
              </w:rPr>
            </w:pPr>
            <w:r>
              <w:rPr>
                <w:rFonts w:eastAsia="楷体_GB2312"/>
                <w:b/>
                <w:bCs/>
                <w:sz w:val="21"/>
                <w:szCs w:val="21"/>
                <w:lang w:eastAsia="zh-CN"/>
              </w:rPr>
              <w:t>(一)新车/二手车分布</w:t>
            </w:r>
          </w:p>
        </w:tc>
      </w:tr>
      <w:tr w14:paraId="4B6CD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04821F96">
            <w:pPr>
              <w:jc w:val="center"/>
              <w:rPr>
                <w:rFonts w:eastAsia="楷体_GB2312"/>
                <w:b/>
                <w:bCs/>
                <w:sz w:val="18"/>
                <w:szCs w:val="18"/>
                <w:lang w:eastAsia="zh-CN"/>
              </w:rPr>
            </w:pPr>
            <w:r>
              <w:rPr>
                <w:rFonts w:eastAsia="楷体_GB2312"/>
                <w:b/>
                <w:bCs/>
                <w:sz w:val="18"/>
                <w:szCs w:val="18"/>
                <w:lang w:eastAsia="zh-CN"/>
              </w:rPr>
              <w:t>贷款类型</w:t>
            </w:r>
          </w:p>
        </w:tc>
        <w:tc>
          <w:tcPr>
            <w:tcW w:w="0" w:type="auto"/>
            <w:noWrap/>
            <w:vAlign w:val="center"/>
          </w:tcPr>
          <w:p w14:paraId="0F026DAD">
            <w:pPr>
              <w:jc w:val="center"/>
              <w:rPr>
                <w:rFonts w:eastAsia="楷体_GB2312"/>
                <w:b/>
                <w:bCs/>
                <w:sz w:val="18"/>
                <w:szCs w:val="18"/>
                <w:lang w:eastAsia="zh-CN"/>
              </w:rPr>
            </w:pPr>
            <w:r>
              <w:rPr>
                <w:rFonts w:eastAsia="楷体_GB2312"/>
                <w:b/>
                <w:bCs/>
                <w:sz w:val="18"/>
                <w:szCs w:val="18"/>
                <w:lang w:eastAsia="zh-CN"/>
              </w:rPr>
              <w:t>贷款笔数</w:t>
            </w:r>
          </w:p>
        </w:tc>
        <w:tc>
          <w:tcPr>
            <w:tcW w:w="0" w:type="auto"/>
            <w:noWrap/>
            <w:vAlign w:val="center"/>
          </w:tcPr>
          <w:p w14:paraId="6B363174">
            <w:pPr>
              <w:jc w:val="center"/>
              <w:rPr>
                <w:rFonts w:eastAsia="楷体_GB2312"/>
                <w:b/>
                <w:bCs/>
                <w:sz w:val="18"/>
                <w:szCs w:val="18"/>
                <w:lang w:eastAsia="zh-CN"/>
              </w:rPr>
            </w:pPr>
            <w:r>
              <w:rPr>
                <w:rFonts w:eastAsia="楷体_GB2312"/>
                <w:b/>
                <w:bCs/>
                <w:sz w:val="18"/>
                <w:szCs w:val="18"/>
              </w:rPr>
              <w:t>占比(%)</w:t>
            </w:r>
          </w:p>
        </w:tc>
        <w:tc>
          <w:tcPr>
            <w:tcW w:w="0" w:type="auto"/>
            <w:noWrap/>
            <w:vAlign w:val="center"/>
          </w:tcPr>
          <w:p w14:paraId="19142468">
            <w:pPr>
              <w:jc w:val="center"/>
              <w:rPr>
                <w:rFonts w:eastAsia="楷体_GB2312"/>
                <w:b/>
                <w:bCs/>
                <w:sz w:val="18"/>
                <w:szCs w:val="18"/>
                <w:lang w:eastAsia="zh-CN"/>
              </w:rPr>
            </w:pPr>
            <w:r>
              <w:rPr>
                <w:rFonts w:eastAsia="楷体_GB2312"/>
                <w:b/>
                <w:bCs/>
                <w:sz w:val="18"/>
                <w:szCs w:val="18"/>
                <w:lang w:eastAsia="zh-CN"/>
              </w:rPr>
              <w:t>初始本金余额(元)</w:t>
            </w:r>
          </w:p>
        </w:tc>
        <w:tc>
          <w:tcPr>
            <w:tcW w:w="0" w:type="auto"/>
            <w:noWrap/>
            <w:vAlign w:val="center"/>
          </w:tcPr>
          <w:p w14:paraId="34C56799">
            <w:pPr>
              <w:jc w:val="center"/>
              <w:rPr>
                <w:rFonts w:eastAsia="楷体_GB2312"/>
                <w:b/>
                <w:bCs/>
                <w:sz w:val="18"/>
                <w:szCs w:val="18"/>
                <w:lang w:eastAsia="zh-CN"/>
              </w:rPr>
            </w:pPr>
            <w:r>
              <w:rPr>
                <w:rFonts w:eastAsia="楷体_GB2312"/>
                <w:b/>
                <w:bCs/>
                <w:sz w:val="18"/>
                <w:szCs w:val="18"/>
              </w:rPr>
              <w:t>占比(%)</w:t>
            </w:r>
          </w:p>
        </w:tc>
        <w:tc>
          <w:tcPr>
            <w:tcW w:w="0" w:type="auto"/>
            <w:noWrap/>
            <w:vAlign w:val="center"/>
          </w:tcPr>
          <w:p w14:paraId="14242CCE">
            <w:pPr>
              <w:jc w:val="center"/>
              <w:rPr>
                <w:rFonts w:eastAsia="楷体_GB2312"/>
                <w:b/>
                <w:bCs/>
                <w:sz w:val="18"/>
                <w:szCs w:val="18"/>
                <w:lang w:eastAsia="zh-CN"/>
              </w:rPr>
            </w:pPr>
            <w:r>
              <w:rPr>
                <w:rFonts w:eastAsia="楷体_GB2312"/>
                <w:b/>
                <w:bCs/>
                <w:sz w:val="18"/>
                <w:szCs w:val="18"/>
                <w:lang w:eastAsia="zh-CN"/>
              </w:rPr>
              <w:t>未偿本金余额(元)</w:t>
            </w:r>
          </w:p>
        </w:tc>
        <w:tc>
          <w:tcPr>
            <w:tcW w:w="0" w:type="auto"/>
            <w:noWrap/>
            <w:vAlign w:val="center"/>
          </w:tcPr>
          <w:p w14:paraId="4AD7949B">
            <w:pPr>
              <w:jc w:val="center"/>
              <w:rPr>
                <w:rFonts w:eastAsia="楷体_GB2312"/>
                <w:b/>
                <w:bCs/>
                <w:sz w:val="18"/>
                <w:szCs w:val="18"/>
                <w:lang w:eastAsia="zh-CN"/>
              </w:rPr>
            </w:pPr>
            <w:r>
              <w:rPr>
                <w:rFonts w:eastAsia="楷体_GB2312"/>
                <w:b/>
                <w:bCs/>
                <w:sz w:val="18"/>
                <w:szCs w:val="18"/>
              </w:rPr>
              <w:t>占比(%)</w:t>
            </w:r>
          </w:p>
        </w:tc>
      </w:tr>
      <w:tr w14:paraId="236D6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9EF1881">
            <w:pPr>
              <w:jc w:val="center"/>
              <w:rPr>
                <w:rFonts w:eastAsia="楷体_GB2312"/>
                <w:sz w:val="18"/>
                <w:szCs w:val="18"/>
                <w:lang w:eastAsia="zh-CN"/>
              </w:rPr>
            </w:pPr>
            <w:r>
              <w:rPr>
                <w:rFonts w:eastAsia="楷体_GB2312"/>
                <w:sz w:val="18"/>
                <w:szCs w:val="18"/>
                <w:lang w:eastAsia="zh-CN"/>
              </w:rPr>
              <w:t>新车</w:t>
            </w:r>
          </w:p>
        </w:tc>
        <w:tc>
          <w:tcPr>
            <w:tcW w:w="0" w:type="auto"/>
            <w:noWrap/>
            <w:vAlign w:val="center"/>
          </w:tcPr>
          <w:p w14:paraId="548BD432">
            <w:pPr>
              <w:jc w:val="right"/>
              <w:rPr>
                <w:rFonts w:eastAsia="楷体_GB2312"/>
                <w:sz w:val="18"/>
                <w:szCs w:val="18"/>
                <w:lang w:eastAsia="zh-CN"/>
              </w:rPr>
            </w:pPr>
          </w:p>
        </w:tc>
        <w:tc>
          <w:tcPr>
            <w:tcW w:w="0" w:type="auto"/>
            <w:noWrap/>
            <w:vAlign w:val="center"/>
          </w:tcPr>
          <w:p w14:paraId="13585902">
            <w:pPr>
              <w:jc w:val="right"/>
              <w:rPr>
                <w:rFonts w:eastAsia="楷体_GB2312"/>
                <w:sz w:val="18"/>
                <w:szCs w:val="18"/>
                <w:lang w:eastAsia="zh-CN"/>
              </w:rPr>
            </w:pPr>
          </w:p>
        </w:tc>
        <w:tc>
          <w:tcPr>
            <w:tcW w:w="0" w:type="auto"/>
            <w:noWrap/>
            <w:vAlign w:val="center"/>
          </w:tcPr>
          <w:p w14:paraId="3F5B6935">
            <w:pPr>
              <w:jc w:val="right"/>
              <w:rPr>
                <w:rFonts w:eastAsia="楷体_GB2312"/>
                <w:sz w:val="18"/>
                <w:szCs w:val="18"/>
                <w:lang w:eastAsia="zh-CN"/>
              </w:rPr>
            </w:pPr>
          </w:p>
        </w:tc>
        <w:tc>
          <w:tcPr>
            <w:tcW w:w="0" w:type="auto"/>
            <w:noWrap/>
            <w:vAlign w:val="center"/>
          </w:tcPr>
          <w:p w14:paraId="30DFFB09">
            <w:pPr>
              <w:jc w:val="right"/>
              <w:rPr>
                <w:rFonts w:eastAsia="楷体_GB2312"/>
                <w:sz w:val="18"/>
                <w:szCs w:val="18"/>
                <w:lang w:eastAsia="zh-CN"/>
              </w:rPr>
            </w:pPr>
          </w:p>
        </w:tc>
        <w:tc>
          <w:tcPr>
            <w:tcW w:w="0" w:type="auto"/>
            <w:noWrap/>
            <w:vAlign w:val="center"/>
          </w:tcPr>
          <w:p w14:paraId="1BAE4783">
            <w:pPr>
              <w:jc w:val="right"/>
              <w:rPr>
                <w:rFonts w:eastAsia="楷体_GB2312"/>
                <w:sz w:val="18"/>
                <w:szCs w:val="18"/>
                <w:lang w:eastAsia="zh-CN"/>
              </w:rPr>
            </w:pPr>
          </w:p>
        </w:tc>
        <w:tc>
          <w:tcPr>
            <w:tcW w:w="0" w:type="auto"/>
            <w:noWrap/>
            <w:vAlign w:val="center"/>
          </w:tcPr>
          <w:p w14:paraId="07FA2BC2">
            <w:pPr>
              <w:jc w:val="right"/>
              <w:rPr>
                <w:rFonts w:eastAsia="楷体_GB2312"/>
                <w:sz w:val="18"/>
                <w:szCs w:val="18"/>
                <w:lang w:eastAsia="zh-CN"/>
              </w:rPr>
            </w:pPr>
          </w:p>
        </w:tc>
      </w:tr>
      <w:tr w14:paraId="2D4E4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377BCE2A">
            <w:pPr>
              <w:jc w:val="center"/>
              <w:rPr>
                <w:rFonts w:eastAsia="楷体_GB2312"/>
                <w:sz w:val="18"/>
                <w:szCs w:val="18"/>
                <w:lang w:eastAsia="zh-CN"/>
              </w:rPr>
            </w:pPr>
            <w:r>
              <w:rPr>
                <w:rFonts w:eastAsia="楷体_GB2312"/>
                <w:sz w:val="18"/>
                <w:szCs w:val="18"/>
                <w:lang w:eastAsia="zh-CN"/>
              </w:rPr>
              <w:t>二手车</w:t>
            </w:r>
          </w:p>
        </w:tc>
        <w:tc>
          <w:tcPr>
            <w:tcW w:w="0" w:type="auto"/>
            <w:noWrap/>
            <w:vAlign w:val="center"/>
          </w:tcPr>
          <w:p w14:paraId="23A10391">
            <w:pPr>
              <w:jc w:val="right"/>
              <w:rPr>
                <w:rFonts w:eastAsia="楷体_GB2312"/>
                <w:sz w:val="18"/>
                <w:szCs w:val="18"/>
                <w:lang w:eastAsia="zh-CN"/>
              </w:rPr>
            </w:pPr>
          </w:p>
        </w:tc>
        <w:tc>
          <w:tcPr>
            <w:tcW w:w="0" w:type="auto"/>
            <w:noWrap/>
            <w:vAlign w:val="center"/>
          </w:tcPr>
          <w:p w14:paraId="73129123">
            <w:pPr>
              <w:jc w:val="right"/>
              <w:rPr>
                <w:rFonts w:eastAsia="楷体_GB2312"/>
                <w:sz w:val="18"/>
                <w:szCs w:val="18"/>
                <w:lang w:eastAsia="zh-CN"/>
              </w:rPr>
            </w:pPr>
          </w:p>
        </w:tc>
        <w:tc>
          <w:tcPr>
            <w:tcW w:w="0" w:type="auto"/>
            <w:noWrap/>
            <w:vAlign w:val="center"/>
          </w:tcPr>
          <w:p w14:paraId="2A56E626">
            <w:pPr>
              <w:jc w:val="right"/>
              <w:rPr>
                <w:rFonts w:eastAsia="楷体_GB2312"/>
                <w:sz w:val="18"/>
                <w:szCs w:val="18"/>
                <w:lang w:eastAsia="zh-CN"/>
              </w:rPr>
            </w:pPr>
          </w:p>
        </w:tc>
        <w:tc>
          <w:tcPr>
            <w:tcW w:w="0" w:type="auto"/>
            <w:noWrap/>
            <w:vAlign w:val="center"/>
          </w:tcPr>
          <w:p w14:paraId="62C81226">
            <w:pPr>
              <w:jc w:val="right"/>
              <w:rPr>
                <w:rFonts w:eastAsia="楷体_GB2312"/>
                <w:sz w:val="18"/>
                <w:szCs w:val="18"/>
                <w:lang w:eastAsia="zh-CN"/>
              </w:rPr>
            </w:pPr>
          </w:p>
        </w:tc>
        <w:tc>
          <w:tcPr>
            <w:tcW w:w="0" w:type="auto"/>
            <w:noWrap/>
            <w:vAlign w:val="center"/>
          </w:tcPr>
          <w:p w14:paraId="306D2D8C">
            <w:pPr>
              <w:jc w:val="right"/>
              <w:rPr>
                <w:rFonts w:eastAsia="楷体_GB2312"/>
                <w:sz w:val="18"/>
                <w:szCs w:val="18"/>
                <w:lang w:eastAsia="zh-CN"/>
              </w:rPr>
            </w:pPr>
          </w:p>
        </w:tc>
        <w:tc>
          <w:tcPr>
            <w:tcW w:w="0" w:type="auto"/>
            <w:noWrap/>
            <w:vAlign w:val="center"/>
          </w:tcPr>
          <w:p w14:paraId="6779235B">
            <w:pPr>
              <w:jc w:val="right"/>
              <w:rPr>
                <w:rFonts w:eastAsia="楷体_GB2312"/>
                <w:sz w:val="18"/>
                <w:szCs w:val="18"/>
                <w:lang w:eastAsia="zh-CN"/>
              </w:rPr>
            </w:pPr>
          </w:p>
        </w:tc>
      </w:tr>
      <w:tr w14:paraId="6AE0B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304E8082">
            <w:pPr>
              <w:jc w:val="center"/>
              <w:rPr>
                <w:rFonts w:eastAsia="楷体_GB2312"/>
                <w:sz w:val="18"/>
                <w:szCs w:val="18"/>
                <w:lang w:eastAsia="zh-CN"/>
              </w:rPr>
            </w:pPr>
            <w:r>
              <w:rPr>
                <w:rFonts w:eastAsia="楷体_GB2312"/>
                <w:sz w:val="18"/>
                <w:szCs w:val="18"/>
                <w:lang w:eastAsia="zh-CN"/>
              </w:rPr>
              <w:t>无抵押</w:t>
            </w:r>
          </w:p>
        </w:tc>
        <w:tc>
          <w:tcPr>
            <w:tcW w:w="0" w:type="auto"/>
            <w:noWrap/>
            <w:vAlign w:val="center"/>
          </w:tcPr>
          <w:p w14:paraId="4EA4BC1D">
            <w:pPr>
              <w:jc w:val="right"/>
              <w:rPr>
                <w:rFonts w:eastAsia="楷体_GB2312"/>
                <w:sz w:val="18"/>
                <w:szCs w:val="18"/>
                <w:lang w:eastAsia="zh-CN"/>
              </w:rPr>
            </w:pPr>
          </w:p>
        </w:tc>
        <w:tc>
          <w:tcPr>
            <w:tcW w:w="0" w:type="auto"/>
            <w:noWrap/>
            <w:vAlign w:val="center"/>
          </w:tcPr>
          <w:p w14:paraId="20D189EA">
            <w:pPr>
              <w:jc w:val="right"/>
              <w:rPr>
                <w:rFonts w:eastAsia="楷体_GB2312"/>
                <w:sz w:val="18"/>
                <w:szCs w:val="18"/>
                <w:lang w:eastAsia="zh-CN"/>
              </w:rPr>
            </w:pPr>
          </w:p>
        </w:tc>
        <w:tc>
          <w:tcPr>
            <w:tcW w:w="0" w:type="auto"/>
            <w:noWrap/>
            <w:vAlign w:val="center"/>
          </w:tcPr>
          <w:p w14:paraId="21A4A6A2">
            <w:pPr>
              <w:jc w:val="right"/>
              <w:rPr>
                <w:rFonts w:eastAsia="楷体_GB2312"/>
                <w:sz w:val="18"/>
                <w:szCs w:val="18"/>
                <w:lang w:eastAsia="zh-CN"/>
              </w:rPr>
            </w:pPr>
          </w:p>
        </w:tc>
        <w:tc>
          <w:tcPr>
            <w:tcW w:w="0" w:type="auto"/>
            <w:noWrap/>
            <w:vAlign w:val="center"/>
          </w:tcPr>
          <w:p w14:paraId="44995969">
            <w:pPr>
              <w:jc w:val="right"/>
              <w:rPr>
                <w:rFonts w:eastAsia="楷体_GB2312"/>
                <w:sz w:val="18"/>
                <w:szCs w:val="18"/>
                <w:lang w:eastAsia="zh-CN"/>
              </w:rPr>
            </w:pPr>
          </w:p>
        </w:tc>
        <w:tc>
          <w:tcPr>
            <w:tcW w:w="0" w:type="auto"/>
            <w:noWrap/>
            <w:vAlign w:val="center"/>
          </w:tcPr>
          <w:p w14:paraId="4A07F2B3">
            <w:pPr>
              <w:jc w:val="right"/>
              <w:rPr>
                <w:rFonts w:eastAsia="楷体_GB2312"/>
                <w:sz w:val="18"/>
                <w:szCs w:val="18"/>
                <w:lang w:eastAsia="zh-CN"/>
              </w:rPr>
            </w:pPr>
          </w:p>
        </w:tc>
        <w:tc>
          <w:tcPr>
            <w:tcW w:w="0" w:type="auto"/>
            <w:noWrap/>
            <w:vAlign w:val="center"/>
          </w:tcPr>
          <w:p w14:paraId="2DF6A9E6">
            <w:pPr>
              <w:jc w:val="right"/>
              <w:rPr>
                <w:rFonts w:eastAsia="楷体_GB2312"/>
                <w:sz w:val="18"/>
                <w:szCs w:val="18"/>
                <w:lang w:eastAsia="zh-CN"/>
              </w:rPr>
            </w:pPr>
          </w:p>
        </w:tc>
      </w:tr>
      <w:tr w14:paraId="28504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4951F768">
            <w:pPr>
              <w:jc w:val="center"/>
              <w:rPr>
                <w:rFonts w:eastAsia="楷体_GB2312"/>
                <w:b/>
                <w:sz w:val="18"/>
                <w:szCs w:val="18"/>
                <w:lang w:eastAsia="zh-CN"/>
              </w:rPr>
            </w:pPr>
            <w:r>
              <w:rPr>
                <w:rFonts w:eastAsia="楷体_GB2312"/>
                <w:b/>
                <w:sz w:val="18"/>
                <w:szCs w:val="18"/>
                <w:lang w:eastAsia="zh-CN"/>
              </w:rPr>
              <w:t>总计</w:t>
            </w:r>
          </w:p>
        </w:tc>
        <w:tc>
          <w:tcPr>
            <w:tcW w:w="0" w:type="auto"/>
            <w:noWrap/>
            <w:vAlign w:val="center"/>
          </w:tcPr>
          <w:p w14:paraId="688D3183">
            <w:pPr>
              <w:jc w:val="right"/>
              <w:rPr>
                <w:rFonts w:eastAsia="楷体_GB2312"/>
                <w:sz w:val="18"/>
                <w:szCs w:val="18"/>
                <w:lang w:eastAsia="zh-CN"/>
              </w:rPr>
            </w:pPr>
          </w:p>
        </w:tc>
        <w:tc>
          <w:tcPr>
            <w:tcW w:w="0" w:type="auto"/>
            <w:noWrap/>
            <w:vAlign w:val="center"/>
          </w:tcPr>
          <w:p w14:paraId="0BB15B8A">
            <w:pPr>
              <w:jc w:val="right"/>
              <w:rPr>
                <w:rFonts w:eastAsia="楷体_GB2312"/>
                <w:sz w:val="18"/>
                <w:szCs w:val="18"/>
                <w:lang w:eastAsia="zh-CN"/>
              </w:rPr>
            </w:pPr>
          </w:p>
        </w:tc>
        <w:tc>
          <w:tcPr>
            <w:tcW w:w="0" w:type="auto"/>
            <w:noWrap/>
            <w:vAlign w:val="center"/>
          </w:tcPr>
          <w:p w14:paraId="2E1174A8">
            <w:pPr>
              <w:jc w:val="right"/>
              <w:rPr>
                <w:rFonts w:eastAsia="楷体_GB2312"/>
                <w:sz w:val="18"/>
                <w:szCs w:val="18"/>
                <w:lang w:eastAsia="zh-CN"/>
              </w:rPr>
            </w:pPr>
          </w:p>
        </w:tc>
        <w:tc>
          <w:tcPr>
            <w:tcW w:w="0" w:type="auto"/>
            <w:noWrap/>
            <w:vAlign w:val="center"/>
          </w:tcPr>
          <w:p w14:paraId="6EB51B5C">
            <w:pPr>
              <w:jc w:val="right"/>
              <w:rPr>
                <w:rFonts w:eastAsia="楷体_GB2312"/>
                <w:sz w:val="18"/>
                <w:szCs w:val="18"/>
                <w:lang w:eastAsia="zh-CN"/>
              </w:rPr>
            </w:pPr>
          </w:p>
        </w:tc>
        <w:tc>
          <w:tcPr>
            <w:tcW w:w="0" w:type="auto"/>
            <w:noWrap/>
            <w:vAlign w:val="center"/>
          </w:tcPr>
          <w:p w14:paraId="34E77974">
            <w:pPr>
              <w:jc w:val="right"/>
              <w:rPr>
                <w:rFonts w:eastAsia="楷体_GB2312"/>
                <w:sz w:val="18"/>
                <w:szCs w:val="18"/>
                <w:lang w:eastAsia="zh-CN"/>
              </w:rPr>
            </w:pPr>
          </w:p>
        </w:tc>
        <w:tc>
          <w:tcPr>
            <w:tcW w:w="0" w:type="auto"/>
            <w:noWrap/>
            <w:vAlign w:val="center"/>
          </w:tcPr>
          <w:p w14:paraId="2F2B39AC">
            <w:pPr>
              <w:jc w:val="right"/>
              <w:rPr>
                <w:rFonts w:eastAsia="楷体_GB2312"/>
                <w:sz w:val="18"/>
                <w:szCs w:val="18"/>
                <w:lang w:eastAsia="zh-CN"/>
              </w:rPr>
            </w:pPr>
          </w:p>
        </w:tc>
      </w:tr>
      <w:tr w14:paraId="21BEA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0" w:type="auto"/>
            <w:gridSpan w:val="7"/>
            <w:noWrap/>
            <w:vAlign w:val="center"/>
          </w:tcPr>
          <w:p w14:paraId="2C144C44">
            <w:pPr>
              <w:rPr>
                <w:rFonts w:eastAsia="楷体_GB2312"/>
                <w:sz w:val="21"/>
                <w:szCs w:val="21"/>
                <w:lang w:eastAsia="zh-CN"/>
              </w:rPr>
            </w:pPr>
            <w:r>
              <w:rPr>
                <w:rFonts w:eastAsia="楷体_GB2312"/>
                <w:b/>
                <w:bCs/>
                <w:sz w:val="21"/>
                <w:szCs w:val="21"/>
                <w:lang w:eastAsia="zh-CN"/>
              </w:rPr>
              <w:t>(二)贷款的初始价值比</w:t>
            </w:r>
          </w:p>
        </w:tc>
      </w:tr>
      <w:tr w14:paraId="773D7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90DDF6C">
            <w:pPr>
              <w:jc w:val="center"/>
              <w:rPr>
                <w:rFonts w:eastAsia="楷体_GB2312"/>
                <w:b/>
                <w:bCs/>
                <w:sz w:val="18"/>
                <w:szCs w:val="18"/>
                <w:lang w:eastAsia="zh-CN"/>
              </w:rPr>
            </w:pPr>
            <w:r>
              <w:rPr>
                <w:rFonts w:eastAsia="楷体_GB2312"/>
                <w:b/>
                <w:bCs/>
                <w:sz w:val="18"/>
                <w:szCs w:val="18"/>
              </w:rPr>
              <w:t>初始价值比(%)</w:t>
            </w:r>
          </w:p>
        </w:tc>
        <w:tc>
          <w:tcPr>
            <w:tcW w:w="0" w:type="auto"/>
            <w:noWrap/>
            <w:vAlign w:val="center"/>
          </w:tcPr>
          <w:p w14:paraId="1440F287">
            <w:pPr>
              <w:jc w:val="center"/>
              <w:rPr>
                <w:rFonts w:eastAsia="楷体_GB2312"/>
                <w:b/>
                <w:bCs/>
                <w:sz w:val="18"/>
                <w:szCs w:val="18"/>
                <w:lang w:eastAsia="zh-CN"/>
              </w:rPr>
            </w:pPr>
            <w:r>
              <w:rPr>
                <w:rFonts w:eastAsia="楷体_GB2312"/>
                <w:b/>
                <w:bCs/>
                <w:sz w:val="18"/>
                <w:szCs w:val="18"/>
                <w:lang w:eastAsia="zh-CN"/>
              </w:rPr>
              <w:t>贷款笔数</w:t>
            </w:r>
          </w:p>
        </w:tc>
        <w:tc>
          <w:tcPr>
            <w:tcW w:w="0" w:type="auto"/>
            <w:noWrap/>
            <w:vAlign w:val="center"/>
          </w:tcPr>
          <w:p w14:paraId="1AA4D2AD">
            <w:pPr>
              <w:jc w:val="center"/>
              <w:rPr>
                <w:rFonts w:eastAsia="楷体_GB2312"/>
                <w:b/>
                <w:bCs/>
                <w:sz w:val="18"/>
                <w:szCs w:val="18"/>
                <w:lang w:eastAsia="zh-CN"/>
              </w:rPr>
            </w:pPr>
            <w:r>
              <w:rPr>
                <w:rFonts w:eastAsia="楷体_GB2312"/>
                <w:b/>
                <w:bCs/>
                <w:sz w:val="18"/>
                <w:szCs w:val="18"/>
              </w:rPr>
              <w:t>占比(%)</w:t>
            </w:r>
          </w:p>
        </w:tc>
        <w:tc>
          <w:tcPr>
            <w:tcW w:w="0" w:type="auto"/>
            <w:noWrap/>
            <w:vAlign w:val="center"/>
          </w:tcPr>
          <w:p w14:paraId="40330213">
            <w:pPr>
              <w:jc w:val="center"/>
              <w:rPr>
                <w:rFonts w:eastAsia="楷体_GB2312"/>
                <w:b/>
                <w:bCs/>
                <w:sz w:val="18"/>
                <w:szCs w:val="18"/>
                <w:lang w:eastAsia="zh-CN"/>
              </w:rPr>
            </w:pPr>
            <w:r>
              <w:rPr>
                <w:rFonts w:eastAsia="楷体_GB2312"/>
                <w:b/>
                <w:bCs/>
                <w:sz w:val="18"/>
                <w:szCs w:val="18"/>
                <w:lang w:eastAsia="zh-CN"/>
              </w:rPr>
              <w:t>初始本金余额(元)</w:t>
            </w:r>
          </w:p>
        </w:tc>
        <w:tc>
          <w:tcPr>
            <w:tcW w:w="0" w:type="auto"/>
            <w:noWrap/>
            <w:vAlign w:val="center"/>
          </w:tcPr>
          <w:p w14:paraId="7FE37AD3">
            <w:pPr>
              <w:jc w:val="center"/>
              <w:rPr>
                <w:rFonts w:eastAsia="楷体_GB2312"/>
                <w:b/>
                <w:bCs/>
                <w:sz w:val="18"/>
                <w:szCs w:val="18"/>
                <w:lang w:eastAsia="zh-CN"/>
              </w:rPr>
            </w:pPr>
            <w:r>
              <w:rPr>
                <w:rFonts w:eastAsia="楷体_GB2312"/>
                <w:b/>
                <w:bCs/>
                <w:sz w:val="18"/>
                <w:szCs w:val="18"/>
              </w:rPr>
              <w:t>占比(%)</w:t>
            </w:r>
          </w:p>
        </w:tc>
        <w:tc>
          <w:tcPr>
            <w:tcW w:w="0" w:type="auto"/>
            <w:noWrap/>
            <w:vAlign w:val="center"/>
          </w:tcPr>
          <w:p w14:paraId="54EBEE62">
            <w:pPr>
              <w:jc w:val="center"/>
              <w:rPr>
                <w:rFonts w:eastAsia="楷体_GB2312"/>
                <w:b/>
                <w:bCs/>
                <w:sz w:val="18"/>
                <w:szCs w:val="18"/>
                <w:lang w:eastAsia="zh-CN"/>
              </w:rPr>
            </w:pPr>
            <w:r>
              <w:rPr>
                <w:rFonts w:eastAsia="楷体_GB2312"/>
                <w:b/>
                <w:bCs/>
                <w:sz w:val="18"/>
                <w:szCs w:val="18"/>
                <w:lang w:eastAsia="zh-CN"/>
              </w:rPr>
              <w:t>未偿本金余额(元)</w:t>
            </w:r>
          </w:p>
        </w:tc>
        <w:tc>
          <w:tcPr>
            <w:tcW w:w="0" w:type="auto"/>
            <w:noWrap/>
            <w:vAlign w:val="center"/>
          </w:tcPr>
          <w:p w14:paraId="7A24F7A5">
            <w:pPr>
              <w:jc w:val="center"/>
              <w:rPr>
                <w:rFonts w:eastAsia="楷体_GB2312"/>
                <w:b/>
                <w:bCs/>
                <w:sz w:val="18"/>
                <w:szCs w:val="18"/>
                <w:lang w:eastAsia="zh-CN"/>
              </w:rPr>
            </w:pPr>
            <w:r>
              <w:rPr>
                <w:rFonts w:eastAsia="楷体_GB2312"/>
                <w:b/>
                <w:bCs/>
                <w:sz w:val="18"/>
                <w:szCs w:val="18"/>
              </w:rPr>
              <w:t>占比(%)</w:t>
            </w:r>
          </w:p>
        </w:tc>
      </w:tr>
      <w:tr w14:paraId="01610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0B2B851F">
            <w:pPr>
              <w:jc w:val="center"/>
              <w:rPr>
                <w:rFonts w:eastAsia="楷体_GB2312"/>
                <w:sz w:val="18"/>
                <w:szCs w:val="18"/>
                <w:lang w:eastAsia="zh-CN"/>
              </w:rPr>
            </w:pPr>
            <w:r>
              <w:rPr>
                <w:rFonts w:eastAsia="楷体_GB2312"/>
                <w:sz w:val="18"/>
                <w:szCs w:val="18"/>
                <w:lang w:eastAsia="zh-CN"/>
              </w:rPr>
              <w:t>(0-【】)</w:t>
            </w:r>
          </w:p>
        </w:tc>
        <w:tc>
          <w:tcPr>
            <w:tcW w:w="0" w:type="auto"/>
            <w:noWrap/>
            <w:vAlign w:val="center"/>
          </w:tcPr>
          <w:p w14:paraId="1F9EAB8A">
            <w:pPr>
              <w:jc w:val="right"/>
              <w:rPr>
                <w:rFonts w:eastAsia="楷体_GB2312"/>
                <w:sz w:val="18"/>
                <w:szCs w:val="18"/>
                <w:lang w:eastAsia="zh-CN"/>
              </w:rPr>
            </w:pPr>
          </w:p>
        </w:tc>
        <w:tc>
          <w:tcPr>
            <w:tcW w:w="0" w:type="auto"/>
            <w:noWrap/>
            <w:vAlign w:val="center"/>
          </w:tcPr>
          <w:p w14:paraId="2527863B">
            <w:pPr>
              <w:jc w:val="right"/>
              <w:rPr>
                <w:rFonts w:eastAsia="楷体_GB2312"/>
                <w:sz w:val="18"/>
                <w:szCs w:val="18"/>
                <w:lang w:eastAsia="zh-CN"/>
              </w:rPr>
            </w:pPr>
          </w:p>
        </w:tc>
        <w:tc>
          <w:tcPr>
            <w:tcW w:w="0" w:type="auto"/>
            <w:noWrap/>
            <w:vAlign w:val="center"/>
          </w:tcPr>
          <w:p w14:paraId="785548A4">
            <w:pPr>
              <w:jc w:val="right"/>
              <w:rPr>
                <w:rFonts w:eastAsia="楷体_GB2312"/>
                <w:sz w:val="18"/>
                <w:szCs w:val="18"/>
                <w:lang w:eastAsia="zh-CN"/>
              </w:rPr>
            </w:pPr>
          </w:p>
        </w:tc>
        <w:tc>
          <w:tcPr>
            <w:tcW w:w="0" w:type="auto"/>
            <w:noWrap/>
            <w:vAlign w:val="center"/>
          </w:tcPr>
          <w:p w14:paraId="7AD0B928">
            <w:pPr>
              <w:jc w:val="right"/>
              <w:rPr>
                <w:rFonts w:eastAsia="楷体_GB2312"/>
                <w:sz w:val="18"/>
                <w:szCs w:val="18"/>
                <w:lang w:eastAsia="zh-CN"/>
              </w:rPr>
            </w:pPr>
          </w:p>
        </w:tc>
        <w:tc>
          <w:tcPr>
            <w:tcW w:w="0" w:type="auto"/>
            <w:noWrap/>
            <w:vAlign w:val="center"/>
          </w:tcPr>
          <w:p w14:paraId="345C1DDB">
            <w:pPr>
              <w:jc w:val="right"/>
              <w:rPr>
                <w:rFonts w:eastAsia="楷体_GB2312"/>
                <w:sz w:val="18"/>
                <w:szCs w:val="18"/>
                <w:lang w:eastAsia="zh-CN"/>
              </w:rPr>
            </w:pPr>
          </w:p>
        </w:tc>
        <w:tc>
          <w:tcPr>
            <w:tcW w:w="0" w:type="auto"/>
            <w:noWrap/>
            <w:vAlign w:val="center"/>
          </w:tcPr>
          <w:p w14:paraId="4CF22ACE">
            <w:pPr>
              <w:jc w:val="right"/>
              <w:rPr>
                <w:rFonts w:eastAsia="楷体_GB2312"/>
                <w:sz w:val="18"/>
                <w:szCs w:val="18"/>
                <w:lang w:eastAsia="zh-CN"/>
              </w:rPr>
            </w:pPr>
          </w:p>
        </w:tc>
      </w:tr>
      <w:tr w14:paraId="6B573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03940CF5">
            <w:pPr>
              <w:jc w:val="center"/>
              <w:rPr>
                <w:rFonts w:eastAsia="楷体_GB2312"/>
                <w:sz w:val="18"/>
                <w:szCs w:val="18"/>
                <w:lang w:eastAsia="zh-CN"/>
              </w:rPr>
            </w:pPr>
            <w:r>
              <w:rPr>
                <w:rFonts w:eastAsia="楷体_GB2312"/>
                <w:sz w:val="18"/>
                <w:szCs w:val="18"/>
                <w:lang w:eastAsia="zh-CN"/>
              </w:rPr>
              <w:t>[【】-【】)</w:t>
            </w:r>
          </w:p>
        </w:tc>
        <w:tc>
          <w:tcPr>
            <w:tcW w:w="0" w:type="auto"/>
            <w:noWrap/>
            <w:vAlign w:val="center"/>
          </w:tcPr>
          <w:p w14:paraId="61C1D7A3">
            <w:pPr>
              <w:jc w:val="right"/>
              <w:rPr>
                <w:rFonts w:eastAsia="楷体_GB2312"/>
                <w:sz w:val="18"/>
                <w:szCs w:val="18"/>
                <w:lang w:eastAsia="zh-CN"/>
              </w:rPr>
            </w:pPr>
          </w:p>
        </w:tc>
        <w:tc>
          <w:tcPr>
            <w:tcW w:w="0" w:type="auto"/>
            <w:noWrap/>
            <w:vAlign w:val="center"/>
          </w:tcPr>
          <w:p w14:paraId="647A7C3C">
            <w:pPr>
              <w:jc w:val="right"/>
              <w:rPr>
                <w:rFonts w:eastAsia="楷体_GB2312"/>
                <w:sz w:val="18"/>
                <w:szCs w:val="18"/>
                <w:lang w:eastAsia="zh-CN"/>
              </w:rPr>
            </w:pPr>
          </w:p>
        </w:tc>
        <w:tc>
          <w:tcPr>
            <w:tcW w:w="0" w:type="auto"/>
            <w:noWrap/>
            <w:vAlign w:val="center"/>
          </w:tcPr>
          <w:p w14:paraId="49FCF997">
            <w:pPr>
              <w:jc w:val="right"/>
              <w:rPr>
                <w:rFonts w:eastAsia="楷体_GB2312"/>
                <w:sz w:val="18"/>
                <w:szCs w:val="18"/>
                <w:lang w:eastAsia="zh-CN"/>
              </w:rPr>
            </w:pPr>
          </w:p>
        </w:tc>
        <w:tc>
          <w:tcPr>
            <w:tcW w:w="0" w:type="auto"/>
            <w:noWrap/>
            <w:vAlign w:val="center"/>
          </w:tcPr>
          <w:p w14:paraId="08FFEFFF">
            <w:pPr>
              <w:jc w:val="right"/>
              <w:rPr>
                <w:rFonts w:eastAsia="楷体_GB2312"/>
                <w:sz w:val="18"/>
                <w:szCs w:val="18"/>
                <w:lang w:eastAsia="zh-CN"/>
              </w:rPr>
            </w:pPr>
          </w:p>
        </w:tc>
        <w:tc>
          <w:tcPr>
            <w:tcW w:w="0" w:type="auto"/>
            <w:noWrap/>
            <w:vAlign w:val="center"/>
          </w:tcPr>
          <w:p w14:paraId="5DA6D0D1">
            <w:pPr>
              <w:jc w:val="right"/>
              <w:rPr>
                <w:rFonts w:eastAsia="楷体_GB2312"/>
                <w:sz w:val="18"/>
                <w:szCs w:val="18"/>
                <w:lang w:eastAsia="zh-CN"/>
              </w:rPr>
            </w:pPr>
          </w:p>
        </w:tc>
        <w:tc>
          <w:tcPr>
            <w:tcW w:w="0" w:type="auto"/>
            <w:noWrap/>
            <w:vAlign w:val="center"/>
          </w:tcPr>
          <w:p w14:paraId="63A5D131">
            <w:pPr>
              <w:jc w:val="right"/>
              <w:rPr>
                <w:rFonts w:eastAsia="楷体_GB2312"/>
                <w:sz w:val="18"/>
                <w:szCs w:val="18"/>
                <w:lang w:eastAsia="zh-CN"/>
              </w:rPr>
            </w:pPr>
          </w:p>
        </w:tc>
      </w:tr>
      <w:tr w14:paraId="50969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0C7AFA7F">
            <w:pPr>
              <w:jc w:val="center"/>
              <w:rPr>
                <w:rFonts w:eastAsia="楷体_GB2312"/>
                <w:sz w:val="18"/>
                <w:szCs w:val="18"/>
                <w:lang w:eastAsia="zh-CN"/>
              </w:rPr>
            </w:pPr>
            <w:r>
              <w:rPr>
                <w:rFonts w:eastAsia="楷体_GB2312"/>
                <w:sz w:val="18"/>
                <w:szCs w:val="18"/>
                <w:lang w:eastAsia="zh-CN"/>
              </w:rPr>
              <w:t>[【】-【】)</w:t>
            </w:r>
          </w:p>
        </w:tc>
        <w:tc>
          <w:tcPr>
            <w:tcW w:w="0" w:type="auto"/>
            <w:noWrap/>
            <w:vAlign w:val="center"/>
          </w:tcPr>
          <w:p w14:paraId="64E8A07E">
            <w:pPr>
              <w:jc w:val="right"/>
              <w:rPr>
                <w:rFonts w:eastAsia="楷体_GB2312"/>
                <w:sz w:val="18"/>
                <w:szCs w:val="18"/>
                <w:lang w:eastAsia="zh-CN"/>
              </w:rPr>
            </w:pPr>
          </w:p>
        </w:tc>
        <w:tc>
          <w:tcPr>
            <w:tcW w:w="0" w:type="auto"/>
            <w:noWrap/>
            <w:vAlign w:val="center"/>
          </w:tcPr>
          <w:p w14:paraId="4B61F11E">
            <w:pPr>
              <w:jc w:val="right"/>
              <w:rPr>
                <w:rFonts w:eastAsia="楷体_GB2312"/>
                <w:sz w:val="18"/>
                <w:szCs w:val="18"/>
                <w:lang w:eastAsia="zh-CN"/>
              </w:rPr>
            </w:pPr>
          </w:p>
        </w:tc>
        <w:tc>
          <w:tcPr>
            <w:tcW w:w="0" w:type="auto"/>
            <w:noWrap/>
            <w:vAlign w:val="center"/>
          </w:tcPr>
          <w:p w14:paraId="076BE298">
            <w:pPr>
              <w:jc w:val="right"/>
              <w:rPr>
                <w:rFonts w:eastAsia="楷体_GB2312"/>
                <w:sz w:val="18"/>
                <w:szCs w:val="18"/>
                <w:lang w:eastAsia="zh-CN"/>
              </w:rPr>
            </w:pPr>
          </w:p>
        </w:tc>
        <w:tc>
          <w:tcPr>
            <w:tcW w:w="0" w:type="auto"/>
            <w:noWrap/>
            <w:vAlign w:val="center"/>
          </w:tcPr>
          <w:p w14:paraId="50E09AC3">
            <w:pPr>
              <w:jc w:val="right"/>
              <w:rPr>
                <w:rFonts w:eastAsia="楷体_GB2312"/>
                <w:sz w:val="18"/>
                <w:szCs w:val="18"/>
                <w:lang w:eastAsia="zh-CN"/>
              </w:rPr>
            </w:pPr>
          </w:p>
        </w:tc>
        <w:tc>
          <w:tcPr>
            <w:tcW w:w="0" w:type="auto"/>
            <w:noWrap/>
            <w:vAlign w:val="center"/>
          </w:tcPr>
          <w:p w14:paraId="539E17DC">
            <w:pPr>
              <w:jc w:val="right"/>
              <w:rPr>
                <w:rFonts w:eastAsia="楷体_GB2312"/>
                <w:sz w:val="18"/>
                <w:szCs w:val="18"/>
                <w:lang w:eastAsia="zh-CN"/>
              </w:rPr>
            </w:pPr>
          </w:p>
        </w:tc>
        <w:tc>
          <w:tcPr>
            <w:tcW w:w="0" w:type="auto"/>
            <w:noWrap/>
            <w:vAlign w:val="center"/>
          </w:tcPr>
          <w:p w14:paraId="730637C6">
            <w:pPr>
              <w:jc w:val="right"/>
              <w:rPr>
                <w:rFonts w:eastAsia="楷体_GB2312"/>
                <w:sz w:val="18"/>
                <w:szCs w:val="18"/>
                <w:lang w:eastAsia="zh-CN"/>
              </w:rPr>
            </w:pPr>
          </w:p>
        </w:tc>
      </w:tr>
      <w:tr w14:paraId="0D0E0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3BA576FB">
            <w:pPr>
              <w:jc w:val="center"/>
              <w:rPr>
                <w:rFonts w:eastAsia="楷体_GB2312"/>
                <w:sz w:val="18"/>
                <w:szCs w:val="18"/>
                <w:lang w:eastAsia="zh-CN"/>
              </w:rPr>
            </w:pPr>
            <w:r>
              <w:rPr>
                <w:rFonts w:eastAsia="楷体_GB2312"/>
                <w:sz w:val="18"/>
                <w:szCs w:val="18"/>
                <w:lang w:eastAsia="zh-CN"/>
              </w:rPr>
              <w:t>[【】-【】)</w:t>
            </w:r>
          </w:p>
        </w:tc>
        <w:tc>
          <w:tcPr>
            <w:tcW w:w="0" w:type="auto"/>
            <w:noWrap/>
            <w:vAlign w:val="center"/>
          </w:tcPr>
          <w:p w14:paraId="55D26116">
            <w:pPr>
              <w:jc w:val="right"/>
              <w:rPr>
                <w:rFonts w:eastAsia="楷体_GB2312"/>
                <w:sz w:val="18"/>
                <w:szCs w:val="18"/>
                <w:lang w:eastAsia="zh-CN"/>
              </w:rPr>
            </w:pPr>
          </w:p>
        </w:tc>
        <w:tc>
          <w:tcPr>
            <w:tcW w:w="0" w:type="auto"/>
            <w:noWrap/>
            <w:vAlign w:val="center"/>
          </w:tcPr>
          <w:p w14:paraId="02E36409">
            <w:pPr>
              <w:jc w:val="right"/>
              <w:rPr>
                <w:rFonts w:eastAsia="楷体_GB2312"/>
                <w:sz w:val="18"/>
                <w:szCs w:val="18"/>
                <w:lang w:eastAsia="zh-CN"/>
              </w:rPr>
            </w:pPr>
          </w:p>
        </w:tc>
        <w:tc>
          <w:tcPr>
            <w:tcW w:w="0" w:type="auto"/>
            <w:noWrap/>
            <w:vAlign w:val="center"/>
          </w:tcPr>
          <w:p w14:paraId="688154FB">
            <w:pPr>
              <w:jc w:val="right"/>
              <w:rPr>
                <w:rFonts w:eastAsia="楷体_GB2312"/>
                <w:sz w:val="18"/>
                <w:szCs w:val="18"/>
                <w:lang w:eastAsia="zh-CN"/>
              </w:rPr>
            </w:pPr>
          </w:p>
        </w:tc>
        <w:tc>
          <w:tcPr>
            <w:tcW w:w="0" w:type="auto"/>
            <w:noWrap/>
            <w:vAlign w:val="center"/>
          </w:tcPr>
          <w:p w14:paraId="44A6055D">
            <w:pPr>
              <w:jc w:val="right"/>
              <w:rPr>
                <w:rFonts w:eastAsia="楷体_GB2312"/>
                <w:sz w:val="18"/>
                <w:szCs w:val="18"/>
                <w:lang w:eastAsia="zh-CN"/>
              </w:rPr>
            </w:pPr>
          </w:p>
        </w:tc>
        <w:tc>
          <w:tcPr>
            <w:tcW w:w="0" w:type="auto"/>
            <w:noWrap/>
            <w:vAlign w:val="center"/>
          </w:tcPr>
          <w:p w14:paraId="3028AC02">
            <w:pPr>
              <w:jc w:val="right"/>
              <w:rPr>
                <w:rFonts w:eastAsia="楷体_GB2312"/>
                <w:sz w:val="18"/>
                <w:szCs w:val="18"/>
                <w:lang w:eastAsia="zh-CN"/>
              </w:rPr>
            </w:pPr>
          </w:p>
        </w:tc>
        <w:tc>
          <w:tcPr>
            <w:tcW w:w="0" w:type="auto"/>
            <w:noWrap/>
            <w:vAlign w:val="center"/>
          </w:tcPr>
          <w:p w14:paraId="235B9FCC">
            <w:pPr>
              <w:jc w:val="right"/>
              <w:rPr>
                <w:rFonts w:eastAsia="楷体_GB2312"/>
                <w:sz w:val="18"/>
                <w:szCs w:val="18"/>
                <w:lang w:eastAsia="zh-CN"/>
              </w:rPr>
            </w:pPr>
          </w:p>
        </w:tc>
      </w:tr>
      <w:tr w14:paraId="2CA05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6ECDEFC4">
            <w:pPr>
              <w:jc w:val="center"/>
              <w:rPr>
                <w:rFonts w:eastAsia="楷体_GB2312"/>
                <w:sz w:val="18"/>
                <w:szCs w:val="18"/>
                <w:lang w:eastAsia="zh-CN"/>
              </w:rPr>
            </w:pPr>
            <w:r>
              <w:rPr>
                <w:rFonts w:eastAsia="楷体_GB2312"/>
                <w:sz w:val="18"/>
                <w:szCs w:val="18"/>
                <w:lang w:eastAsia="zh-CN"/>
              </w:rPr>
              <w:t>[【】-【】)</w:t>
            </w:r>
          </w:p>
        </w:tc>
        <w:tc>
          <w:tcPr>
            <w:tcW w:w="0" w:type="auto"/>
            <w:noWrap/>
            <w:vAlign w:val="center"/>
          </w:tcPr>
          <w:p w14:paraId="6D7418ED">
            <w:pPr>
              <w:jc w:val="right"/>
              <w:rPr>
                <w:rFonts w:eastAsia="楷体_GB2312"/>
                <w:sz w:val="18"/>
                <w:szCs w:val="18"/>
                <w:lang w:eastAsia="zh-CN"/>
              </w:rPr>
            </w:pPr>
          </w:p>
        </w:tc>
        <w:tc>
          <w:tcPr>
            <w:tcW w:w="0" w:type="auto"/>
            <w:noWrap/>
            <w:vAlign w:val="center"/>
          </w:tcPr>
          <w:p w14:paraId="19ED3D80">
            <w:pPr>
              <w:jc w:val="right"/>
              <w:rPr>
                <w:rFonts w:eastAsia="楷体_GB2312"/>
                <w:sz w:val="18"/>
                <w:szCs w:val="18"/>
                <w:lang w:eastAsia="zh-CN"/>
              </w:rPr>
            </w:pPr>
          </w:p>
        </w:tc>
        <w:tc>
          <w:tcPr>
            <w:tcW w:w="0" w:type="auto"/>
            <w:noWrap/>
            <w:vAlign w:val="center"/>
          </w:tcPr>
          <w:p w14:paraId="3D5D25A7">
            <w:pPr>
              <w:jc w:val="right"/>
              <w:rPr>
                <w:rFonts w:eastAsia="楷体_GB2312"/>
                <w:sz w:val="18"/>
                <w:szCs w:val="18"/>
                <w:lang w:eastAsia="zh-CN"/>
              </w:rPr>
            </w:pPr>
          </w:p>
        </w:tc>
        <w:tc>
          <w:tcPr>
            <w:tcW w:w="0" w:type="auto"/>
            <w:noWrap/>
            <w:vAlign w:val="center"/>
          </w:tcPr>
          <w:p w14:paraId="397A3C74">
            <w:pPr>
              <w:jc w:val="right"/>
              <w:rPr>
                <w:rFonts w:eastAsia="楷体_GB2312"/>
                <w:sz w:val="18"/>
                <w:szCs w:val="18"/>
                <w:lang w:eastAsia="zh-CN"/>
              </w:rPr>
            </w:pPr>
          </w:p>
        </w:tc>
        <w:tc>
          <w:tcPr>
            <w:tcW w:w="0" w:type="auto"/>
            <w:noWrap/>
            <w:vAlign w:val="center"/>
          </w:tcPr>
          <w:p w14:paraId="216DFE3E">
            <w:pPr>
              <w:jc w:val="right"/>
              <w:rPr>
                <w:rFonts w:eastAsia="楷体_GB2312"/>
                <w:sz w:val="18"/>
                <w:szCs w:val="18"/>
                <w:lang w:eastAsia="zh-CN"/>
              </w:rPr>
            </w:pPr>
          </w:p>
        </w:tc>
        <w:tc>
          <w:tcPr>
            <w:tcW w:w="0" w:type="auto"/>
            <w:noWrap/>
            <w:vAlign w:val="center"/>
          </w:tcPr>
          <w:p w14:paraId="13BF4AAC">
            <w:pPr>
              <w:jc w:val="right"/>
              <w:rPr>
                <w:rFonts w:eastAsia="楷体_GB2312"/>
                <w:sz w:val="18"/>
                <w:szCs w:val="18"/>
                <w:lang w:eastAsia="zh-CN"/>
              </w:rPr>
            </w:pPr>
          </w:p>
        </w:tc>
      </w:tr>
      <w:tr w14:paraId="7304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EAFC125">
            <w:pPr>
              <w:jc w:val="center"/>
              <w:rPr>
                <w:rFonts w:eastAsia="楷体_GB2312"/>
                <w:sz w:val="18"/>
                <w:szCs w:val="18"/>
                <w:lang w:eastAsia="zh-CN"/>
              </w:rPr>
            </w:pPr>
            <w:r>
              <w:rPr>
                <w:rFonts w:eastAsia="楷体_GB2312"/>
                <w:sz w:val="18"/>
                <w:szCs w:val="18"/>
                <w:lang w:eastAsia="zh-CN"/>
              </w:rPr>
              <w:t>[【】-【】)</w:t>
            </w:r>
          </w:p>
        </w:tc>
        <w:tc>
          <w:tcPr>
            <w:tcW w:w="0" w:type="auto"/>
            <w:noWrap/>
            <w:vAlign w:val="center"/>
          </w:tcPr>
          <w:p w14:paraId="579171A5">
            <w:pPr>
              <w:jc w:val="right"/>
              <w:rPr>
                <w:rFonts w:eastAsia="楷体_GB2312"/>
                <w:sz w:val="18"/>
                <w:szCs w:val="18"/>
                <w:lang w:eastAsia="zh-CN"/>
              </w:rPr>
            </w:pPr>
          </w:p>
        </w:tc>
        <w:tc>
          <w:tcPr>
            <w:tcW w:w="0" w:type="auto"/>
            <w:noWrap/>
            <w:vAlign w:val="center"/>
          </w:tcPr>
          <w:p w14:paraId="01C1B28B">
            <w:pPr>
              <w:jc w:val="right"/>
              <w:rPr>
                <w:rFonts w:eastAsia="楷体_GB2312"/>
                <w:sz w:val="18"/>
                <w:szCs w:val="18"/>
                <w:lang w:eastAsia="zh-CN"/>
              </w:rPr>
            </w:pPr>
          </w:p>
        </w:tc>
        <w:tc>
          <w:tcPr>
            <w:tcW w:w="0" w:type="auto"/>
            <w:noWrap/>
            <w:vAlign w:val="center"/>
          </w:tcPr>
          <w:p w14:paraId="7EEB2BAD">
            <w:pPr>
              <w:jc w:val="right"/>
              <w:rPr>
                <w:rFonts w:eastAsia="楷体_GB2312"/>
                <w:sz w:val="18"/>
                <w:szCs w:val="18"/>
                <w:lang w:eastAsia="zh-CN"/>
              </w:rPr>
            </w:pPr>
          </w:p>
        </w:tc>
        <w:tc>
          <w:tcPr>
            <w:tcW w:w="0" w:type="auto"/>
            <w:noWrap/>
            <w:vAlign w:val="center"/>
          </w:tcPr>
          <w:p w14:paraId="1EF779FF">
            <w:pPr>
              <w:jc w:val="right"/>
              <w:rPr>
                <w:rFonts w:eastAsia="楷体_GB2312"/>
                <w:sz w:val="18"/>
                <w:szCs w:val="18"/>
                <w:lang w:eastAsia="zh-CN"/>
              </w:rPr>
            </w:pPr>
          </w:p>
        </w:tc>
        <w:tc>
          <w:tcPr>
            <w:tcW w:w="0" w:type="auto"/>
            <w:noWrap/>
            <w:vAlign w:val="center"/>
          </w:tcPr>
          <w:p w14:paraId="170FF6A5">
            <w:pPr>
              <w:jc w:val="right"/>
              <w:rPr>
                <w:rFonts w:eastAsia="楷体_GB2312"/>
                <w:sz w:val="18"/>
                <w:szCs w:val="18"/>
                <w:lang w:eastAsia="zh-CN"/>
              </w:rPr>
            </w:pPr>
          </w:p>
        </w:tc>
        <w:tc>
          <w:tcPr>
            <w:tcW w:w="0" w:type="auto"/>
            <w:noWrap/>
            <w:vAlign w:val="center"/>
          </w:tcPr>
          <w:p w14:paraId="5A75C499">
            <w:pPr>
              <w:jc w:val="right"/>
              <w:rPr>
                <w:rFonts w:eastAsia="楷体_GB2312"/>
                <w:sz w:val="18"/>
                <w:szCs w:val="18"/>
                <w:lang w:eastAsia="zh-CN"/>
              </w:rPr>
            </w:pPr>
          </w:p>
        </w:tc>
      </w:tr>
    </w:tbl>
    <w:p w14:paraId="7C4C9ED5">
      <w:pPr>
        <w:spacing w:line="360" w:lineRule="auto"/>
        <w:rPr>
          <w:rFonts w:eastAsia="楷体_GB2312"/>
        </w:rPr>
      </w:pPr>
    </w:p>
    <w:p w14:paraId="22764A64">
      <w:pPr>
        <w:rPr>
          <w:rFonts w:eastAsia="楷体_GB2312"/>
        </w:rPr>
      </w:pPr>
      <w:r>
        <w:rPr>
          <w:rFonts w:eastAsia="楷体_GB2312"/>
        </w:rPr>
        <w:br w:type="page"/>
      </w:r>
    </w:p>
    <w:tbl>
      <w:tblPr>
        <w:tblStyle w:val="31"/>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7"/>
        <w:gridCol w:w="2584"/>
        <w:gridCol w:w="653"/>
        <w:gridCol w:w="2652"/>
      </w:tblGrid>
      <w:tr w14:paraId="5DB09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gridSpan w:val="4"/>
            <w:tcBorders>
              <w:bottom w:val="single" w:color="auto" w:sz="4" w:space="0"/>
            </w:tcBorders>
          </w:tcPr>
          <w:p w14:paraId="2F109F4B">
            <w:pPr>
              <w:spacing w:line="360" w:lineRule="auto"/>
              <w:jc w:val="center"/>
              <w:rPr>
                <w:rFonts w:eastAsia="楷体_GB2312"/>
                <w:b/>
                <w:sz w:val="28"/>
                <w:lang w:eastAsia="zh-CN"/>
              </w:rPr>
            </w:pPr>
            <w:r>
              <w:rPr>
                <w:rFonts w:eastAsia="楷体_GB2312"/>
                <w:b/>
                <w:sz w:val="28"/>
                <w:lang w:eastAsia="zh-CN"/>
              </w:rPr>
              <w:t>【信托名称】</w:t>
            </w:r>
          </w:p>
          <w:p w14:paraId="2BBBC63B">
            <w:pPr>
              <w:spacing w:line="360" w:lineRule="auto"/>
              <w:jc w:val="center"/>
              <w:rPr>
                <w:rFonts w:eastAsia="楷体_GB2312"/>
                <w:b/>
                <w:sz w:val="28"/>
                <w:lang w:eastAsia="zh-CN"/>
              </w:rPr>
            </w:pPr>
            <w:r>
              <w:rPr>
                <w:rFonts w:eastAsia="楷体_GB2312"/>
                <w:b/>
                <w:sz w:val="28"/>
                <w:lang w:eastAsia="zh-CN"/>
              </w:rPr>
              <w:t>受托机构月度/年度报告</w:t>
            </w:r>
          </w:p>
        </w:tc>
      </w:tr>
      <w:tr w14:paraId="2D85C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gridSpan w:val="4"/>
            <w:tcBorders>
              <w:top w:val="single" w:color="auto" w:sz="4" w:space="0"/>
              <w:bottom w:val="nil"/>
            </w:tcBorders>
          </w:tcPr>
          <w:p w14:paraId="59DB691F">
            <w:pPr>
              <w:spacing w:line="360" w:lineRule="auto"/>
              <w:rPr>
                <w:rFonts w:eastAsia="楷体_GB2312"/>
                <w:b/>
                <w:lang w:eastAsia="zh-CN"/>
              </w:rPr>
            </w:pPr>
            <w:r>
              <w:rPr>
                <w:rFonts w:eastAsia="楷体_GB2312"/>
                <w:b/>
                <w:lang w:eastAsia="zh-CN"/>
              </w:rPr>
              <w:t>八、本期资产支持证券内外部信用增级情况如下：</w:t>
            </w:r>
          </w:p>
          <w:p w14:paraId="515CA84C">
            <w:pPr>
              <w:spacing w:line="360" w:lineRule="auto"/>
              <w:rPr>
                <w:rFonts w:eastAsia="楷体_GB2312"/>
                <w:lang w:eastAsia="zh-CN"/>
              </w:rPr>
            </w:pPr>
            <w:r>
              <w:rPr>
                <w:rFonts w:eastAsia="楷体_GB2312"/>
                <w:lang w:eastAsia="zh-CN"/>
              </w:rPr>
              <w:t>本次交易通过设定优先/次级资产支持证券的结构以及设立信托储备账户来实现信用增级：</w:t>
            </w:r>
          </w:p>
          <w:p w14:paraId="6AB143DF">
            <w:pPr>
              <w:spacing w:line="360" w:lineRule="auto"/>
              <w:rPr>
                <w:rFonts w:eastAsia="楷体_GB2312"/>
                <w:b/>
                <w:bCs/>
                <w:i/>
                <w:iCs/>
                <w:lang w:eastAsia="zh-CN"/>
              </w:rPr>
            </w:pPr>
            <w:r>
              <w:rPr>
                <w:rFonts w:eastAsia="楷体_GB2312"/>
                <w:b/>
                <w:bCs/>
                <w:i/>
                <w:iCs/>
                <w:color w:val="FF0000"/>
                <w:lang w:eastAsia="zh-CN"/>
              </w:rPr>
              <w:t>【注：证券分层情况可根据具体项目进行调整。】</w:t>
            </w:r>
          </w:p>
        </w:tc>
      </w:tr>
      <w:tr w14:paraId="466BD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gridSpan w:val="4"/>
            <w:tcBorders>
              <w:top w:val="nil"/>
              <w:left w:val="single" w:color="auto" w:sz="4" w:space="0"/>
              <w:bottom w:val="nil"/>
              <w:right w:val="single" w:color="auto" w:sz="4" w:space="0"/>
            </w:tcBorders>
          </w:tcPr>
          <w:p w14:paraId="7F504B76">
            <w:pPr>
              <w:spacing w:line="360" w:lineRule="auto"/>
              <w:rPr>
                <w:rFonts w:eastAsia="楷体_GB2312"/>
                <w:sz w:val="18"/>
                <w:lang w:eastAsia="zh-CN"/>
              </w:rPr>
            </w:pPr>
            <w:r>
              <w:rPr>
                <w:rFonts w:eastAsia="楷体_GB2312"/>
                <w:lang w:eastAsia="zh-CN"/>
              </w:rPr>
              <w:t>（一）资产支持证券分层结构情况</w:t>
            </w:r>
          </w:p>
        </w:tc>
      </w:tr>
      <w:tr w14:paraId="4E6C7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7" w:type="dxa"/>
            <w:tcBorders>
              <w:top w:val="nil"/>
              <w:left w:val="single" w:color="auto" w:sz="4" w:space="0"/>
              <w:bottom w:val="nil"/>
              <w:right w:val="nil"/>
            </w:tcBorders>
          </w:tcPr>
          <w:p w14:paraId="32AD9BE9">
            <w:pPr>
              <w:spacing w:line="360" w:lineRule="auto"/>
              <w:rPr>
                <w:rFonts w:eastAsia="楷体_GB2312"/>
                <w:sz w:val="18"/>
                <w:lang w:eastAsia="zh-CN"/>
              </w:rPr>
            </w:pPr>
          </w:p>
        </w:tc>
        <w:tc>
          <w:tcPr>
            <w:tcW w:w="2584" w:type="dxa"/>
            <w:tcBorders>
              <w:top w:val="nil"/>
              <w:left w:val="nil"/>
              <w:bottom w:val="nil"/>
              <w:right w:val="nil"/>
            </w:tcBorders>
            <w:shd w:val="clear" w:color="auto" w:fill="auto"/>
            <w:vAlign w:val="center"/>
          </w:tcPr>
          <w:p w14:paraId="4943174E">
            <w:pPr>
              <w:spacing w:line="360" w:lineRule="auto"/>
              <w:jc w:val="center"/>
              <w:rPr>
                <w:rFonts w:eastAsia="楷体_GB2312"/>
              </w:rPr>
            </w:pPr>
            <w:r>
              <w:rPr>
                <w:rFonts w:eastAsia="楷体_GB2312"/>
              </w:rPr>
              <w:t>本金期末余额</w:t>
            </w:r>
          </w:p>
        </w:tc>
        <w:tc>
          <w:tcPr>
            <w:tcW w:w="3305" w:type="dxa"/>
            <w:gridSpan w:val="2"/>
            <w:tcBorders>
              <w:top w:val="nil"/>
              <w:left w:val="nil"/>
              <w:bottom w:val="nil"/>
              <w:right w:val="single" w:color="auto" w:sz="4" w:space="0"/>
            </w:tcBorders>
            <w:shd w:val="clear" w:color="auto" w:fill="auto"/>
            <w:vAlign w:val="center"/>
          </w:tcPr>
          <w:p w14:paraId="2DE1E720">
            <w:pPr>
              <w:spacing w:line="360" w:lineRule="auto"/>
              <w:jc w:val="center"/>
              <w:rPr>
                <w:rFonts w:eastAsia="楷体_GB2312"/>
              </w:rPr>
            </w:pPr>
            <w:r>
              <w:rPr>
                <w:rFonts w:eastAsia="楷体_GB2312"/>
              </w:rPr>
              <w:t>占本金总金额的百分比</w:t>
            </w:r>
          </w:p>
        </w:tc>
      </w:tr>
      <w:tr w14:paraId="1D937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7" w:type="dxa"/>
            <w:tcBorders>
              <w:top w:val="nil"/>
              <w:left w:val="single" w:color="auto" w:sz="4" w:space="0"/>
              <w:bottom w:val="nil"/>
              <w:right w:val="nil"/>
            </w:tcBorders>
          </w:tcPr>
          <w:p w14:paraId="331D775D">
            <w:pPr>
              <w:spacing w:line="360" w:lineRule="auto"/>
              <w:rPr>
                <w:sz w:val="18"/>
              </w:rPr>
            </w:pPr>
            <w:r>
              <w:rPr>
                <w:rFonts w:eastAsia="楷体_GB2312"/>
                <w:sz w:val="18"/>
              </w:rPr>
              <w:t>优先</w:t>
            </w:r>
            <w:r>
              <w:rPr>
                <w:rFonts w:eastAsia="楷体_GB2312"/>
                <w:sz w:val="18"/>
                <w:lang w:eastAsia="zh-CN"/>
              </w:rPr>
              <w:t>A1</w:t>
            </w:r>
            <w:r>
              <w:rPr>
                <w:rFonts w:eastAsia="楷体_GB2312"/>
                <w:sz w:val="18"/>
              </w:rPr>
              <w:t>级资产支持证券</w:t>
            </w:r>
          </w:p>
          <w:p w14:paraId="0C7902C1">
            <w:pPr>
              <w:spacing w:line="360" w:lineRule="auto"/>
              <w:rPr>
                <w:sz w:val="18"/>
              </w:rPr>
            </w:pPr>
            <w:r>
              <w:rPr>
                <w:rFonts w:eastAsia="楷体_GB2312"/>
                <w:sz w:val="18"/>
              </w:rPr>
              <w:t>优先</w:t>
            </w:r>
            <w:r>
              <w:rPr>
                <w:rFonts w:eastAsia="楷体_GB2312"/>
                <w:sz w:val="18"/>
                <w:lang w:eastAsia="zh-CN"/>
              </w:rPr>
              <w:t>A2</w:t>
            </w:r>
            <w:r>
              <w:rPr>
                <w:rFonts w:eastAsia="楷体_GB2312"/>
                <w:sz w:val="18"/>
              </w:rPr>
              <w:t>级资产支持证券</w:t>
            </w:r>
          </w:p>
        </w:tc>
        <w:tc>
          <w:tcPr>
            <w:tcW w:w="2584" w:type="dxa"/>
            <w:tcBorders>
              <w:top w:val="nil"/>
              <w:left w:val="nil"/>
              <w:bottom w:val="nil"/>
              <w:right w:val="nil"/>
            </w:tcBorders>
            <w:shd w:val="clear" w:color="auto" w:fill="auto"/>
          </w:tcPr>
          <w:p w14:paraId="196B6308">
            <w:pPr>
              <w:spacing w:line="360" w:lineRule="auto"/>
              <w:rPr>
                <w:rFonts w:eastAsia="楷体_GB2312"/>
                <w:sz w:val="18"/>
              </w:rPr>
            </w:pPr>
          </w:p>
        </w:tc>
        <w:tc>
          <w:tcPr>
            <w:tcW w:w="3305" w:type="dxa"/>
            <w:gridSpan w:val="2"/>
            <w:tcBorders>
              <w:top w:val="nil"/>
              <w:left w:val="nil"/>
              <w:bottom w:val="nil"/>
              <w:right w:val="single" w:color="auto" w:sz="4" w:space="0"/>
            </w:tcBorders>
            <w:shd w:val="clear" w:color="auto" w:fill="auto"/>
          </w:tcPr>
          <w:p w14:paraId="47C2F73B">
            <w:pPr>
              <w:spacing w:line="360" w:lineRule="auto"/>
              <w:rPr>
                <w:rFonts w:eastAsia="楷体_GB2312"/>
                <w:sz w:val="18"/>
              </w:rPr>
            </w:pPr>
          </w:p>
        </w:tc>
      </w:tr>
      <w:tr w14:paraId="53C30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7" w:type="dxa"/>
            <w:tcBorders>
              <w:top w:val="nil"/>
              <w:left w:val="single" w:color="auto" w:sz="4" w:space="0"/>
              <w:bottom w:val="single" w:color="auto" w:sz="4" w:space="0"/>
              <w:right w:val="nil"/>
            </w:tcBorders>
          </w:tcPr>
          <w:p w14:paraId="3E486D19">
            <w:pPr>
              <w:spacing w:line="360" w:lineRule="auto"/>
              <w:rPr>
                <w:rFonts w:eastAsia="楷体_GB2312"/>
                <w:sz w:val="18"/>
              </w:rPr>
            </w:pPr>
            <w:r>
              <w:rPr>
                <w:rFonts w:eastAsia="楷体_GB2312"/>
                <w:sz w:val="18"/>
              </w:rPr>
              <w:t>次级资产支持证券</w:t>
            </w:r>
          </w:p>
        </w:tc>
        <w:tc>
          <w:tcPr>
            <w:tcW w:w="2584" w:type="dxa"/>
            <w:tcBorders>
              <w:top w:val="nil"/>
              <w:left w:val="nil"/>
              <w:bottom w:val="single" w:color="auto" w:sz="4" w:space="0"/>
              <w:right w:val="nil"/>
            </w:tcBorders>
            <w:shd w:val="clear" w:color="auto" w:fill="auto"/>
          </w:tcPr>
          <w:p w14:paraId="7B8E3477">
            <w:pPr>
              <w:spacing w:line="360" w:lineRule="auto"/>
              <w:rPr>
                <w:rFonts w:eastAsia="楷体_GB2312"/>
                <w:sz w:val="18"/>
              </w:rPr>
            </w:pPr>
          </w:p>
        </w:tc>
        <w:tc>
          <w:tcPr>
            <w:tcW w:w="3305" w:type="dxa"/>
            <w:gridSpan w:val="2"/>
            <w:tcBorders>
              <w:top w:val="nil"/>
              <w:left w:val="nil"/>
              <w:bottom w:val="single" w:color="auto" w:sz="4" w:space="0"/>
              <w:right w:val="single" w:color="auto" w:sz="4" w:space="0"/>
            </w:tcBorders>
            <w:shd w:val="clear" w:color="auto" w:fill="auto"/>
          </w:tcPr>
          <w:p w14:paraId="197FB803">
            <w:pPr>
              <w:spacing w:line="360" w:lineRule="auto"/>
              <w:rPr>
                <w:rFonts w:eastAsia="楷体_GB2312"/>
                <w:sz w:val="18"/>
              </w:rPr>
            </w:pPr>
          </w:p>
        </w:tc>
      </w:tr>
      <w:tr w14:paraId="6A5D9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gridSpan w:val="4"/>
            <w:tcBorders>
              <w:left w:val="single" w:color="auto" w:sz="4" w:space="0"/>
              <w:bottom w:val="single" w:color="auto" w:sz="4" w:space="0"/>
              <w:right w:val="single" w:color="auto" w:sz="4" w:space="0"/>
            </w:tcBorders>
            <w:shd w:val="clear" w:color="auto" w:fill="auto"/>
          </w:tcPr>
          <w:p w14:paraId="7C9B3C1A">
            <w:pPr>
              <w:spacing w:line="360" w:lineRule="auto"/>
              <w:rPr>
                <w:rFonts w:eastAsia="楷体_GB2312"/>
              </w:rPr>
            </w:pPr>
          </w:p>
        </w:tc>
      </w:tr>
      <w:tr w14:paraId="065D7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gridSpan w:val="4"/>
            <w:tcBorders>
              <w:left w:val="single" w:color="auto" w:sz="4" w:space="0"/>
              <w:bottom w:val="nil"/>
              <w:right w:val="single" w:color="auto" w:sz="4" w:space="0"/>
            </w:tcBorders>
            <w:shd w:val="clear" w:color="auto" w:fill="auto"/>
          </w:tcPr>
          <w:p w14:paraId="24A65F63">
            <w:pPr>
              <w:spacing w:line="360" w:lineRule="auto"/>
              <w:rPr>
                <w:rFonts w:eastAsia="楷体_GB2312"/>
                <w:lang w:eastAsia="zh-CN"/>
              </w:rPr>
            </w:pPr>
            <w:r>
              <w:rPr>
                <w:rFonts w:eastAsia="楷体_GB2312"/>
                <w:lang w:eastAsia="zh-CN"/>
              </w:rPr>
              <w:t>（二）设立信托储备账户</w:t>
            </w:r>
          </w:p>
          <w:p w14:paraId="1DA60D6B">
            <w:pPr>
              <w:spacing w:line="360" w:lineRule="auto"/>
              <w:rPr>
                <w:rFonts w:eastAsia="楷体_GB2312"/>
                <w:lang w:eastAsia="zh-CN"/>
              </w:rPr>
            </w:pPr>
            <w:r>
              <w:rPr>
                <w:rFonts w:eastAsia="楷体_GB2312"/>
                <w:b/>
                <w:bCs/>
                <w:i/>
                <w:iCs/>
                <w:color w:val="FF0000"/>
                <w:lang w:eastAsia="zh-CN"/>
              </w:rPr>
              <w:t>【注：账户设置情况可根据具体项目进行调整。】</w:t>
            </w:r>
          </w:p>
        </w:tc>
      </w:tr>
      <w:tr w14:paraId="1437D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7" w:type="dxa"/>
            <w:tcBorders>
              <w:top w:val="nil"/>
              <w:left w:val="single" w:color="auto" w:sz="4" w:space="0"/>
              <w:bottom w:val="nil"/>
              <w:right w:val="nil"/>
            </w:tcBorders>
          </w:tcPr>
          <w:p w14:paraId="4B461F2D">
            <w:pPr>
              <w:spacing w:line="360" w:lineRule="auto"/>
              <w:rPr>
                <w:rFonts w:eastAsia="楷体_GB2312"/>
                <w:sz w:val="20"/>
                <w:lang w:eastAsia="zh-CN"/>
              </w:rPr>
            </w:pPr>
          </w:p>
        </w:tc>
        <w:tc>
          <w:tcPr>
            <w:tcW w:w="3237" w:type="dxa"/>
            <w:gridSpan w:val="2"/>
            <w:tcBorders>
              <w:top w:val="nil"/>
              <w:left w:val="nil"/>
              <w:bottom w:val="nil"/>
              <w:right w:val="nil"/>
            </w:tcBorders>
            <w:shd w:val="clear" w:color="auto" w:fill="auto"/>
          </w:tcPr>
          <w:p w14:paraId="5C26D471">
            <w:pPr>
              <w:spacing w:line="360" w:lineRule="auto"/>
              <w:jc w:val="center"/>
              <w:rPr>
                <w:rFonts w:eastAsia="楷体_GB2312"/>
              </w:rPr>
            </w:pPr>
            <w:r>
              <w:rPr>
                <w:rFonts w:eastAsia="楷体_GB2312"/>
              </w:rPr>
              <w:t>作用</w:t>
            </w:r>
          </w:p>
        </w:tc>
        <w:tc>
          <w:tcPr>
            <w:tcW w:w="2652" w:type="dxa"/>
            <w:tcBorders>
              <w:top w:val="nil"/>
              <w:left w:val="nil"/>
              <w:bottom w:val="nil"/>
              <w:right w:val="single" w:color="auto" w:sz="4" w:space="0"/>
            </w:tcBorders>
            <w:shd w:val="clear" w:color="auto" w:fill="auto"/>
          </w:tcPr>
          <w:p w14:paraId="58B0DDBF">
            <w:pPr>
              <w:spacing w:line="360" w:lineRule="auto"/>
              <w:jc w:val="center"/>
              <w:rPr>
                <w:rFonts w:eastAsia="楷体_GB2312"/>
              </w:rPr>
            </w:pPr>
            <w:r>
              <w:rPr>
                <w:rFonts w:eastAsia="楷体_GB2312"/>
              </w:rPr>
              <w:t>本期余额</w:t>
            </w:r>
          </w:p>
        </w:tc>
      </w:tr>
      <w:tr w14:paraId="1859E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7" w:type="dxa"/>
            <w:tcBorders>
              <w:top w:val="nil"/>
              <w:left w:val="single" w:color="auto" w:sz="4" w:space="0"/>
              <w:bottom w:val="nil"/>
              <w:right w:val="nil"/>
            </w:tcBorders>
          </w:tcPr>
          <w:p w14:paraId="3DE8D14A">
            <w:pPr>
              <w:spacing w:line="360" w:lineRule="auto"/>
              <w:rPr>
                <w:rFonts w:eastAsia="楷体_GB2312"/>
                <w:sz w:val="20"/>
                <w:lang w:eastAsia="zh-CN"/>
              </w:rPr>
            </w:pPr>
            <w:r>
              <w:rPr>
                <w:rFonts w:eastAsia="楷体_GB2312"/>
                <w:sz w:val="20"/>
                <w:lang w:eastAsia="zh-CN"/>
              </w:rPr>
              <w:t>信托（流动性）储备账户</w:t>
            </w:r>
          </w:p>
        </w:tc>
        <w:tc>
          <w:tcPr>
            <w:tcW w:w="3237" w:type="dxa"/>
            <w:gridSpan w:val="2"/>
            <w:tcBorders>
              <w:top w:val="nil"/>
              <w:left w:val="nil"/>
              <w:bottom w:val="nil"/>
              <w:right w:val="nil"/>
            </w:tcBorders>
            <w:shd w:val="clear" w:color="auto" w:fill="auto"/>
          </w:tcPr>
          <w:p w14:paraId="27B1D9AD">
            <w:pPr>
              <w:spacing w:line="360" w:lineRule="auto"/>
              <w:rPr>
                <w:rFonts w:eastAsia="楷体_GB2312"/>
                <w:sz w:val="20"/>
                <w:lang w:eastAsia="zh-CN"/>
              </w:rPr>
            </w:pPr>
            <w:r>
              <w:rPr>
                <w:rFonts w:eastAsia="楷体_GB2312"/>
                <w:sz w:val="20"/>
                <w:lang w:eastAsia="zh-CN"/>
              </w:rPr>
              <w:t>补充现金流</w:t>
            </w:r>
          </w:p>
        </w:tc>
        <w:tc>
          <w:tcPr>
            <w:tcW w:w="2652" w:type="dxa"/>
            <w:tcBorders>
              <w:top w:val="nil"/>
              <w:left w:val="nil"/>
              <w:bottom w:val="nil"/>
              <w:right w:val="single" w:color="auto" w:sz="4" w:space="0"/>
            </w:tcBorders>
            <w:shd w:val="clear" w:color="auto" w:fill="auto"/>
          </w:tcPr>
          <w:p w14:paraId="6CF89ADC">
            <w:pPr>
              <w:spacing w:line="360" w:lineRule="auto"/>
              <w:rPr>
                <w:rFonts w:eastAsia="楷体_GB2312"/>
                <w:sz w:val="20"/>
                <w:lang w:eastAsia="zh-CN"/>
              </w:rPr>
            </w:pPr>
          </w:p>
        </w:tc>
      </w:tr>
      <w:tr w14:paraId="2DC5D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7" w:type="dxa"/>
            <w:tcBorders>
              <w:top w:val="nil"/>
              <w:left w:val="single" w:color="auto" w:sz="4" w:space="0"/>
              <w:bottom w:val="nil"/>
              <w:right w:val="nil"/>
            </w:tcBorders>
          </w:tcPr>
          <w:p w14:paraId="4B412D57">
            <w:pPr>
              <w:spacing w:line="360" w:lineRule="auto"/>
              <w:rPr>
                <w:rFonts w:eastAsia="楷体_GB2312"/>
                <w:sz w:val="18"/>
                <w:lang w:eastAsia="zh-CN"/>
              </w:rPr>
            </w:pPr>
            <w:r>
              <w:rPr>
                <w:rFonts w:eastAsia="楷体_GB2312"/>
                <w:sz w:val="20"/>
                <w:lang w:eastAsia="zh-CN"/>
              </w:rPr>
              <w:t>信托（混同）储备账户</w:t>
            </w:r>
          </w:p>
        </w:tc>
        <w:tc>
          <w:tcPr>
            <w:tcW w:w="3237" w:type="dxa"/>
            <w:gridSpan w:val="2"/>
            <w:tcBorders>
              <w:top w:val="nil"/>
              <w:left w:val="nil"/>
              <w:bottom w:val="nil"/>
              <w:right w:val="nil"/>
            </w:tcBorders>
          </w:tcPr>
          <w:p w14:paraId="1E7533AE">
            <w:pPr>
              <w:spacing w:line="360" w:lineRule="auto"/>
              <w:rPr>
                <w:rFonts w:eastAsia="楷体_GB2312"/>
                <w:sz w:val="20"/>
                <w:lang w:eastAsia="zh-CN"/>
              </w:rPr>
            </w:pPr>
            <w:r>
              <w:rPr>
                <w:rFonts w:eastAsia="楷体_GB2312"/>
                <w:sz w:val="20"/>
                <w:lang w:eastAsia="zh-CN"/>
              </w:rPr>
              <w:t>补充资产池回收款与贷款服务机构自有资金的混同金额</w:t>
            </w:r>
          </w:p>
        </w:tc>
        <w:tc>
          <w:tcPr>
            <w:tcW w:w="2652" w:type="dxa"/>
            <w:tcBorders>
              <w:top w:val="nil"/>
              <w:left w:val="nil"/>
              <w:bottom w:val="nil"/>
              <w:right w:val="single" w:color="auto" w:sz="4" w:space="0"/>
            </w:tcBorders>
          </w:tcPr>
          <w:p w14:paraId="114C6238">
            <w:pPr>
              <w:spacing w:line="360" w:lineRule="auto"/>
              <w:rPr>
                <w:rFonts w:eastAsia="楷体_GB2312"/>
                <w:lang w:eastAsia="zh-CN"/>
              </w:rPr>
            </w:pPr>
          </w:p>
          <w:p w14:paraId="3A60C72D">
            <w:pPr>
              <w:spacing w:line="360" w:lineRule="auto"/>
              <w:rPr>
                <w:rFonts w:eastAsia="楷体_GB2312"/>
                <w:lang w:eastAsia="zh-CN"/>
              </w:rPr>
            </w:pPr>
          </w:p>
        </w:tc>
      </w:tr>
      <w:tr w14:paraId="340B4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7" w:type="dxa"/>
            <w:tcBorders>
              <w:top w:val="nil"/>
              <w:left w:val="single" w:color="auto" w:sz="4" w:space="0"/>
              <w:bottom w:val="single" w:color="auto" w:sz="4" w:space="0"/>
              <w:right w:val="nil"/>
            </w:tcBorders>
          </w:tcPr>
          <w:p w14:paraId="191A1799">
            <w:pPr>
              <w:spacing w:line="360" w:lineRule="auto"/>
              <w:rPr>
                <w:rFonts w:eastAsia="楷体_GB2312"/>
                <w:sz w:val="18"/>
                <w:lang w:eastAsia="zh-CN"/>
              </w:rPr>
            </w:pPr>
            <w:r>
              <w:rPr>
                <w:rFonts w:eastAsia="楷体_GB2312"/>
                <w:sz w:val="20"/>
                <w:lang w:eastAsia="zh-CN"/>
              </w:rPr>
              <w:t>信托（税收）储备账户</w:t>
            </w:r>
          </w:p>
        </w:tc>
        <w:tc>
          <w:tcPr>
            <w:tcW w:w="3237" w:type="dxa"/>
            <w:gridSpan w:val="2"/>
            <w:tcBorders>
              <w:top w:val="nil"/>
              <w:left w:val="nil"/>
              <w:bottom w:val="single" w:color="auto" w:sz="4" w:space="0"/>
              <w:right w:val="nil"/>
            </w:tcBorders>
          </w:tcPr>
          <w:p w14:paraId="19080E7E">
            <w:pPr>
              <w:spacing w:line="360" w:lineRule="auto"/>
              <w:rPr>
                <w:rFonts w:eastAsia="楷体_GB2312"/>
              </w:rPr>
            </w:pPr>
            <w:r>
              <w:rPr>
                <w:rFonts w:eastAsia="楷体_GB2312"/>
                <w:sz w:val="20"/>
              </w:rPr>
              <w:t>信托财产的税赋</w:t>
            </w:r>
          </w:p>
        </w:tc>
        <w:tc>
          <w:tcPr>
            <w:tcW w:w="2652" w:type="dxa"/>
            <w:tcBorders>
              <w:top w:val="nil"/>
              <w:left w:val="nil"/>
              <w:bottom w:val="single" w:color="auto" w:sz="4" w:space="0"/>
              <w:right w:val="single" w:color="auto" w:sz="4" w:space="0"/>
            </w:tcBorders>
          </w:tcPr>
          <w:p w14:paraId="6520BD4E">
            <w:pPr>
              <w:spacing w:line="360" w:lineRule="auto"/>
              <w:rPr>
                <w:rFonts w:eastAsia="楷体_GB2312"/>
              </w:rPr>
            </w:pPr>
          </w:p>
        </w:tc>
      </w:tr>
    </w:tbl>
    <w:p w14:paraId="2FF2F1C6">
      <w:pPr>
        <w:spacing w:line="360" w:lineRule="auto"/>
        <w:rPr>
          <w:rFonts w:eastAsia="楷体_GB2312"/>
          <w:lang w:eastAsia="zh-CN"/>
        </w:rPr>
      </w:pPr>
    </w:p>
    <w:p w14:paraId="163214B8">
      <w:pPr>
        <w:spacing w:line="360" w:lineRule="auto"/>
        <w:rPr>
          <w:rFonts w:eastAsia="楷体_GB2312"/>
          <w:lang w:eastAsia="zh-CN"/>
        </w:rPr>
      </w:pPr>
      <w:r>
        <w:rPr>
          <w:rFonts w:eastAsia="楷体_GB2312"/>
          <w:lang w:eastAsia="zh-CN"/>
        </w:rPr>
        <w:br w:type="page"/>
      </w:r>
    </w:p>
    <w:tbl>
      <w:tblPr>
        <w:tblStyle w:val="31"/>
        <w:tblW w:w="889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830"/>
        <w:gridCol w:w="1247"/>
        <w:gridCol w:w="4820"/>
      </w:tblGrid>
      <w:tr w14:paraId="6DF0A6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8897" w:type="dxa"/>
            <w:gridSpan w:val="3"/>
            <w:tcBorders>
              <w:top w:val="single" w:color="auto" w:sz="4" w:space="0"/>
              <w:left w:val="single" w:color="auto" w:sz="4" w:space="0"/>
              <w:bottom w:val="single" w:color="auto" w:sz="4" w:space="0"/>
              <w:right w:val="single" w:color="auto" w:sz="4" w:space="0"/>
            </w:tcBorders>
          </w:tcPr>
          <w:p w14:paraId="1A519DE1">
            <w:pPr>
              <w:spacing w:line="360" w:lineRule="auto"/>
              <w:jc w:val="center"/>
              <w:rPr>
                <w:rFonts w:eastAsia="楷体_GB2312"/>
                <w:b/>
                <w:sz w:val="28"/>
                <w:lang w:eastAsia="zh-CN"/>
              </w:rPr>
            </w:pPr>
            <w:r>
              <w:rPr>
                <w:rFonts w:eastAsia="楷体_GB2312"/>
                <w:b/>
                <w:sz w:val="28"/>
                <w:lang w:eastAsia="zh-CN"/>
              </w:rPr>
              <w:t>【信托名称】</w:t>
            </w:r>
          </w:p>
          <w:p w14:paraId="48227BB5">
            <w:pPr>
              <w:spacing w:line="360" w:lineRule="auto"/>
              <w:jc w:val="center"/>
              <w:rPr>
                <w:rFonts w:eastAsia="楷体_GB2312"/>
                <w:b/>
                <w:sz w:val="28"/>
                <w:lang w:eastAsia="zh-CN"/>
              </w:rPr>
            </w:pPr>
            <w:r>
              <w:rPr>
                <w:rFonts w:eastAsia="楷体_GB2312"/>
                <w:b/>
                <w:sz w:val="28"/>
                <w:lang w:eastAsia="zh-CN"/>
              </w:rPr>
              <w:t>受托机构月度/年度报告</w:t>
            </w:r>
          </w:p>
        </w:tc>
      </w:tr>
      <w:tr w14:paraId="50C8CD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897" w:type="dxa"/>
            <w:gridSpan w:val="3"/>
            <w:tcBorders>
              <w:left w:val="single" w:color="auto" w:sz="4" w:space="0"/>
              <w:bottom w:val="single" w:color="auto" w:sz="4" w:space="0"/>
              <w:right w:val="single" w:color="auto" w:sz="4" w:space="0"/>
            </w:tcBorders>
          </w:tcPr>
          <w:p w14:paraId="4438C420">
            <w:pPr>
              <w:spacing w:line="360" w:lineRule="auto"/>
              <w:rPr>
                <w:rFonts w:eastAsia="楷体_GB2312"/>
                <w:b/>
                <w:sz w:val="28"/>
                <w:lang w:eastAsia="zh-CN"/>
              </w:rPr>
            </w:pPr>
            <w:r>
              <w:rPr>
                <w:rFonts w:eastAsia="楷体_GB2312"/>
                <w:b/>
                <w:lang w:eastAsia="zh-CN"/>
              </w:rPr>
              <w:t>九、对证券化信托财产和信托事务管理产生重大影响的事项</w:t>
            </w:r>
          </w:p>
        </w:tc>
      </w:tr>
      <w:tr w14:paraId="29E112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426E515F">
            <w:pPr>
              <w:rPr>
                <w:rFonts w:eastAsia="楷体_GB2312"/>
                <w:b/>
              </w:rPr>
            </w:pPr>
            <w:r>
              <w:rPr>
                <w:rFonts w:eastAsia="楷体_GB2312"/>
                <w:b/>
              </w:rPr>
              <w:t>事项</w:t>
            </w:r>
          </w:p>
        </w:tc>
        <w:tc>
          <w:tcPr>
            <w:tcW w:w="1247" w:type="dxa"/>
            <w:tcBorders>
              <w:top w:val="single" w:color="auto" w:sz="4" w:space="0"/>
              <w:left w:val="single" w:color="auto" w:sz="4" w:space="0"/>
              <w:bottom w:val="single" w:color="auto" w:sz="4" w:space="0"/>
              <w:right w:val="single" w:color="auto" w:sz="4" w:space="0"/>
            </w:tcBorders>
          </w:tcPr>
          <w:p w14:paraId="1D347C76">
            <w:pPr>
              <w:jc w:val="center"/>
              <w:rPr>
                <w:rFonts w:eastAsia="楷体_GB2312"/>
                <w:b/>
              </w:rPr>
            </w:pPr>
            <w:r>
              <w:rPr>
                <w:rFonts w:eastAsia="楷体_GB2312"/>
                <w:b/>
              </w:rPr>
              <w:t>是否发生</w:t>
            </w:r>
          </w:p>
        </w:tc>
        <w:tc>
          <w:tcPr>
            <w:tcW w:w="4820" w:type="dxa"/>
            <w:tcBorders>
              <w:top w:val="single" w:color="auto" w:sz="4" w:space="0"/>
              <w:left w:val="single" w:color="auto" w:sz="4" w:space="0"/>
              <w:bottom w:val="single" w:color="auto" w:sz="4" w:space="0"/>
            </w:tcBorders>
          </w:tcPr>
          <w:p w14:paraId="01977145">
            <w:pPr>
              <w:jc w:val="center"/>
              <w:rPr>
                <w:rFonts w:eastAsia="楷体_GB2312"/>
                <w:b/>
              </w:rPr>
            </w:pPr>
            <w:r>
              <w:rPr>
                <w:rFonts w:eastAsia="楷体_GB2312"/>
                <w:b/>
              </w:rPr>
              <w:t>情况简述</w:t>
            </w:r>
          </w:p>
        </w:tc>
      </w:tr>
      <w:tr w14:paraId="0A33DB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3A9349B5">
            <w:pPr>
              <w:rPr>
                <w:rFonts w:eastAsia="楷体_GB2312"/>
                <w:sz w:val="20"/>
              </w:rPr>
            </w:pPr>
            <w:r>
              <w:rPr>
                <w:rFonts w:eastAsia="楷体_GB2312"/>
                <w:sz w:val="20"/>
                <w:lang w:eastAsia="zh-CN"/>
              </w:rPr>
              <w:t>1</w:t>
            </w:r>
            <w:r>
              <w:rPr>
                <w:rFonts w:eastAsia="楷体_GB2312"/>
                <w:sz w:val="20"/>
              </w:rPr>
              <w:t>.</w:t>
            </w:r>
            <w:r>
              <w:rPr>
                <w:rFonts w:eastAsia="楷体_GB2312"/>
                <w:sz w:val="20"/>
                <w:lang w:eastAsia="zh-CN"/>
              </w:rPr>
              <w:t>加速清偿事件</w:t>
            </w:r>
          </w:p>
        </w:tc>
        <w:tc>
          <w:tcPr>
            <w:tcW w:w="1247" w:type="dxa"/>
            <w:tcBorders>
              <w:top w:val="single" w:color="auto" w:sz="4" w:space="0"/>
              <w:left w:val="single" w:color="auto" w:sz="4" w:space="0"/>
              <w:bottom w:val="single" w:color="auto" w:sz="4" w:space="0"/>
              <w:right w:val="single" w:color="auto" w:sz="4" w:space="0"/>
            </w:tcBorders>
          </w:tcPr>
          <w:p w14:paraId="3F7F66BB">
            <w:pPr>
              <w:jc w:val="center"/>
              <w:rPr>
                <w:rFonts w:eastAsia="楷体_GB2312"/>
                <w:sz w:val="18"/>
              </w:rPr>
            </w:pPr>
          </w:p>
        </w:tc>
        <w:tc>
          <w:tcPr>
            <w:tcW w:w="4820" w:type="dxa"/>
            <w:tcBorders>
              <w:top w:val="single" w:color="auto" w:sz="4" w:space="0"/>
              <w:left w:val="single" w:color="auto" w:sz="4" w:space="0"/>
              <w:bottom w:val="single" w:color="auto" w:sz="4" w:space="0"/>
            </w:tcBorders>
          </w:tcPr>
          <w:p w14:paraId="1594D81F">
            <w:pPr>
              <w:jc w:val="center"/>
              <w:rPr>
                <w:rFonts w:eastAsia="楷体_GB2312"/>
                <w:sz w:val="18"/>
              </w:rPr>
            </w:pPr>
          </w:p>
        </w:tc>
      </w:tr>
      <w:tr w14:paraId="5DFC0C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028AE0F0">
            <w:pPr>
              <w:rPr>
                <w:rFonts w:eastAsia="楷体_GB2312"/>
                <w:sz w:val="20"/>
                <w:lang w:eastAsia="zh-CN"/>
              </w:rPr>
            </w:pPr>
            <w:r>
              <w:rPr>
                <w:rFonts w:eastAsia="楷体_GB2312"/>
                <w:sz w:val="20"/>
                <w:lang w:eastAsia="zh-CN"/>
              </w:rPr>
              <w:t>2.</w:t>
            </w:r>
            <w:r>
              <w:rPr>
                <w:rFonts w:eastAsia="楷体_GB2312"/>
                <w:sz w:val="20"/>
              </w:rPr>
              <w:t>违约事件</w:t>
            </w:r>
          </w:p>
        </w:tc>
        <w:tc>
          <w:tcPr>
            <w:tcW w:w="1247" w:type="dxa"/>
            <w:tcBorders>
              <w:top w:val="single" w:color="auto" w:sz="4" w:space="0"/>
              <w:left w:val="single" w:color="auto" w:sz="4" w:space="0"/>
              <w:bottom w:val="single" w:color="auto" w:sz="4" w:space="0"/>
              <w:right w:val="single" w:color="auto" w:sz="4" w:space="0"/>
            </w:tcBorders>
          </w:tcPr>
          <w:p w14:paraId="24E405DF">
            <w:pPr>
              <w:jc w:val="center"/>
              <w:rPr>
                <w:rFonts w:eastAsia="楷体_GB2312"/>
                <w:sz w:val="18"/>
              </w:rPr>
            </w:pPr>
          </w:p>
        </w:tc>
        <w:tc>
          <w:tcPr>
            <w:tcW w:w="4820" w:type="dxa"/>
            <w:tcBorders>
              <w:top w:val="single" w:color="auto" w:sz="4" w:space="0"/>
              <w:left w:val="single" w:color="auto" w:sz="4" w:space="0"/>
              <w:bottom w:val="single" w:color="auto" w:sz="4" w:space="0"/>
            </w:tcBorders>
          </w:tcPr>
          <w:p w14:paraId="5AC1F5B5">
            <w:pPr>
              <w:jc w:val="center"/>
              <w:rPr>
                <w:rFonts w:eastAsia="楷体_GB2312"/>
                <w:sz w:val="18"/>
              </w:rPr>
            </w:pPr>
          </w:p>
        </w:tc>
      </w:tr>
      <w:tr w14:paraId="3EC66F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2972AC3E">
            <w:pPr>
              <w:rPr>
                <w:rFonts w:eastAsia="楷体_GB2312"/>
                <w:sz w:val="20"/>
              </w:rPr>
            </w:pPr>
            <w:r>
              <w:rPr>
                <w:rFonts w:eastAsia="楷体_GB2312"/>
                <w:sz w:val="20"/>
                <w:lang w:eastAsia="zh-CN"/>
              </w:rPr>
              <w:t>3</w:t>
            </w:r>
            <w:r>
              <w:rPr>
                <w:rFonts w:eastAsia="楷体_GB2312"/>
                <w:sz w:val="20"/>
              </w:rPr>
              <w:t>.权利完善事件</w:t>
            </w:r>
            <w:r>
              <w:rPr>
                <w:rFonts w:hint="eastAsia" w:eastAsia="楷体_GB2312"/>
                <w:sz w:val="20"/>
                <w:lang w:eastAsia="zh-CN"/>
              </w:rPr>
              <w:t>/</w:t>
            </w:r>
            <w:r>
              <w:rPr>
                <w:rFonts w:hint="eastAsia" w:eastAsia="楷体_GB2312"/>
                <w:sz w:val="20"/>
              </w:rPr>
              <w:t>个别通知</w:t>
            </w:r>
            <w:r>
              <w:rPr>
                <w:rFonts w:eastAsia="楷体_GB2312"/>
                <w:sz w:val="20"/>
              </w:rPr>
              <w:t>事件</w:t>
            </w:r>
          </w:p>
        </w:tc>
        <w:tc>
          <w:tcPr>
            <w:tcW w:w="1247" w:type="dxa"/>
            <w:tcBorders>
              <w:top w:val="single" w:color="auto" w:sz="4" w:space="0"/>
              <w:left w:val="single" w:color="auto" w:sz="4" w:space="0"/>
              <w:bottom w:val="single" w:color="auto" w:sz="4" w:space="0"/>
              <w:right w:val="single" w:color="auto" w:sz="4" w:space="0"/>
            </w:tcBorders>
          </w:tcPr>
          <w:p w14:paraId="2F468E4E">
            <w:pPr>
              <w:jc w:val="center"/>
              <w:rPr>
                <w:rFonts w:eastAsia="楷体_GB2312"/>
                <w:sz w:val="18"/>
              </w:rPr>
            </w:pPr>
          </w:p>
        </w:tc>
        <w:tc>
          <w:tcPr>
            <w:tcW w:w="4820" w:type="dxa"/>
            <w:tcBorders>
              <w:top w:val="single" w:color="auto" w:sz="4" w:space="0"/>
              <w:left w:val="single" w:color="auto" w:sz="4" w:space="0"/>
              <w:bottom w:val="single" w:color="auto" w:sz="4" w:space="0"/>
            </w:tcBorders>
          </w:tcPr>
          <w:p w14:paraId="40CE20A0">
            <w:pPr>
              <w:jc w:val="center"/>
              <w:rPr>
                <w:rFonts w:eastAsia="楷体_GB2312"/>
                <w:sz w:val="18"/>
              </w:rPr>
            </w:pPr>
          </w:p>
        </w:tc>
      </w:tr>
      <w:tr w14:paraId="15BA4D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6FF63D90">
            <w:pPr>
              <w:rPr>
                <w:rFonts w:eastAsia="楷体_GB2312"/>
                <w:sz w:val="20"/>
                <w:lang w:eastAsia="zh-CN"/>
              </w:rPr>
            </w:pPr>
            <w:r>
              <w:rPr>
                <w:rFonts w:hint="eastAsia" w:eastAsia="楷体_GB2312"/>
                <w:sz w:val="20"/>
                <w:lang w:eastAsia="zh-CN"/>
              </w:rPr>
              <w:t>4</w:t>
            </w:r>
            <w:r>
              <w:rPr>
                <w:rFonts w:eastAsia="楷体_GB2312"/>
                <w:sz w:val="20"/>
              </w:rPr>
              <w:t>.赎回</w:t>
            </w:r>
          </w:p>
        </w:tc>
        <w:tc>
          <w:tcPr>
            <w:tcW w:w="1247" w:type="dxa"/>
            <w:tcBorders>
              <w:top w:val="single" w:color="auto" w:sz="4" w:space="0"/>
              <w:left w:val="single" w:color="auto" w:sz="4" w:space="0"/>
              <w:bottom w:val="single" w:color="auto" w:sz="4" w:space="0"/>
              <w:right w:val="single" w:color="auto" w:sz="4" w:space="0"/>
            </w:tcBorders>
          </w:tcPr>
          <w:p w14:paraId="54A4C1A3">
            <w:pPr>
              <w:jc w:val="center"/>
              <w:rPr>
                <w:rFonts w:eastAsia="楷体_GB2312"/>
                <w:sz w:val="18"/>
              </w:rPr>
            </w:pPr>
          </w:p>
        </w:tc>
        <w:tc>
          <w:tcPr>
            <w:tcW w:w="4820" w:type="dxa"/>
            <w:tcBorders>
              <w:top w:val="single" w:color="auto" w:sz="4" w:space="0"/>
              <w:left w:val="single" w:color="auto" w:sz="4" w:space="0"/>
              <w:bottom w:val="single" w:color="auto" w:sz="4" w:space="0"/>
            </w:tcBorders>
          </w:tcPr>
          <w:p w14:paraId="4FA55BA9">
            <w:pPr>
              <w:jc w:val="center"/>
              <w:rPr>
                <w:rFonts w:eastAsia="楷体_GB2312"/>
                <w:sz w:val="18"/>
              </w:rPr>
            </w:pPr>
          </w:p>
        </w:tc>
      </w:tr>
      <w:tr w14:paraId="71BA98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27321E1D">
            <w:pPr>
              <w:rPr>
                <w:rFonts w:eastAsia="楷体_GB2312"/>
                <w:sz w:val="20"/>
                <w:lang w:eastAsia="zh-CN"/>
              </w:rPr>
            </w:pPr>
            <w:r>
              <w:rPr>
                <w:rFonts w:hint="eastAsia" w:eastAsia="楷体_GB2312"/>
                <w:sz w:val="20"/>
                <w:lang w:eastAsia="zh-CN"/>
              </w:rPr>
              <w:t>5</w:t>
            </w:r>
            <w:r>
              <w:rPr>
                <w:rFonts w:eastAsia="楷体_GB2312"/>
                <w:sz w:val="20"/>
              </w:rPr>
              <w:t>.清仓回购</w:t>
            </w:r>
          </w:p>
        </w:tc>
        <w:tc>
          <w:tcPr>
            <w:tcW w:w="1247" w:type="dxa"/>
            <w:tcBorders>
              <w:top w:val="single" w:color="auto" w:sz="4" w:space="0"/>
              <w:left w:val="single" w:color="auto" w:sz="4" w:space="0"/>
              <w:bottom w:val="single" w:color="auto" w:sz="4" w:space="0"/>
              <w:right w:val="single" w:color="auto" w:sz="4" w:space="0"/>
            </w:tcBorders>
          </w:tcPr>
          <w:p w14:paraId="48BA092A">
            <w:pPr>
              <w:jc w:val="center"/>
              <w:rPr>
                <w:rFonts w:eastAsia="楷体_GB2312"/>
                <w:sz w:val="18"/>
              </w:rPr>
            </w:pPr>
          </w:p>
        </w:tc>
        <w:tc>
          <w:tcPr>
            <w:tcW w:w="4820" w:type="dxa"/>
            <w:tcBorders>
              <w:top w:val="single" w:color="auto" w:sz="4" w:space="0"/>
              <w:left w:val="single" w:color="auto" w:sz="4" w:space="0"/>
              <w:bottom w:val="single" w:color="auto" w:sz="4" w:space="0"/>
            </w:tcBorders>
          </w:tcPr>
          <w:p w14:paraId="23FE66CD">
            <w:pPr>
              <w:jc w:val="center"/>
              <w:rPr>
                <w:rFonts w:eastAsia="楷体_GB2312"/>
                <w:sz w:val="18"/>
              </w:rPr>
            </w:pPr>
          </w:p>
        </w:tc>
      </w:tr>
      <w:tr w14:paraId="787F74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1E771C51">
            <w:pPr>
              <w:rPr>
                <w:rFonts w:eastAsia="楷体_GB2312"/>
                <w:sz w:val="20"/>
              </w:rPr>
            </w:pPr>
            <w:r>
              <w:rPr>
                <w:rFonts w:hint="eastAsia" w:eastAsia="楷体_GB2312"/>
                <w:sz w:val="20"/>
                <w:lang w:eastAsia="zh-CN"/>
              </w:rPr>
              <w:t>6</w:t>
            </w:r>
            <w:r>
              <w:rPr>
                <w:rFonts w:eastAsia="楷体_GB2312"/>
                <w:sz w:val="20"/>
              </w:rPr>
              <w:t>.丧失清偿能力事件</w:t>
            </w:r>
          </w:p>
        </w:tc>
        <w:tc>
          <w:tcPr>
            <w:tcW w:w="1247" w:type="dxa"/>
            <w:tcBorders>
              <w:top w:val="single" w:color="auto" w:sz="4" w:space="0"/>
              <w:left w:val="single" w:color="auto" w:sz="4" w:space="0"/>
              <w:bottom w:val="single" w:color="auto" w:sz="4" w:space="0"/>
              <w:right w:val="single" w:color="auto" w:sz="4" w:space="0"/>
            </w:tcBorders>
          </w:tcPr>
          <w:p w14:paraId="5A860D3E">
            <w:pPr>
              <w:jc w:val="center"/>
              <w:rPr>
                <w:rFonts w:eastAsia="楷体_GB2312"/>
                <w:sz w:val="18"/>
              </w:rPr>
            </w:pPr>
          </w:p>
        </w:tc>
        <w:tc>
          <w:tcPr>
            <w:tcW w:w="4820" w:type="dxa"/>
            <w:tcBorders>
              <w:top w:val="single" w:color="auto" w:sz="4" w:space="0"/>
              <w:left w:val="single" w:color="auto" w:sz="4" w:space="0"/>
              <w:bottom w:val="single" w:color="auto" w:sz="4" w:space="0"/>
            </w:tcBorders>
          </w:tcPr>
          <w:p w14:paraId="63B6D7BE">
            <w:pPr>
              <w:jc w:val="center"/>
              <w:rPr>
                <w:rFonts w:eastAsia="楷体_GB2312"/>
                <w:sz w:val="18"/>
              </w:rPr>
            </w:pPr>
          </w:p>
        </w:tc>
      </w:tr>
      <w:tr w14:paraId="31046A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4C97FE18">
            <w:pPr>
              <w:rPr>
                <w:rFonts w:eastAsia="楷体_GB2312"/>
                <w:sz w:val="20"/>
              </w:rPr>
            </w:pPr>
            <w:r>
              <w:rPr>
                <w:rFonts w:hint="eastAsia" w:eastAsia="楷体_GB2312"/>
                <w:sz w:val="20"/>
                <w:lang w:eastAsia="zh-CN"/>
              </w:rPr>
              <w:t>7.</w:t>
            </w:r>
            <w:r>
              <w:rPr>
                <w:rFonts w:eastAsia="楷体_GB2312"/>
                <w:sz w:val="20"/>
              </w:rPr>
              <w:t>受托机构终止事件</w:t>
            </w:r>
          </w:p>
        </w:tc>
        <w:tc>
          <w:tcPr>
            <w:tcW w:w="1247" w:type="dxa"/>
            <w:tcBorders>
              <w:top w:val="single" w:color="auto" w:sz="4" w:space="0"/>
              <w:left w:val="single" w:color="auto" w:sz="4" w:space="0"/>
              <w:bottom w:val="single" w:color="auto" w:sz="4" w:space="0"/>
              <w:right w:val="single" w:color="auto" w:sz="4" w:space="0"/>
            </w:tcBorders>
          </w:tcPr>
          <w:p w14:paraId="7DFBB75B">
            <w:pPr>
              <w:jc w:val="center"/>
              <w:rPr>
                <w:rFonts w:eastAsia="楷体_GB2312"/>
                <w:sz w:val="18"/>
              </w:rPr>
            </w:pPr>
          </w:p>
        </w:tc>
        <w:tc>
          <w:tcPr>
            <w:tcW w:w="4820" w:type="dxa"/>
            <w:tcBorders>
              <w:top w:val="single" w:color="auto" w:sz="4" w:space="0"/>
              <w:left w:val="single" w:color="auto" w:sz="4" w:space="0"/>
              <w:bottom w:val="single" w:color="auto" w:sz="4" w:space="0"/>
            </w:tcBorders>
          </w:tcPr>
          <w:p w14:paraId="3CB619B1">
            <w:pPr>
              <w:jc w:val="center"/>
              <w:rPr>
                <w:rFonts w:eastAsia="楷体_GB2312"/>
                <w:sz w:val="18"/>
              </w:rPr>
            </w:pPr>
          </w:p>
        </w:tc>
      </w:tr>
      <w:tr w14:paraId="319CEA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11654AE5">
            <w:pPr>
              <w:rPr>
                <w:rFonts w:eastAsia="楷体_GB2312"/>
                <w:sz w:val="20"/>
                <w:lang w:eastAsia="zh-CN"/>
              </w:rPr>
            </w:pPr>
            <w:r>
              <w:rPr>
                <w:rFonts w:hint="eastAsia" w:eastAsia="楷体_GB2312"/>
                <w:sz w:val="20"/>
                <w:lang w:eastAsia="zh-CN"/>
              </w:rPr>
              <w:t>8.</w:t>
            </w:r>
            <w:r>
              <w:rPr>
                <w:rFonts w:eastAsia="楷体_GB2312"/>
                <w:sz w:val="20"/>
              </w:rPr>
              <w:t>重大不利变化</w:t>
            </w:r>
          </w:p>
        </w:tc>
        <w:tc>
          <w:tcPr>
            <w:tcW w:w="1247" w:type="dxa"/>
            <w:tcBorders>
              <w:top w:val="single" w:color="auto" w:sz="4" w:space="0"/>
              <w:left w:val="single" w:color="auto" w:sz="4" w:space="0"/>
              <w:bottom w:val="single" w:color="auto" w:sz="4" w:space="0"/>
              <w:right w:val="single" w:color="auto" w:sz="4" w:space="0"/>
            </w:tcBorders>
          </w:tcPr>
          <w:p w14:paraId="75F6E251">
            <w:pPr>
              <w:jc w:val="center"/>
              <w:rPr>
                <w:rFonts w:eastAsia="楷体_GB2312"/>
                <w:sz w:val="18"/>
              </w:rPr>
            </w:pPr>
          </w:p>
        </w:tc>
        <w:tc>
          <w:tcPr>
            <w:tcW w:w="4820" w:type="dxa"/>
            <w:tcBorders>
              <w:top w:val="single" w:color="auto" w:sz="4" w:space="0"/>
              <w:left w:val="single" w:color="auto" w:sz="4" w:space="0"/>
              <w:bottom w:val="single" w:color="auto" w:sz="4" w:space="0"/>
            </w:tcBorders>
          </w:tcPr>
          <w:p w14:paraId="1B55474C">
            <w:pPr>
              <w:jc w:val="center"/>
              <w:rPr>
                <w:rFonts w:eastAsia="楷体_GB2312"/>
                <w:sz w:val="18"/>
              </w:rPr>
            </w:pPr>
          </w:p>
        </w:tc>
      </w:tr>
      <w:tr w14:paraId="0480D5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6BDC292D">
            <w:pPr>
              <w:rPr>
                <w:rFonts w:eastAsia="楷体_GB2312"/>
                <w:sz w:val="20"/>
                <w:lang w:eastAsia="zh-CN"/>
              </w:rPr>
            </w:pPr>
            <w:r>
              <w:rPr>
                <w:rFonts w:hint="eastAsia" w:eastAsia="楷体_GB2312"/>
                <w:sz w:val="20"/>
                <w:lang w:eastAsia="zh-CN"/>
              </w:rPr>
              <w:t>9</w:t>
            </w:r>
            <w:r>
              <w:rPr>
                <w:rFonts w:eastAsia="楷体_GB2312"/>
                <w:sz w:val="20"/>
              </w:rPr>
              <w:t>.重大不利影响</w:t>
            </w:r>
          </w:p>
        </w:tc>
        <w:tc>
          <w:tcPr>
            <w:tcW w:w="1247" w:type="dxa"/>
            <w:tcBorders>
              <w:top w:val="single" w:color="auto" w:sz="4" w:space="0"/>
              <w:left w:val="single" w:color="auto" w:sz="4" w:space="0"/>
              <w:bottom w:val="single" w:color="auto" w:sz="4" w:space="0"/>
              <w:right w:val="single" w:color="auto" w:sz="4" w:space="0"/>
            </w:tcBorders>
          </w:tcPr>
          <w:p w14:paraId="7824A1E6">
            <w:pPr>
              <w:jc w:val="center"/>
              <w:rPr>
                <w:rFonts w:eastAsia="楷体_GB2312"/>
                <w:sz w:val="18"/>
              </w:rPr>
            </w:pPr>
          </w:p>
        </w:tc>
        <w:tc>
          <w:tcPr>
            <w:tcW w:w="4820" w:type="dxa"/>
            <w:tcBorders>
              <w:top w:val="single" w:color="auto" w:sz="4" w:space="0"/>
              <w:left w:val="single" w:color="auto" w:sz="4" w:space="0"/>
              <w:bottom w:val="single" w:color="auto" w:sz="4" w:space="0"/>
            </w:tcBorders>
          </w:tcPr>
          <w:p w14:paraId="3063ECD1">
            <w:pPr>
              <w:jc w:val="center"/>
              <w:rPr>
                <w:rFonts w:eastAsia="楷体_GB2312"/>
                <w:sz w:val="18"/>
              </w:rPr>
            </w:pPr>
          </w:p>
        </w:tc>
      </w:tr>
      <w:tr w14:paraId="3BC927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5D9BFAA7">
            <w:pPr>
              <w:rPr>
                <w:rFonts w:eastAsia="楷体_GB2312"/>
                <w:sz w:val="20"/>
              </w:rPr>
            </w:pPr>
            <w:r>
              <w:rPr>
                <w:rFonts w:hint="eastAsia" w:eastAsia="楷体_GB2312"/>
                <w:sz w:val="20"/>
                <w:lang w:eastAsia="zh-CN"/>
              </w:rPr>
              <w:t>10</w:t>
            </w:r>
            <w:r>
              <w:rPr>
                <w:rFonts w:eastAsia="楷体_GB2312"/>
                <w:sz w:val="20"/>
              </w:rPr>
              <w:t>.受托人解任事件</w:t>
            </w:r>
          </w:p>
        </w:tc>
        <w:tc>
          <w:tcPr>
            <w:tcW w:w="1247" w:type="dxa"/>
            <w:tcBorders>
              <w:top w:val="single" w:color="auto" w:sz="4" w:space="0"/>
              <w:left w:val="single" w:color="auto" w:sz="4" w:space="0"/>
              <w:bottom w:val="single" w:color="auto" w:sz="4" w:space="0"/>
              <w:right w:val="single" w:color="auto" w:sz="4" w:space="0"/>
            </w:tcBorders>
          </w:tcPr>
          <w:p w14:paraId="43EBC7C9">
            <w:pPr>
              <w:jc w:val="center"/>
              <w:rPr>
                <w:rFonts w:eastAsia="楷体_GB2312"/>
                <w:sz w:val="18"/>
              </w:rPr>
            </w:pPr>
          </w:p>
        </w:tc>
        <w:tc>
          <w:tcPr>
            <w:tcW w:w="4820" w:type="dxa"/>
            <w:tcBorders>
              <w:top w:val="single" w:color="auto" w:sz="4" w:space="0"/>
              <w:left w:val="single" w:color="auto" w:sz="4" w:space="0"/>
              <w:bottom w:val="single" w:color="auto" w:sz="4" w:space="0"/>
            </w:tcBorders>
          </w:tcPr>
          <w:p w14:paraId="475C522B">
            <w:pPr>
              <w:jc w:val="center"/>
              <w:rPr>
                <w:rFonts w:eastAsia="楷体_GB2312"/>
                <w:sz w:val="18"/>
              </w:rPr>
            </w:pPr>
          </w:p>
        </w:tc>
      </w:tr>
      <w:tr w14:paraId="2F7042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2F0C41BA">
            <w:pPr>
              <w:rPr>
                <w:rFonts w:eastAsia="楷体_GB2312"/>
                <w:sz w:val="20"/>
              </w:rPr>
            </w:pPr>
            <w:r>
              <w:rPr>
                <w:rFonts w:hint="eastAsia" w:eastAsia="楷体_GB2312"/>
                <w:sz w:val="20"/>
              </w:rPr>
              <w:t>1</w:t>
            </w:r>
            <w:r>
              <w:rPr>
                <w:rFonts w:hint="eastAsia" w:eastAsia="楷体_GB2312"/>
                <w:sz w:val="20"/>
                <w:lang w:eastAsia="zh-CN"/>
              </w:rPr>
              <w:t>1</w:t>
            </w:r>
            <w:r>
              <w:rPr>
                <w:rFonts w:eastAsia="楷体_GB2312"/>
                <w:sz w:val="20"/>
              </w:rPr>
              <w:t>.贷款服务机构解任事件</w:t>
            </w:r>
          </w:p>
        </w:tc>
        <w:tc>
          <w:tcPr>
            <w:tcW w:w="1247" w:type="dxa"/>
            <w:tcBorders>
              <w:top w:val="single" w:color="auto" w:sz="4" w:space="0"/>
              <w:left w:val="single" w:color="auto" w:sz="4" w:space="0"/>
              <w:bottom w:val="single" w:color="auto" w:sz="4" w:space="0"/>
              <w:right w:val="single" w:color="auto" w:sz="4" w:space="0"/>
            </w:tcBorders>
          </w:tcPr>
          <w:p w14:paraId="044245A1">
            <w:pPr>
              <w:jc w:val="center"/>
              <w:rPr>
                <w:rFonts w:eastAsia="楷体_GB2312"/>
                <w:sz w:val="18"/>
                <w:lang w:eastAsia="zh-CN"/>
              </w:rPr>
            </w:pPr>
          </w:p>
        </w:tc>
        <w:tc>
          <w:tcPr>
            <w:tcW w:w="4820" w:type="dxa"/>
            <w:tcBorders>
              <w:top w:val="single" w:color="auto" w:sz="4" w:space="0"/>
              <w:left w:val="single" w:color="auto" w:sz="4" w:space="0"/>
              <w:bottom w:val="single" w:color="auto" w:sz="4" w:space="0"/>
            </w:tcBorders>
          </w:tcPr>
          <w:p w14:paraId="7D75E8C8">
            <w:pPr>
              <w:jc w:val="center"/>
              <w:rPr>
                <w:rFonts w:eastAsia="楷体_GB2312"/>
                <w:sz w:val="18"/>
                <w:lang w:eastAsia="zh-CN"/>
              </w:rPr>
            </w:pPr>
          </w:p>
        </w:tc>
      </w:tr>
      <w:tr w14:paraId="5E3401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00BFC64F">
            <w:pPr>
              <w:rPr>
                <w:rFonts w:eastAsia="楷体_GB2312"/>
                <w:sz w:val="20"/>
              </w:rPr>
            </w:pPr>
            <w:r>
              <w:rPr>
                <w:rFonts w:eastAsia="楷体_GB2312"/>
                <w:sz w:val="20"/>
              </w:rPr>
              <w:t>1</w:t>
            </w:r>
            <w:r>
              <w:rPr>
                <w:rFonts w:hint="eastAsia" w:eastAsia="楷体_GB2312"/>
                <w:sz w:val="20"/>
                <w:lang w:eastAsia="zh-CN"/>
              </w:rPr>
              <w:t>2</w:t>
            </w:r>
            <w:r>
              <w:rPr>
                <w:rFonts w:eastAsia="楷体_GB2312"/>
                <w:sz w:val="20"/>
              </w:rPr>
              <w:t>.资金保管机构解任事件</w:t>
            </w:r>
          </w:p>
        </w:tc>
        <w:tc>
          <w:tcPr>
            <w:tcW w:w="1247" w:type="dxa"/>
            <w:tcBorders>
              <w:top w:val="single" w:color="auto" w:sz="4" w:space="0"/>
              <w:left w:val="single" w:color="auto" w:sz="4" w:space="0"/>
              <w:bottom w:val="single" w:color="auto" w:sz="4" w:space="0"/>
              <w:right w:val="single" w:color="auto" w:sz="4" w:space="0"/>
            </w:tcBorders>
          </w:tcPr>
          <w:p w14:paraId="582786A3">
            <w:pPr>
              <w:jc w:val="center"/>
              <w:rPr>
                <w:rFonts w:eastAsia="楷体_GB2312"/>
                <w:sz w:val="18"/>
                <w:lang w:eastAsia="zh-CN"/>
              </w:rPr>
            </w:pPr>
          </w:p>
        </w:tc>
        <w:tc>
          <w:tcPr>
            <w:tcW w:w="4820" w:type="dxa"/>
            <w:tcBorders>
              <w:top w:val="single" w:color="auto" w:sz="4" w:space="0"/>
              <w:left w:val="single" w:color="auto" w:sz="4" w:space="0"/>
              <w:bottom w:val="single" w:color="auto" w:sz="4" w:space="0"/>
            </w:tcBorders>
          </w:tcPr>
          <w:p w14:paraId="7F64EF0F">
            <w:pPr>
              <w:jc w:val="center"/>
              <w:rPr>
                <w:rFonts w:eastAsia="楷体_GB2312"/>
                <w:sz w:val="18"/>
                <w:lang w:eastAsia="zh-CN"/>
              </w:rPr>
            </w:pPr>
          </w:p>
        </w:tc>
      </w:tr>
      <w:tr w14:paraId="68C53A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0C2CFFE8">
            <w:pPr>
              <w:rPr>
                <w:rFonts w:eastAsia="楷体_GB2312"/>
                <w:sz w:val="20"/>
              </w:rPr>
            </w:pPr>
            <w:r>
              <w:rPr>
                <w:rFonts w:eastAsia="楷体_GB2312"/>
                <w:sz w:val="20"/>
              </w:rPr>
              <w:t>1</w:t>
            </w:r>
            <w:r>
              <w:rPr>
                <w:rFonts w:hint="eastAsia" w:eastAsia="楷体_GB2312"/>
                <w:sz w:val="20"/>
                <w:lang w:eastAsia="zh-CN"/>
              </w:rPr>
              <w:t>3</w:t>
            </w:r>
            <w:r>
              <w:rPr>
                <w:rFonts w:eastAsia="楷体_GB2312"/>
                <w:sz w:val="20"/>
              </w:rPr>
              <w:t>.资产支持证券持有人大会</w:t>
            </w:r>
          </w:p>
        </w:tc>
        <w:tc>
          <w:tcPr>
            <w:tcW w:w="1247" w:type="dxa"/>
            <w:tcBorders>
              <w:top w:val="single" w:color="auto" w:sz="4" w:space="0"/>
              <w:left w:val="single" w:color="auto" w:sz="4" w:space="0"/>
              <w:bottom w:val="single" w:color="auto" w:sz="4" w:space="0"/>
              <w:right w:val="single" w:color="auto" w:sz="4" w:space="0"/>
            </w:tcBorders>
          </w:tcPr>
          <w:p w14:paraId="35620DCC">
            <w:pPr>
              <w:jc w:val="center"/>
              <w:rPr>
                <w:rFonts w:eastAsia="楷体_GB2312"/>
                <w:sz w:val="18"/>
                <w:lang w:eastAsia="zh-CN"/>
              </w:rPr>
            </w:pPr>
          </w:p>
        </w:tc>
        <w:tc>
          <w:tcPr>
            <w:tcW w:w="4820" w:type="dxa"/>
            <w:tcBorders>
              <w:top w:val="single" w:color="auto" w:sz="4" w:space="0"/>
              <w:left w:val="single" w:color="auto" w:sz="4" w:space="0"/>
              <w:bottom w:val="single" w:color="auto" w:sz="4" w:space="0"/>
            </w:tcBorders>
          </w:tcPr>
          <w:p w14:paraId="0DB80C86">
            <w:pPr>
              <w:jc w:val="center"/>
              <w:rPr>
                <w:rFonts w:eastAsia="楷体_GB2312"/>
                <w:sz w:val="18"/>
                <w:lang w:eastAsia="zh-CN"/>
              </w:rPr>
            </w:pPr>
          </w:p>
        </w:tc>
      </w:tr>
      <w:tr w14:paraId="69EF2A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71531E4F">
            <w:pPr>
              <w:rPr>
                <w:rFonts w:eastAsia="楷体_GB2312"/>
                <w:sz w:val="20"/>
              </w:rPr>
            </w:pPr>
            <w:r>
              <w:rPr>
                <w:rFonts w:hint="eastAsia" w:eastAsia="楷体_GB2312"/>
                <w:sz w:val="20"/>
                <w:lang w:eastAsia="zh-CN"/>
              </w:rPr>
              <w:t>14.</w:t>
            </w:r>
            <w:r>
              <w:rPr>
                <w:rFonts w:hint="eastAsia" w:eastAsia="楷体_GB2312"/>
                <w:sz w:val="20"/>
              </w:rPr>
              <w:t>法定到期日延长</w:t>
            </w:r>
          </w:p>
        </w:tc>
        <w:tc>
          <w:tcPr>
            <w:tcW w:w="1247" w:type="dxa"/>
            <w:tcBorders>
              <w:top w:val="single" w:color="auto" w:sz="4" w:space="0"/>
              <w:left w:val="single" w:color="auto" w:sz="4" w:space="0"/>
              <w:bottom w:val="single" w:color="auto" w:sz="4" w:space="0"/>
              <w:right w:val="single" w:color="auto" w:sz="4" w:space="0"/>
            </w:tcBorders>
          </w:tcPr>
          <w:p w14:paraId="1CBEAA3F">
            <w:pPr>
              <w:jc w:val="center"/>
              <w:rPr>
                <w:rFonts w:eastAsia="楷体_GB2312"/>
                <w:sz w:val="18"/>
                <w:lang w:eastAsia="zh-CN"/>
              </w:rPr>
            </w:pPr>
          </w:p>
        </w:tc>
        <w:tc>
          <w:tcPr>
            <w:tcW w:w="4820" w:type="dxa"/>
            <w:tcBorders>
              <w:top w:val="single" w:color="auto" w:sz="4" w:space="0"/>
              <w:left w:val="single" w:color="auto" w:sz="4" w:space="0"/>
              <w:bottom w:val="single" w:color="auto" w:sz="4" w:space="0"/>
            </w:tcBorders>
          </w:tcPr>
          <w:p w14:paraId="5995FBF1">
            <w:pPr>
              <w:jc w:val="center"/>
              <w:rPr>
                <w:rFonts w:eastAsia="楷体_GB2312"/>
                <w:sz w:val="18"/>
                <w:lang w:eastAsia="zh-CN"/>
              </w:rPr>
            </w:pPr>
          </w:p>
        </w:tc>
      </w:tr>
      <w:tr w14:paraId="058FCA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17333568">
            <w:pPr>
              <w:rPr>
                <w:rFonts w:eastAsia="楷体_GB2312"/>
                <w:sz w:val="20"/>
              </w:rPr>
            </w:pPr>
            <w:r>
              <w:rPr>
                <w:rFonts w:hint="eastAsia" w:eastAsia="楷体_GB2312"/>
                <w:sz w:val="20"/>
                <w:lang w:eastAsia="zh-CN"/>
              </w:rPr>
              <w:t>15.</w:t>
            </w:r>
            <w:r>
              <w:rPr>
                <w:rFonts w:hint="eastAsia" w:eastAsia="楷体_GB2312"/>
                <w:sz w:val="20"/>
              </w:rPr>
              <w:t>清算期延长</w:t>
            </w:r>
          </w:p>
        </w:tc>
        <w:tc>
          <w:tcPr>
            <w:tcW w:w="1247" w:type="dxa"/>
            <w:tcBorders>
              <w:top w:val="single" w:color="auto" w:sz="4" w:space="0"/>
              <w:left w:val="single" w:color="auto" w:sz="4" w:space="0"/>
              <w:bottom w:val="single" w:color="auto" w:sz="4" w:space="0"/>
              <w:right w:val="single" w:color="auto" w:sz="4" w:space="0"/>
            </w:tcBorders>
          </w:tcPr>
          <w:p w14:paraId="22949DD1">
            <w:pPr>
              <w:jc w:val="center"/>
              <w:rPr>
                <w:rFonts w:eastAsia="楷体_GB2312"/>
                <w:sz w:val="18"/>
                <w:lang w:eastAsia="zh-CN"/>
              </w:rPr>
            </w:pPr>
          </w:p>
        </w:tc>
        <w:tc>
          <w:tcPr>
            <w:tcW w:w="4820" w:type="dxa"/>
            <w:tcBorders>
              <w:top w:val="single" w:color="auto" w:sz="4" w:space="0"/>
              <w:left w:val="single" w:color="auto" w:sz="4" w:space="0"/>
              <w:bottom w:val="single" w:color="auto" w:sz="4" w:space="0"/>
            </w:tcBorders>
          </w:tcPr>
          <w:p w14:paraId="3A7715E5">
            <w:pPr>
              <w:jc w:val="center"/>
              <w:rPr>
                <w:rFonts w:eastAsia="楷体_GB2312"/>
                <w:sz w:val="18"/>
                <w:lang w:eastAsia="zh-CN"/>
              </w:rPr>
            </w:pPr>
          </w:p>
        </w:tc>
      </w:tr>
      <w:tr w14:paraId="251C11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3" w:hRule="atLeast"/>
        </w:trPr>
        <w:tc>
          <w:tcPr>
            <w:tcW w:w="2830" w:type="dxa"/>
            <w:tcBorders>
              <w:top w:val="single" w:color="auto" w:sz="4" w:space="0"/>
              <w:bottom w:val="single" w:color="auto" w:sz="4" w:space="0"/>
              <w:right w:val="single" w:color="auto" w:sz="4" w:space="0"/>
            </w:tcBorders>
          </w:tcPr>
          <w:p w14:paraId="784B43CF">
            <w:pPr>
              <w:jc w:val="both"/>
              <w:rPr>
                <w:rFonts w:eastAsia="楷体_GB2312"/>
                <w:sz w:val="20"/>
              </w:rPr>
            </w:pPr>
            <w:r>
              <w:rPr>
                <w:rFonts w:eastAsia="楷体_GB2312"/>
                <w:sz w:val="20"/>
              </w:rPr>
              <w:t>1</w:t>
            </w:r>
            <w:r>
              <w:rPr>
                <w:rFonts w:hint="eastAsia" w:eastAsia="楷体_GB2312"/>
                <w:sz w:val="20"/>
                <w:lang w:eastAsia="zh-CN"/>
              </w:rPr>
              <w:t>6</w:t>
            </w:r>
            <w:r>
              <w:rPr>
                <w:rFonts w:eastAsia="楷体_GB2312"/>
                <w:sz w:val="20"/>
              </w:rPr>
              <w:t>.其他影响</w:t>
            </w:r>
            <w:r>
              <w:rPr>
                <w:rFonts w:hint="eastAsia" w:eastAsia="楷体_GB2312"/>
                <w:sz w:val="20"/>
              </w:rPr>
              <w:t>证券</w:t>
            </w:r>
            <w:r>
              <w:rPr>
                <w:rFonts w:eastAsia="楷体_GB2312"/>
                <w:sz w:val="20"/>
              </w:rPr>
              <w:t>本息兑付或投资者利益的事项</w:t>
            </w:r>
            <w:r>
              <w:rPr>
                <w:rFonts w:hint="eastAsia" w:eastAsia="楷体_GB2312"/>
                <w:sz w:val="20"/>
              </w:rPr>
              <w:t>（如负面的催收相关事项）</w:t>
            </w:r>
          </w:p>
        </w:tc>
        <w:tc>
          <w:tcPr>
            <w:tcW w:w="1247" w:type="dxa"/>
            <w:tcBorders>
              <w:top w:val="single" w:color="auto" w:sz="4" w:space="0"/>
              <w:left w:val="single" w:color="auto" w:sz="4" w:space="0"/>
              <w:bottom w:val="single" w:color="auto" w:sz="4" w:space="0"/>
              <w:right w:val="single" w:color="auto" w:sz="4" w:space="0"/>
            </w:tcBorders>
          </w:tcPr>
          <w:p w14:paraId="7A754FE3">
            <w:pPr>
              <w:jc w:val="center"/>
              <w:rPr>
                <w:rFonts w:eastAsia="楷体_GB2312"/>
                <w:sz w:val="18"/>
                <w:lang w:eastAsia="zh-CN"/>
              </w:rPr>
            </w:pPr>
          </w:p>
        </w:tc>
        <w:tc>
          <w:tcPr>
            <w:tcW w:w="4820" w:type="dxa"/>
            <w:tcBorders>
              <w:top w:val="single" w:color="auto" w:sz="4" w:space="0"/>
              <w:left w:val="single" w:color="auto" w:sz="4" w:space="0"/>
              <w:bottom w:val="single" w:color="auto" w:sz="4" w:space="0"/>
            </w:tcBorders>
          </w:tcPr>
          <w:p w14:paraId="0186A2B1">
            <w:pPr>
              <w:jc w:val="center"/>
              <w:rPr>
                <w:rFonts w:eastAsia="楷体_GB2312"/>
                <w:sz w:val="18"/>
                <w:lang w:eastAsia="zh-CN"/>
              </w:rPr>
            </w:pPr>
          </w:p>
        </w:tc>
      </w:tr>
    </w:tbl>
    <w:p w14:paraId="40C80F9F">
      <w:pPr>
        <w:spacing w:line="360" w:lineRule="auto"/>
        <w:rPr>
          <w:rFonts w:eastAsia="楷体_GB2312"/>
          <w:b/>
          <w:bCs/>
          <w:i/>
          <w:iCs/>
          <w:color w:val="FF0000"/>
          <w:lang w:eastAsia="zh-CN"/>
        </w:rPr>
      </w:pPr>
    </w:p>
    <w:p w14:paraId="560C268E">
      <w:pPr>
        <w:spacing w:line="360" w:lineRule="auto"/>
        <w:rPr>
          <w:rFonts w:eastAsia="楷体_GB2312"/>
          <w:b/>
          <w:bCs/>
          <w:i/>
          <w:iCs/>
          <w:color w:val="FF0000"/>
        </w:rPr>
      </w:pPr>
      <w:r>
        <w:rPr>
          <w:rFonts w:eastAsia="楷体_GB2312"/>
          <w:b/>
          <w:bCs/>
          <w:i/>
          <w:iCs/>
          <w:color w:val="FF0000"/>
        </w:rPr>
        <w:t>【注：</w:t>
      </w:r>
      <w:r>
        <w:rPr>
          <w:rFonts w:hint="eastAsia" w:eastAsia="楷体_GB2312"/>
          <w:b/>
          <w:bCs/>
          <w:i/>
          <w:iCs/>
          <w:color w:val="FF0000"/>
        </w:rPr>
        <w:t>关于报告期内应披露的重大</w:t>
      </w:r>
      <w:r>
        <w:rPr>
          <w:rFonts w:eastAsia="楷体_GB2312"/>
          <w:b/>
          <w:bCs/>
          <w:i/>
          <w:iCs/>
          <w:color w:val="FF0000"/>
        </w:rPr>
        <w:t>事件需</w:t>
      </w:r>
      <w:r>
        <w:rPr>
          <w:rFonts w:hint="eastAsia" w:eastAsia="楷体_GB2312"/>
          <w:b/>
          <w:bCs/>
          <w:i/>
          <w:iCs/>
          <w:color w:val="FF0000"/>
        </w:rPr>
        <w:t>结合最新的规定予以补充或调整</w:t>
      </w:r>
      <w:r>
        <w:rPr>
          <w:rFonts w:eastAsia="楷体_GB2312"/>
          <w:b/>
          <w:bCs/>
          <w:i/>
          <w:iCs/>
          <w:color w:val="FF0000"/>
        </w:rPr>
        <w:t>。】</w:t>
      </w:r>
    </w:p>
    <w:p w14:paraId="2B300B60">
      <w:pPr>
        <w:spacing w:line="360" w:lineRule="auto"/>
        <w:rPr>
          <w:rFonts w:eastAsia="楷体_GB2312"/>
          <w:lang w:eastAsia="zh-CN"/>
        </w:rPr>
      </w:pPr>
    </w:p>
    <w:p w14:paraId="6D312A07">
      <w:pPr>
        <w:spacing w:line="360" w:lineRule="auto"/>
        <w:rPr>
          <w:rFonts w:eastAsia="楷体_GB2312"/>
          <w:lang w:eastAsia="zh-CN"/>
        </w:rPr>
      </w:pPr>
      <w:r>
        <w:rPr>
          <w:rFonts w:eastAsia="楷体_GB2312"/>
          <w:lang w:eastAsia="zh-CN"/>
        </w:rPr>
        <w:br w:type="page"/>
      </w:r>
    </w:p>
    <w:tbl>
      <w:tblPr>
        <w:tblStyle w:val="31"/>
        <w:tblW w:w="851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6"/>
      </w:tblGrid>
      <w:tr w14:paraId="304B2E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8516" w:type="dxa"/>
            <w:tcBorders>
              <w:bottom w:val="single" w:color="auto" w:sz="4" w:space="0"/>
            </w:tcBorders>
          </w:tcPr>
          <w:p w14:paraId="12264BAD">
            <w:pPr>
              <w:spacing w:line="360" w:lineRule="auto"/>
              <w:jc w:val="center"/>
              <w:rPr>
                <w:rFonts w:eastAsia="楷体_GB2312"/>
                <w:b/>
                <w:sz w:val="28"/>
                <w:lang w:eastAsia="zh-CN"/>
              </w:rPr>
            </w:pPr>
            <w:r>
              <w:rPr>
                <w:rFonts w:eastAsia="楷体_GB2312"/>
                <w:b/>
                <w:sz w:val="28"/>
                <w:lang w:eastAsia="zh-CN"/>
              </w:rPr>
              <w:t>【信托名称】</w:t>
            </w:r>
          </w:p>
          <w:p w14:paraId="6231EC82">
            <w:pPr>
              <w:spacing w:line="360" w:lineRule="auto"/>
              <w:jc w:val="center"/>
              <w:rPr>
                <w:rFonts w:eastAsia="楷体_GB2312"/>
                <w:b/>
                <w:sz w:val="28"/>
                <w:lang w:eastAsia="zh-CN"/>
              </w:rPr>
            </w:pPr>
            <w:r>
              <w:rPr>
                <w:rFonts w:eastAsia="楷体_GB2312"/>
                <w:b/>
                <w:sz w:val="28"/>
                <w:lang w:eastAsia="zh-CN"/>
              </w:rPr>
              <w:t>受托机构月度/年度报告</w:t>
            </w:r>
          </w:p>
        </w:tc>
      </w:tr>
      <w:tr w14:paraId="717F93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tcBorders>
              <w:top w:val="single" w:color="auto" w:sz="4" w:space="0"/>
              <w:bottom w:val="nil"/>
            </w:tcBorders>
          </w:tcPr>
          <w:p w14:paraId="4F32F8CC">
            <w:pPr>
              <w:spacing w:line="360" w:lineRule="auto"/>
              <w:rPr>
                <w:rFonts w:eastAsia="楷体_GB2312"/>
                <w:b/>
                <w:lang w:eastAsia="zh-CN"/>
              </w:rPr>
            </w:pPr>
          </w:p>
        </w:tc>
      </w:tr>
      <w:tr w14:paraId="497F68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tcBorders>
              <w:top w:val="nil"/>
              <w:bottom w:val="nil"/>
            </w:tcBorders>
          </w:tcPr>
          <w:p w14:paraId="465A1767">
            <w:pPr>
              <w:spacing w:line="360" w:lineRule="auto"/>
              <w:rPr>
                <w:rFonts w:eastAsia="楷体_GB2312"/>
                <w:sz w:val="18"/>
                <w:lang w:eastAsia="zh-CN"/>
              </w:rPr>
            </w:pPr>
            <w:r>
              <w:rPr>
                <w:rFonts w:eastAsia="楷体_GB2312"/>
                <w:sz w:val="18"/>
                <w:lang w:eastAsia="zh-CN"/>
              </w:rPr>
              <w:t>十、本期受托人依信托合同，并根据市场情况，将信托账户中的资金用于【】。【】年【】月【】日，信托账户收到利息收入【】元。</w:t>
            </w:r>
          </w:p>
          <w:p w14:paraId="0940A875">
            <w:pPr>
              <w:spacing w:line="360" w:lineRule="auto"/>
              <w:rPr>
                <w:rFonts w:eastAsia="楷体_GB2312"/>
                <w:sz w:val="18"/>
                <w:lang w:eastAsia="zh-CN"/>
              </w:rPr>
            </w:pPr>
            <w:r>
              <w:rPr>
                <w:rFonts w:eastAsia="楷体_GB2312"/>
                <w:sz w:val="18"/>
                <w:lang w:eastAsia="zh-CN"/>
              </w:rPr>
              <w:t>本期实现投资收入总金额为人民币【】元，实现投资损失总金额为人民币【】元，实现投资净收益为【】元。</w:t>
            </w:r>
          </w:p>
          <w:p w14:paraId="108B4269">
            <w:pPr>
              <w:spacing w:line="360" w:lineRule="auto"/>
              <w:jc w:val="center"/>
              <w:rPr>
                <w:rFonts w:eastAsia="楷体_GB2312"/>
                <w:sz w:val="18"/>
                <w:lang w:eastAsia="zh-CN"/>
              </w:rPr>
            </w:pPr>
          </w:p>
        </w:tc>
      </w:tr>
      <w:tr w14:paraId="240F20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tcPr>
          <w:p w14:paraId="37DB8C3F">
            <w:pPr>
              <w:spacing w:line="360" w:lineRule="auto"/>
              <w:rPr>
                <w:rFonts w:eastAsia="楷体_GB2312"/>
                <w:sz w:val="18"/>
                <w:lang w:eastAsia="zh-CN"/>
              </w:rPr>
            </w:pPr>
            <w:r>
              <w:rPr>
                <w:rFonts w:eastAsia="楷体_GB2312"/>
                <w:sz w:val="18"/>
                <w:lang w:eastAsia="zh-CN"/>
              </w:rPr>
              <w:t>十一、本期发生/未发生损害信托财产、委托人或者受益人利益等事项，（如发生）受托人采取的应对措施和解决情况如下：【】</w:t>
            </w:r>
          </w:p>
          <w:p w14:paraId="7CA0133E">
            <w:pPr>
              <w:spacing w:line="360" w:lineRule="auto"/>
              <w:rPr>
                <w:rFonts w:eastAsia="楷体_GB2312"/>
                <w:sz w:val="18"/>
                <w:lang w:eastAsia="zh-CN"/>
              </w:rPr>
            </w:pPr>
          </w:p>
        </w:tc>
      </w:tr>
      <w:tr w14:paraId="141ADA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tcPr>
          <w:p w14:paraId="736CBB7D">
            <w:pPr>
              <w:spacing w:line="360" w:lineRule="auto"/>
              <w:rPr>
                <w:rFonts w:eastAsia="楷体_GB2312"/>
                <w:sz w:val="18"/>
                <w:lang w:eastAsia="zh-CN"/>
              </w:rPr>
            </w:pPr>
            <w:r>
              <w:rPr>
                <w:rFonts w:eastAsia="楷体_GB2312"/>
                <w:sz w:val="18"/>
                <w:lang w:eastAsia="zh-CN"/>
              </w:rPr>
              <w:t>十二、本期受托人如期正常地收到服务机构报告及资金保管报告。</w:t>
            </w:r>
          </w:p>
          <w:p w14:paraId="2D619842">
            <w:pPr>
              <w:spacing w:line="360" w:lineRule="auto"/>
              <w:jc w:val="center"/>
              <w:rPr>
                <w:rFonts w:eastAsia="楷体_GB2312"/>
                <w:sz w:val="18"/>
                <w:lang w:eastAsia="zh-CN"/>
              </w:rPr>
            </w:pPr>
          </w:p>
        </w:tc>
      </w:tr>
      <w:tr w14:paraId="7A7DE1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tcPr>
          <w:p w14:paraId="653ED3AC">
            <w:pPr>
              <w:spacing w:line="360" w:lineRule="auto"/>
              <w:rPr>
                <w:rFonts w:eastAsia="楷体_GB2312"/>
                <w:sz w:val="18"/>
                <w:lang w:eastAsia="zh-CN"/>
              </w:rPr>
            </w:pPr>
            <w:r>
              <w:rPr>
                <w:rFonts w:eastAsia="楷体_GB2312"/>
                <w:sz w:val="18"/>
                <w:lang w:eastAsia="zh-CN"/>
              </w:rPr>
              <w:t>十三、（如发生）由于本期月度服务机构报告和资金保管报告金额的差异造成本期受托机构报告中某些金额不符，受托机构正在督促以上两方进行核对、更正。（如发生）上期报告中差异更正如下：【】</w:t>
            </w:r>
          </w:p>
          <w:p w14:paraId="364B4AC5">
            <w:pPr>
              <w:spacing w:line="360" w:lineRule="auto"/>
              <w:rPr>
                <w:rFonts w:eastAsia="楷体_GB2312"/>
                <w:sz w:val="18"/>
                <w:lang w:eastAsia="zh-CN"/>
              </w:rPr>
            </w:pPr>
          </w:p>
          <w:p w14:paraId="018046E1">
            <w:pPr>
              <w:spacing w:line="360" w:lineRule="auto"/>
              <w:rPr>
                <w:rFonts w:eastAsia="楷体_GB2312"/>
                <w:sz w:val="18"/>
                <w:lang w:eastAsia="zh-CN"/>
              </w:rPr>
            </w:pPr>
            <w:r>
              <w:rPr>
                <w:rFonts w:eastAsia="楷体_GB2312"/>
                <w:sz w:val="18"/>
                <w:lang w:eastAsia="zh-CN"/>
              </w:rPr>
              <w:t>十四、备查文件：1.服务机构报告；2.资金保管报告。</w:t>
            </w:r>
          </w:p>
          <w:p w14:paraId="312BDB03">
            <w:pPr>
              <w:spacing w:line="360" w:lineRule="auto"/>
              <w:rPr>
                <w:rFonts w:eastAsia="楷体_GB2312"/>
                <w:sz w:val="18"/>
                <w:lang w:eastAsia="zh-CN"/>
              </w:rPr>
            </w:pPr>
          </w:p>
        </w:tc>
      </w:tr>
    </w:tbl>
    <w:p w14:paraId="4A42ACEF">
      <w:pPr>
        <w:spacing w:line="360" w:lineRule="auto"/>
        <w:rPr>
          <w:rFonts w:eastAsia="楷体_GB2312"/>
          <w:lang w:eastAsia="zh-CN"/>
        </w:rPr>
      </w:pPr>
    </w:p>
    <w:p w14:paraId="7AF132CC">
      <w:pPr>
        <w:spacing w:line="360" w:lineRule="auto"/>
        <w:rPr>
          <w:rFonts w:eastAsia="楷体_GB2312"/>
          <w:lang w:eastAsia="zh-CN"/>
        </w:rPr>
      </w:pPr>
    </w:p>
    <w:p w14:paraId="1236C47B">
      <w:pPr>
        <w:spacing w:line="360" w:lineRule="auto"/>
        <w:rPr>
          <w:rFonts w:eastAsia="楷体_GB2312"/>
          <w:lang w:eastAsia="zh-CN"/>
        </w:rPr>
      </w:pPr>
      <w:r>
        <w:rPr>
          <w:rFonts w:eastAsia="楷体_GB2312"/>
          <w:lang w:eastAsia="zh-CN"/>
        </w:rPr>
        <w:br w:type="page"/>
      </w:r>
    </w:p>
    <w:tbl>
      <w:tblPr>
        <w:tblStyle w:val="31"/>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11"/>
        <w:gridCol w:w="1311"/>
        <w:gridCol w:w="1312"/>
        <w:gridCol w:w="1311"/>
        <w:gridCol w:w="1311"/>
        <w:gridCol w:w="1312"/>
      </w:tblGrid>
      <w:tr w14:paraId="69923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gridSpan w:val="7"/>
          </w:tcPr>
          <w:p w14:paraId="5A1C6CA3">
            <w:pPr>
              <w:spacing w:line="360" w:lineRule="auto"/>
              <w:rPr>
                <w:rFonts w:eastAsia="楷体_GB2312"/>
                <w:lang w:eastAsia="zh-CN"/>
              </w:rPr>
            </w:pPr>
            <w:r>
              <w:rPr>
                <w:rFonts w:eastAsia="楷体_GB2312"/>
                <w:lang w:eastAsia="zh-CN"/>
              </w:rPr>
              <w:t>指标释义：</w:t>
            </w:r>
          </w:p>
          <w:p w14:paraId="0F808DC6">
            <w:pPr>
              <w:spacing w:line="360" w:lineRule="auto"/>
              <w:jc w:val="both"/>
              <w:rPr>
                <w:rFonts w:eastAsia="楷体_GB2312"/>
                <w:sz w:val="18"/>
                <w:lang w:eastAsia="zh-CN"/>
              </w:rPr>
            </w:pPr>
            <w:r>
              <w:rPr>
                <w:rFonts w:eastAsia="楷体_GB2312"/>
                <w:sz w:val="18"/>
                <w:lang w:eastAsia="zh-CN"/>
              </w:rPr>
              <w:t>1：累计违约率：就某一“收款期间”而言，该“收款期间”的“累计违约率”系指A/B所得的百分比，其中，A为该“收款期间”以及之前各“收款期间”内的所有“违约贷款”在成为“违约贷款”时的“未偿本金余额”之和，B分情况确定：若该“收款期间”在“持续购买期”内，B为“初始起算日资产池余额”及截至该“收款期间”期末“受托人”累计持续购买的新增“基础资产”在各自相应的“持续购买基准日”</w:t>
            </w:r>
            <w:r>
              <w:rPr>
                <w:rFonts w:eastAsia="楷体_GB2312"/>
                <w:i/>
                <w:iCs/>
                <w:sz w:val="18"/>
                <w:lang w:eastAsia="zh-CN"/>
              </w:rPr>
              <w:t>【具体时点】</w:t>
            </w:r>
            <w:r>
              <w:rPr>
                <w:rFonts w:eastAsia="楷体_GB2312"/>
                <w:sz w:val="18"/>
                <w:lang w:eastAsia="zh-CN"/>
              </w:rPr>
              <w:t>的“未偿本金余额”之和；若该“收款期间”已进入“摊还期”，B为“初始起算日资产池余额”及“持续购买期”结束时“受托人”累计持续购买的新增“基础资产”在各自相应的“持续购买基准日”</w:t>
            </w:r>
            <w:r>
              <w:rPr>
                <w:rFonts w:eastAsia="楷体_GB2312"/>
                <w:i/>
                <w:iCs/>
                <w:sz w:val="18"/>
                <w:lang w:eastAsia="zh-CN"/>
              </w:rPr>
              <w:t>【具体时点】</w:t>
            </w:r>
            <w:r>
              <w:rPr>
                <w:rFonts w:eastAsia="楷体_GB2312"/>
                <w:sz w:val="18"/>
                <w:lang w:eastAsia="zh-CN"/>
              </w:rPr>
              <w:t>的“未偿本金余额”之和。</w:t>
            </w:r>
          </w:p>
          <w:p w14:paraId="51CB8F43">
            <w:pPr>
              <w:spacing w:line="360" w:lineRule="auto"/>
              <w:jc w:val="both"/>
              <w:rPr>
                <w:rFonts w:eastAsia="楷体_GB2312"/>
                <w:sz w:val="18"/>
                <w:lang w:eastAsia="zh-CN"/>
              </w:rPr>
            </w:pPr>
            <w:r>
              <w:rPr>
                <w:rFonts w:eastAsia="楷体_GB2312"/>
                <w:sz w:val="18"/>
                <w:lang w:eastAsia="zh-CN"/>
              </w:rPr>
              <w:t>2：严重拖欠率=就某一“收款期间”而言，系指A/(B-C)。其中，A为本收款期间之最后一日日终时所有严重拖欠个人汽车贷款的未偿本金余额之和，B为“初始起算日资产池余额”+累计持续购买的新增“基础资产”在其对应的“持续购买基准日”的“未偿本金余额”之和，C为从初始起算日至该收款期开始前所有已从资产池内回收的“本金回收款”之和。</w:t>
            </w:r>
          </w:p>
          <w:p w14:paraId="0943EF3C">
            <w:pPr>
              <w:spacing w:line="360" w:lineRule="auto"/>
              <w:jc w:val="both"/>
              <w:rPr>
                <w:rFonts w:eastAsia="楷体_GB2312"/>
                <w:sz w:val="18"/>
                <w:lang w:eastAsia="zh-CN"/>
              </w:rPr>
            </w:pPr>
            <w:r>
              <w:rPr>
                <w:rFonts w:eastAsia="楷体_GB2312"/>
                <w:sz w:val="18"/>
                <w:lang w:eastAsia="zh-CN"/>
              </w:rPr>
              <w:t>3：执行费用扣款：为本期“贷款服务机构”从“违约贷款”的回收金额中实际扣除的其以往已经为全部“违约贷款”垫付的所有“执行费用”。</w:t>
            </w:r>
          </w:p>
          <w:p w14:paraId="0E3D87DF">
            <w:pPr>
              <w:spacing w:line="360" w:lineRule="auto"/>
              <w:rPr>
                <w:rFonts w:eastAsia="楷体_GB2312"/>
                <w:sz w:val="18"/>
                <w:lang w:eastAsia="zh-CN"/>
              </w:rPr>
            </w:pPr>
            <w:r>
              <w:rPr>
                <w:rFonts w:eastAsia="楷体_GB2312"/>
                <w:sz w:val="18"/>
                <w:lang w:eastAsia="zh-CN"/>
              </w:rPr>
              <w:t>4：累计违约率监控指标</w:t>
            </w:r>
            <w:r>
              <w:rPr>
                <w:rFonts w:eastAsia="楷体_GB2312"/>
                <w:sz w:val="18"/>
                <w:lang w:eastAsia="zh-CN"/>
              </w:rPr>
              <w:tab/>
            </w:r>
            <w:r>
              <w:rPr>
                <w:rFonts w:eastAsia="楷体_GB2312"/>
                <w:sz w:val="18"/>
                <w:lang w:eastAsia="zh-CN"/>
              </w:rPr>
              <w:t>[  %]</w:t>
            </w:r>
          </w:p>
        </w:tc>
      </w:tr>
      <w:tr w14:paraId="5048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48" w:type="dxa"/>
          </w:tcPr>
          <w:p w14:paraId="2A36F097">
            <w:pPr>
              <w:spacing w:line="360" w:lineRule="auto"/>
              <w:rPr>
                <w:rFonts w:eastAsia="楷体_GB2312"/>
                <w:sz w:val="18"/>
                <w:lang w:eastAsia="zh-CN"/>
              </w:rPr>
            </w:pPr>
          </w:p>
        </w:tc>
        <w:tc>
          <w:tcPr>
            <w:tcW w:w="1311" w:type="dxa"/>
          </w:tcPr>
          <w:p w14:paraId="18B88AB4">
            <w:pPr>
              <w:spacing w:line="360" w:lineRule="auto"/>
              <w:rPr>
                <w:rFonts w:eastAsia="楷体_GB2312"/>
                <w:sz w:val="18"/>
              </w:rPr>
            </w:pPr>
            <w:r>
              <w:rPr>
                <w:rFonts w:eastAsia="楷体_GB2312"/>
                <w:sz w:val="18"/>
              </w:rPr>
              <w:t>20【】年【】月-20年【】月</w:t>
            </w:r>
          </w:p>
        </w:tc>
        <w:tc>
          <w:tcPr>
            <w:tcW w:w="1311" w:type="dxa"/>
          </w:tcPr>
          <w:p w14:paraId="7AADD78E">
            <w:pPr>
              <w:spacing w:line="360" w:lineRule="auto"/>
              <w:rPr>
                <w:rFonts w:eastAsia="楷体_GB2312"/>
                <w:sz w:val="18"/>
              </w:rPr>
            </w:pPr>
            <w:r>
              <w:rPr>
                <w:rFonts w:eastAsia="楷体_GB2312"/>
                <w:sz w:val="18"/>
              </w:rPr>
              <w:t>20【】年月-20【】年【】月</w:t>
            </w:r>
          </w:p>
        </w:tc>
        <w:tc>
          <w:tcPr>
            <w:tcW w:w="1312" w:type="dxa"/>
          </w:tcPr>
          <w:p w14:paraId="7A335D51">
            <w:pPr>
              <w:spacing w:line="360" w:lineRule="auto"/>
              <w:rPr>
                <w:rFonts w:eastAsia="楷体_GB2312"/>
                <w:sz w:val="18"/>
              </w:rPr>
            </w:pPr>
            <w:r>
              <w:rPr>
                <w:rFonts w:eastAsia="楷体_GB2312"/>
                <w:sz w:val="18"/>
              </w:rPr>
              <w:t>20【】年【】月-20【】年【】月</w:t>
            </w:r>
          </w:p>
        </w:tc>
        <w:tc>
          <w:tcPr>
            <w:tcW w:w="1311" w:type="dxa"/>
          </w:tcPr>
          <w:p w14:paraId="1F8FDAA6">
            <w:pPr>
              <w:spacing w:line="360" w:lineRule="auto"/>
              <w:rPr>
                <w:rFonts w:eastAsia="楷体_GB2312"/>
                <w:sz w:val="18"/>
              </w:rPr>
            </w:pPr>
            <w:r>
              <w:rPr>
                <w:rFonts w:eastAsia="楷体_GB2312"/>
                <w:sz w:val="18"/>
              </w:rPr>
              <w:t>20【】年【】月-20【】年【】月</w:t>
            </w:r>
          </w:p>
        </w:tc>
        <w:tc>
          <w:tcPr>
            <w:tcW w:w="1311" w:type="dxa"/>
          </w:tcPr>
          <w:p w14:paraId="6CC3CD45">
            <w:pPr>
              <w:spacing w:line="360" w:lineRule="auto"/>
              <w:rPr>
                <w:rFonts w:eastAsia="楷体_GB2312"/>
                <w:sz w:val="18"/>
              </w:rPr>
            </w:pPr>
            <w:r>
              <w:rPr>
                <w:rFonts w:eastAsia="楷体_GB2312"/>
                <w:sz w:val="18"/>
              </w:rPr>
              <w:t>20【】年【】月-20【】年【】月</w:t>
            </w:r>
          </w:p>
        </w:tc>
        <w:tc>
          <w:tcPr>
            <w:tcW w:w="1312" w:type="dxa"/>
          </w:tcPr>
          <w:p w14:paraId="2EA6CE66">
            <w:pPr>
              <w:spacing w:line="360" w:lineRule="auto"/>
              <w:rPr>
                <w:rFonts w:eastAsia="楷体_GB2312"/>
                <w:sz w:val="18"/>
              </w:rPr>
            </w:pPr>
            <w:r>
              <w:rPr>
                <w:rFonts w:eastAsia="楷体_GB2312"/>
                <w:sz w:val="18"/>
              </w:rPr>
              <w:t>20【】年【】月及以后</w:t>
            </w:r>
          </w:p>
        </w:tc>
      </w:tr>
      <w:tr w14:paraId="2DD68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48" w:type="dxa"/>
          </w:tcPr>
          <w:p w14:paraId="16316C87">
            <w:pPr>
              <w:spacing w:line="360" w:lineRule="auto"/>
              <w:rPr>
                <w:rFonts w:eastAsia="楷体_GB2312"/>
                <w:sz w:val="18"/>
              </w:rPr>
            </w:pPr>
          </w:p>
        </w:tc>
        <w:tc>
          <w:tcPr>
            <w:tcW w:w="1311" w:type="dxa"/>
          </w:tcPr>
          <w:p w14:paraId="011D33AA">
            <w:pPr>
              <w:spacing w:line="360" w:lineRule="auto"/>
              <w:rPr>
                <w:rFonts w:eastAsia="楷体_GB2312"/>
                <w:sz w:val="18"/>
              </w:rPr>
            </w:pPr>
            <w:r>
              <w:rPr>
                <w:rFonts w:eastAsia="楷体_GB2312"/>
                <w:sz w:val="18"/>
              </w:rPr>
              <w:t>【】%</w:t>
            </w:r>
          </w:p>
        </w:tc>
        <w:tc>
          <w:tcPr>
            <w:tcW w:w="1311" w:type="dxa"/>
          </w:tcPr>
          <w:p w14:paraId="5853B236">
            <w:pPr>
              <w:spacing w:line="360" w:lineRule="auto"/>
              <w:rPr>
                <w:rFonts w:eastAsia="楷体_GB2312"/>
                <w:sz w:val="18"/>
              </w:rPr>
            </w:pPr>
            <w:r>
              <w:rPr>
                <w:rFonts w:eastAsia="楷体_GB2312"/>
                <w:sz w:val="18"/>
              </w:rPr>
              <w:t>【】%</w:t>
            </w:r>
            <w:r>
              <w:rPr>
                <w:rFonts w:eastAsia="楷体_GB2312"/>
                <w:sz w:val="18"/>
              </w:rPr>
              <w:tab/>
            </w:r>
          </w:p>
        </w:tc>
        <w:tc>
          <w:tcPr>
            <w:tcW w:w="1312" w:type="dxa"/>
          </w:tcPr>
          <w:p w14:paraId="1DE896F7">
            <w:pPr>
              <w:spacing w:line="360" w:lineRule="auto"/>
              <w:rPr>
                <w:rFonts w:eastAsia="楷体_GB2312"/>
                <w:sz w:val="18"/>
              </w:rPr>
            </w:pPr>
            <w:r>
              <w:rPr>
                <w:rFonts w:eastAsia="楷体_GB2312"/>
                <w:sz w:val="18"/>
              </w:rPr>
              <w:t>【】%</w:t>
            </w:r>
          </w:p>
        </w:tc>
        <w:tc>
          <w:tcPr>
            <w:tcW w:w="1311" w:type="dxa"/>
          </w:tcPr>
          <w:p w14:paraId="7EF43C65">
            <w:pPr>
              <w:spacing w:line="360" w:lineRule="auto"/>
              <w:rPr>
                <w:rFonts w:eastAsia="楷体_GB2312"/>
                <w:sz w:val="18"/>
              </w:rPr>
            </w:pPr>
            <w:r>
              <w:rPr>
                <w:rFonts w:eastAsia="楷体_GB2312"/>
                <w:sz w:val="18"/>
              </w:rPr>
              <w:t>【】%</w:t>
            </w:r>
          </w:p>
        </w:tc>
        <w:tc>
          <w:tcPr>
            <w:tcW w:w="1311" w:type="dxa"/>
          </w:tcPr>
          <w:p w14:paraId="7ABDF782">
            <w:pPr>
              <w:spacing w:line="360" w:lineRule="auto"/>
              <w:rPr>
                <w:rFonts w:eastAsia="楷体_GB2312"/>
                <w:sz w:val="18"/>
              </w:rPr>
            </w:pPr>
            <w:r>
              <w:rPr>
                <w:rFonts w:eastAsia="楷体_GB2312"/>
                <w:sz w:val="18"/>
              </w:rPr>
              <w:t>【】%</w:t>
            </w:r>
          </w:p>
        </w:tc>
        <w:tc>
          <w:tcPr>
            <w:tcW w:w="1312" w:type="dxa"/>
          </w:tcPr>
          <w:p w14:paraId="64CD2A24">
            <w:pPr>
              <w:spacing w:line="360" w:lineRule="auto"/>
              <w:rPr>
                <w:rFonts w:eastAsia="楷体_GB2312"/>
                <w:sz w:val="18"/>
              </w:rPr>
            </w:pPr>
            <w:r>
              <w:rPr>
                <w:rFonts w:eastAsia="楷体_GB2312"/>
                <w:sz w:val="18"/>
              </w:rPr>
              <w:t>【】%</w:t>
            </w:r>
          </w:p>
        </w:tc>
      </w:tr>
      <w:tr w14:paraId="75321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gridSpan w:val="7"/>
          </w:tcPr>
          <w:p w14:paraId="191C890C">
            <w:pPr>
              <w:spacing w:line="360" w:lineRule="auto"/>
              <w:rPr>
                <w:rFonts w:eastAsia="楷体_GB2312"/>
                <w:sz w:val="18"/>
                <w:lang w:eastAsia="zh-CN"/>
              </w:rPr>
            </w:pPr>
            <w:r>
              <w:rPr>
                <w:rFonts w:eastAsia="楷体_GB2312"/>
                <w:sz w:val="18"/>
                <w:lang w:eastAsia="zh-CN"/>
              </w:rPr>
              <w:t>5：严重拖欠率监控指标</w:t>
            </w:r>
            <w:r>
              <w:rPr>
                <w:rFonts w:eastAsia="楷体_GB2312"/>
                <w:sz w:val="18"/>
                <w:lang w:eastAsia="zh-CN"/>
              </w:rPr>
              <w:tab/>
            </w:r>
            <w:r>
              <w:rPr>
                <w:rFonts w:eastAsia="楷体_GB2312"/>
                <w:sz w:val="18"/>
                <w:lang w:eastAsia="zh-CN"/>
              </w:rPr>
              <w:t>[  %]</w:t>
            </w:r>
            <w:r>
              <w:rPr>
                <w:rFonts w:eastAsia="楷体_GB2312"/>
                <w:sz w:val="18"/>
                <w:lang w:eastAsia="zh-CN"/>
              </w:rPr>
              <w:tab/>
            </w:r>
            <w:r>
              <w:rPr>
                <w:rFonts w:eastAsia="楷体_GB2312"/>
                <w:sz w:val="18"/>
                <w:lang w:eastAsia="zh-CN"/>
              </w:rPr>
              <w:tab/>
            </w:r>
            <w:r>
              <w:rPr>
                <w:rFonts w:eastAsia="楷体_GB2312"/>
                <w:sz w:val="18"/>
                <w:lang w:eastAsia="zh-CN"/>
              </w:rPr>
              <w:tab/>
            </w:r>
            <w:r>
              <w:rPr>
                <w:rFonts w:eastAsia="楷体_GB2312"/>
                <w:sz w:val="18"/>
                <w:lang w:eastAsia="zh-CN"/>
              </w:rPr>
              <w:tab/>
            </w:r>
            <w:r>
              <w:rPr>
                <w:rFonts w:eastAsia="楷体_GB2312"/>
                <w:sz w:val="18"/>
                <w:lang w:eastAsia="zh-CN"/>
              </w:rPr>
              <w:tab/>
            </w:r>
            <w:r>
              <w:rPr>
                <w:rFonts w:eastAsia="楷体_GB2312"/>
                <w:sz w:val="18"/>
                <w:lang w:eastAsia="zh-CN"/>
              </w:rPr>
              <w:tab/>
            </w:r>
            <w:r>
              <w:rPr>
                <w:rFonts w:eastAsia="楷体_GB2312"/>
                <w:sz w:val="18"/>
                <w:lang w:eastAsia="zh-CN"/>
              </w:rPr>
              <w:tab/>
            </w:r>
            <w:r>
              <w:rPr>
                <w:rFonts w:eastAsia="楷体_GB2312"/>
                <w:sz w:val="18"/>
                <w:lang w:eastAsia="zh-CN"/>
              </w:rPr>
              <w:tab/>
            </w:r>
          </w:p>
          <w:p w14:paraId="76C24462">
            <w:pPr>
              <w:spacing w:line="360" w:lineRule="auto"/>
              <w:rPr>
                <w:rFonts w:eastAsia="楷体_GB2312"/>
                <w:sz w:val="18"/>
                <w:lang w:eastAsia="zh-CN"/>
              </w:rPr>
            </w:pPr>
            <w:r>
              <w:rPr>
                <w:rFonts w:eastAsia="楷体_GB2312"/>
                <w:sz w:val="18"/>
                <w:lang w:eastAsia="zh-CN"/>
              </w:rPr>
              <w:t>6：经处置目前无拖欠：经过非诉讼类和诉讼类处置过程，借款人还清所欠款项，目前无拖欠。</w:t>
            </w:r>
          </w:p>
          <w:p w14:paraId="15C65831">
            <w:pPr>
              <w:spacing w:line="360" w:lineRule="auto"/>
              <w:rPr>
                <w:rFonts w:eastAsia="楷体_GB2312"/>
                <w:sz w:val="18"/>
                <w:lang w:eastAsia="zh-CN"/>
              </w:rPr>
            </w:pPr>
            <w:r>
              <w:rPr>
                <w:rFonts w:eastAsia="楷体_GB2312"/>
                <w:sz w:val="18"/>
                <w:lang w:eastAsia="zh-CN"/>
              </w:rPr>
              <w:t>7：非诉讼类处置：含催收、协议、仲裁等各种非诉讼方式。</w:t>
            </w:r>
          </w:p>
        </w:tc>
      </w:tr>
    </w:tbl>
    <w:p w14:paraId="1E57E291">
      <w:pPr>
        <w:spacing w:line="360" w:lineRule="auto"/>
        <w:rPr>
          <w:rFonts w:eastAsia="楷体_GB2312"/>
          <w:b/>
          <w:lang w:eastAsia="zh-CN"/>
        </w:rPr>
      </w:pPr>
    </w:p>
    <w:p w14:paraId="2C9B8F59">
      <w:pPr>
        <w:pStyle w:val="9"/>
        <w:spacing w:after="0" w:line="360" w:lineRule="auto"/>
        <w:ind w:firstLine="494"/>
        <w:rPr>
          <w:rFonts w:eastAsia="楷体_GB2312"/>
          <w:lang w:eastAsia="zh-CN"/>
        </w:rPr>
      </w:pPr>
      <w:r>
        <w:rPr>
          <w:rFonts w:eastAsia="楷体_GB2312"/>
          <w:lang w:eastAsia="zh-CN"/>
        </w:rPr>
        <w:t>信托执行经理：【】</w:t>
      </w:r>
    </w:p>
    <w:p w14:paraId="66D7056C">
      <w:pPr>
        <w:pStyle w:val="9"/>
        <w:spacing w:after="0" w:line="360" w:lineRule="auto"/>
        <w:ind w:firstLine="494"/>
        <w:rPr>
          <w:rFonts w:eastAsia="楷体_GB2312"/>
          <w:lang w:eastAsia="zh-CN"/>
        </w:rPr>
      </w:pPr>
      <w:r>
        <w:rPr>
          <w:rFonts w:eastAsia="楷体_GB2312"/>
          <w:lang w:eastAsia="zh-CN"/>
        </w:rPr>
        <w:t>联系电话：【】</w:t>
      </w:r>
    </w:p>
    <w:p w14:paraId="61F7F3FF">
      <w:pPr>
        <w:pStyle w:val="9"/>
        <w:spacing w:after="0" w:line="360" w:lineRule="auto"/>
        <w:ind w:firstLine="494"/>
        <w:rPr>
          <w:rFonts w:eastAsia="楷体_GB2312"/>
          <w:lang w:eastAsia="zh-CN"/>
        </w:rPr>
      </w:pPr>
      <w:r>
        <w:rPr>
          <w:rFonts w:eastAsia="楷体_GB2312"/>
          <w:lang w:eastAsia="zh-CN"/>
        </w:rPr>
        <w:t>传真：【】</w:t>
      </w:r>
    </w:p>
    <w:p w14:paraId="00586FD5">
      <w:pPr>
        <w:pStyle w:val="9"/>
        <w:spacing w:after="0" w:line="360" w:lineRule="auto"/>
        <w:ind w:firstLine="494"/>
        <w:rPr>
          <w:rFonts w:eastAsia="楷体_GB2312"/>
          <w:lang w:eastAsia="zh-CN"/>
        </w:rPr>
      </w:pPr>
      <w:r>
        <w:rPr>
          <w:rFonts w:eastAsia="楷体_GB2312"/>
          <w:lang w:eastAsia="zh-CN"/>
        </w:rPr>
        <w:t>电子邮箱：【】</w:t>
      </w:r>
    </w:p>
    <w:p w14:paraId="5BC6EAF6">
      <w:pPr>
        <w:pStyle w:val="9"/>
        <w:spacing w:after="0" w:line="360" w:lineRule="auto"/>
        <w:ind w:firstLine="540"/>
        <w:rPr>
          <w:rFonts w:eastAsia="楷体_GB2312"/>
          <w:b/>
          <w:lang w:eastAsia="zh-CN"/>
        </w:rPr>
      </w:pPr>
    </w:p>
    <w:p w14:paraId="7930BC20">
      <w:pPr>
        <w:pStyle w:val="9"/>
        <w:spacing w:after="0" w:line="360" w:lineRule="auto"/>
        <w:ind w:firstLine="540"/>
        <w:jc w:val="right"/>
        <w:rPr>
          <w:rFonts w:eastAsia="楷体_GB2312"/>
          <w:lang w:eastAsia="zh-CN"/>
        </w:rPr>
      </w:pPr>
      <w:r>
        <w:rPr>
          <w:rFonts w:eastAsia="楷体_GB2312"/>
          <w:lang w:eastAsia="zh-CN"/>
        </w:rPr>
        <w:t>【受托机构全称】</w:t>
      </w:r>
    </w:p>
    <w:p w14:paraId="5DAE2144">
      <w:pPr>
        <w:jc w:val="right"/>
        <w:rPr>
          <w:rFonts w:eastAsia="楷体_GB2312"/>
          <w:lang w:eastAsia="zh-CN"/>
        </w:rPr>
      </w:pPr>
      <w:r>
        <w:rPr>
          <w:rFonts w:eastAsia="楷体_GB2312"/>
          <w:lang w:eastAsia="zh-CN"/>
        </w:rPr>
        <w:t>20【】年【】月【】日</w:t>
      </w:r>
    </w:p>
    <w:bookmarkEnd w:id="855"/>
    <w:p w14:paraId="7C3F2177">
      <w:pPr>
        <w:rPr>
          <w:rFonts w:eastAsia="楷体_GB2312"/>
          <w:lang w:eastAsia="zh-CN"/>
        </w:rPr>
      </w:pPr>
      <w:r>
        <w:rPr>
          <w:rFonts w:eastAsia="楷体_GB2312"/>
          <w:lang w:eastAsia="zh-CN"/>
        </w:rPr>
        <w:br w:type="page"/>
      </w:r>
    </w:p>
    <w:p w14:paraId="08C3BD8F">
      <w:pPr>
        <w:spacing w:line="360" w:lineRule="auto"/>
        <w:outlineLvl w:val="0"/>
        <w:rPr>
          <w:rFonts w:eastAsia="楷体_GB2312"/>
          <w:b/>
          <w:color w:val="000000"/>
        </w:rPr>
      </w:pPr>
      <w:bookmarkStart w:id="890" w:name="_Toc418802629"/>
      <w:bookmarkStart w:id="891" w:name="_Toc225538190"/>
      <w:bookmarkStart w:id="892" w:name="_Toc227955315"/>
      <w:bookmarkStart w:id="893" w:name="_Toc219710709"/>
      <w:bookmarkStart w:id="894" w:name="_Hlk227694203"/>
      <w:bookmarkStart w:id="895" w:name="_Toc221798016"/>
      <w:r>
        <w:rPr>
          <w:rFonts w:eastAsia="楷体_GB2312"/>
          <w:b/>
          <w:color w:val="000000"/>
        </w:rPr>
        <w:t>附件十：重大事件报告书</w:t>
      </w:r>
      <w:bookmarkEnd w:id="890"/>
      <w:r>
        <w:rPr>
          <w:rFonts w:eastAsia="楷体_GB2312"/>
          <w:b/>
          <w:color w:val="000000"/>
        </w:rPr>
        <w:t>参考格式</w:t>
      </w:r>
      <w:bookmarkEnd w:id="891"/>
      <w:bookmarkEnd w:id="892"/>
      <w:bookmarkEnd w:id="893"/>
    </w:p>
    <w:p w14:paraId="584BBD16">
      <w:pPr>
        <w:spacing w:line="360" w:lineRule="auto"/>
        <w:jc w:val="center"/>
        <w:rPr>
          <w:rFonts w:eastAsia="楷体_GB2312"/>
          <w:b/>
          <w:color w:val="000000"/>
          <w:sz w:val="32"/>
          <w:szCs w:val="32"/>
        </w:rPr>
      </w:pPr>
      <w:r>
        <w:rPr>
          <w:rFonts w:eastAsia="楷体_GB2312"/>
          <w:b/>
          <w:color w:val="000000"/>
          <w:sz w:val="32"/>
          <w:szCs w:val="32"/>
        </w:rPr>
        <w:t>信托名称</w:t>
      </w:r>
    </w:p>
    <w:p w14:paraId="6CA1E049">
      <w:pPr>
        <w:spacing w:line="360" w:lineRule="auto"/>
        <w:jc w:val="center"/>
        <w:rPr>
          <w:rFonts w:eastAsia="楷体_GB2312"/>
          <w:b/>
          <w:color w:val="000000"/>
          <w:sz w:val="44"/>
        </w:rPr>
      </w:pPr>
      <w:r>
        <w:rPr>
          <w:rFonts w:eastAsia="楷体_GB2312"/>
          <w:b/>
          <w:color w:val="000000"/>
          <w:sz w:val="32"/>
          <w:szCs w:val="32"/>
        </w:rPr>
        <w:t>重大事件报告书</w:t>
      </w:r>
    </w:p>
    <w:p w14:paraId="192654EC">
      <w:pPr>
        <w:spacing w:line="360" w:lineRule="auto"/>
        <w:jc w:val="center"/>
        <w:rPr>
          <w:rFonts w:eastAsia="楷体_GB2312"/>
          <w:b/>
          <w:color w:val="000000"/>
          <w:sz w:val="44"/>
        </w:rPr>
      </w:pPr>
    </w:p>
    <w:p w14:paraId="6E9493B6">
      <w:pPr>
        <w:spacing w:line="360" w:lineRule="auto"/>
        <w:rPr>
          <w:rFonts w:eastAsia="楷体_GB2312"/>
          <w:b/>
          <w:color w:val="000000"/>
        </w:rPr>
      </w:pPr>
    </w:p>
    <w:tbl>
      <w:tblPr>
        <w:tblStyle w:val="31"/>
        <w:tblW w:w="0" w:type="dxa"/>
        <w:jc w:val="center"/>
        <w:tblLayout w:type="fixed"/>
        <w:tblCellMar>
          <w:top w:w="0" w:type="dxa"/>
          <w:left w:w="0" w:type="dxa"/>
          <w:bottom w:w="0" w:type="dxa"/>
          <w:right w:w="0" w:type="dxa"/>
        </w:tblCellMar>
      </w:tblPr>
      <w:tblGrid>
        <w:gridCol w:w="6360"/>
      </w:tblGrid>
      <w:tr w14:paraId="5537D157">
        <w:trPr>
          <w:trHeight w:val="1508" w:hRule="atLeast"/>
          <w:jc w:val="center"/>
        </w:trPr>
        <w:tc>
          <w:tcPr>
            <w:tcW w:w="6360" w:type="dxa"/>
            <w:tcBorders>
              <w:top w:val="single" w:color="auto" w:sz="8" w:space="0"/>
              <w:left w:val="single" w:color="auto" w:sz="8" w:space="0"/>
              <w:bottom w:val="single" w:color="auto" w:sz="8" w:space="0"/>
              <w:right w:val="single" w:color="auto" w:sz="8" w:space="0"/>
            </w:tcBorders>
          </w:tcPr>
          <w:p w14:paraId="54F38CE0">
            <w:pPr>
              <w:spacing w:line="360" w:lineRule="auto"/>
              <w:jc w:val="center"/>
              <w:rPr>
                <w:rFonts w:eastAsia="楷体_GB2312"/>
                <w:b/>
                <w:color w:val="000000"/>
                <w:sz w:val="21"/>
                <w:szCs w:val="21"/>
              </w:rPr>
            </w:pPr>
            <w:r>
              <w:rPr>
                <w:rFonts w:eastAsia="楷体_GB2312"/>
                <w:b/>
                <w:color w:val="000000"/>
                <w:sz w:val="21"/>
                <w:szCs w:val="21"/>
              </w:rPr>
              <w:t>受托人声明</w:t>
            </w:r>
          </w:p>
          <w:p w14:paraId="1E704C9C">
            <w:pPr>
              <w:spacing w:line="360" w:lineRule="auto"/>
              <w:ind w:firstLine="422" w:firstLineChars="200"/>
              <w:rPr>
                <w:rFonts w:eastAsia="楷体_GB2312"/>
                <w:b/>
                <w:color w:val="000000"/>
                <w:sz w:val="21"/>
                <w:szCs w:val="21"/>
              </w:rPr>
            </w:pPr>
            <w:r>
              <w:rPr>
                <w:rFonts w:eastAsia="楷体_GB2312"/>
                <w:b/>
                <w:color w:val="000000"/>
                <w:sz w:val="21"/>
                <w:szCs w:val="21"/>
              </w:rPr>
              <w:t>受托人管理信托财产应恪尽职守，履行诚实、信用、谨慎、有效管理义务。依据信托合同约定管理信托财产所产生的风险，由信托财产承担，即由委托人交付的财产以及由受托人对该财产运用后形成的财产承担；受托人违背信托合同、处理信托事务不当使信托财产受到损失，由受托人赔偿。</w:t>
            </w:r>
          </w:p>
        </w:tc>
      </w:tr>
    </w:tbl>
    <w:p w14:paraId="5966DA2F">
      <w:pPr>
        <w:spacing w:line="360" w:lineRule="auto"/>
        <w:jc w:val="center"/>
        <w:rPr>
          <w:rFonts w:eastAsia="楷体_GB2312"/>
          <w:b/>
          <w:color w:val="000000"/>
          <w:sz w:val="21"/>
          <w:szCs w:val="21"/>
        </w:rPr>
      </w:pPr>
    </w:p>
    <w:tbl>
      <w:tblPr>
        <w:tblStyle w:val="31"/>
        <w:tblW w:w="0" w:type="dxa"/>
        <w:jc w:val="center"/>
        <w:tblLayout w:type="fixed"/>
        <w:tblCellMar>
          <w:top w:w="0" w:type="dxa"/>
          <w:left w:w="0" w:type="dxa"/>
          <w:bottom w:w="0" w:type="dxa"/>
          <w:right w:w="0" w:type="dxa"/>
        </w:tblCellMar>
      </w:tblPr>
      <w:tblGrid>
        <w:gridCol w:w="1680"/>
        <w:gridCol w:w="5670"/>
      </w:tblGrid>
      <w:tr w14:paraId="3ABF1830">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59CD2646">
            <w:pPr>
              <w:spacing w:line="360" w:lineRule="auto"/>
              <w:jc w:val="right"/>
              <w:rPr>
                <w:rFonts w:eastAsia="楷体_GB2312"/>
                <w:b/>
                <w:color w:val="000000"/>
                <w:sz w:val="21"/>
                <w:szCs w:val="21"/>
              </w:rPr>
            </w:pPr>
            <w:r>
              <w:rPr>
                <w:rFonts w:eastAsia="楷体_GB2312"/>
                <w:b/>
                <w:color w:val="000000"/>
                <w:sz w:val="21"/>
                <w:szCs w:val="21"/>
              </w:rPr>
              <w:t>受托人：</w:t>
            </w:r>
          </w:p>
        </w:tc>
        <w:tc>
          <w:tcPr>
            <w:tcW w:w="5670" w:type="dxa"/>
            <w:tcBorders>
              <w:top w:val="nil"/>
              <w:left w:val="nil"/>
              <w:bottom w:val="nil"/>
              <w:right w:val="nil"/>
            </w:tcBorders>
            <w:vAlign w:val="bottom"/>
          </w:tcPr>
          <w:p w14:paraId="2E42262B">
            <w:pPr>
              <w:spacing w:line="360" w:lineRule="auto"/>
              <w:rPr>
                <w:rFonts w:eastAsia="楷体_GB2312"/>
                <w:b/>
                <w:color w:val="000000"/>
                <w:sz w:val="21"/>
                <w:szCs w:val="21"/>
              </w:rPr>
            </w:pPr>
            <w:r>
              <w:rPr>
                <w:rFonts w:eastAsia="楷体_GB2312"/>
                <w:b/>
                <w:color w:val="000000"/>
                <w:sz w:val="21"/>
                <w:szCs w:val="21"/>
              </w:rPr>
              <w:t>【受托机构全称】</w:t>
            </w:r>
          </w:p>
        </w:tc>
      </w:tr>
      <w:tr w14:paraId="13FD9776">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500FB7BD">
            <w:pPr>
              <w:spacing w:line="360" w:lineRule="auto"/>
              <w:jc w:val="right"/>
              <w:rPr>
                <w:rFonts w:eastAsia="楷体_GB2312"/>
                <w:b/>
                <w:color w:val="000000"/>
                <w:sz w:val="21"/>
                <w:szCs w:val="21"/>
              </w:rPr>
            </w:pPr>
            <w:r>
              <w:rPr>
                <w:rFonts w:eastAsia="楷体_GB2312"/>
                <w:b/>
                <w:color w:val="000000"/>
                <w:sz w:val="21"/>
                <w:szCs w:val="21"/>
              </w:rPr>
              <w:t>报告日期：</w:t>
            </w:r>
          </w:p>
        </w:tc>
        <w:tc>
          <w:tcPr>
            <w:tcW w:w="5670" w:type="dxa"/>
            <w:tcBorders>
              <w:top w:val="nil"/>
              <w:left w:val="nil"/>
              <w:bottom w:val="nil"/>
              <w:right w:val="nil"/>
            </w:tcBorders>
            <w:vAlign w:val="bottom"/>
          </w:tcPr>
          <w:p w14:paraId="0608A063">
            <w:pPr>
              <w:spacing w:line="360" w:lineRule="auto"/>
              <w:rPr>
                <w:rFonts w:eastAsia="楷体_GB2312"/>
                <w:b/>
                <w:color w:val="000000"/>
                <w:sz w:val="21"/>
                <w:szCs w:val="21"/>
              </w:rPr>
            </w:pPr>
            <w:r>
              <w:rPr>
                <w:rFonts w:eastAsia="楷体_GB2312"/>
                <w:b/>
                <w:color w:val="000000"/>
                <w:sz w:val="21"/>
                <w:szCs w:val="21"/>
              </w:rPr>
              <w:t>20XX年XX月XX日</w:t>
            </w:r>
          </w:p>
        </w:tc>
      </w:tr>
      <w:tr w14:paraId="4319A225">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02A844C4">
            <w:pPr>
              <w:spacing w:line="360" w:lineRule="auto"/>
              <w:jc w:val="right"/>
              <w:rPr>
                <w:rFonts w:eastAsia="楷体_GB2312"/>
                <w:b/>
                <w:color w:val="000000"/>
                <w:sz w:val="21"/>
                <w:szCs w:val="21"/>
              </w:rPr>
            </w:pPr>
          </w:p>
        </w:tc>
        <w:tc>
          <w:tcPr>
            <w:tcW w:w="5670" w:type="dxa"/>
            <w:tcBorders>
              <w:top w:val="nil"/>
              <w:left w:val="nil"/>
              <w:bottom w:val="nil"/>
              <w:right w:val="nil"/>
            </w:tcBorders>
            <w:vAlign w:val="bottom"/>
          </w:tcPr>
          <w:p w14:paraId="0C62BDD7">
            <w:pPr>
              <w:spacing w:line="360" w:lineRule="auto"/>
              <w:rPr>
                <w:rFonts w:eastAsia="楷体_GB2312"/>
                <w:b/>
                <w:color w:val="000000"/>
                <w:sz w:val="21"/>
                <w:szCs w:val="21"/>
              </w:rPr>
            </w:pPr>
          </w:p>
        </w:tc>
      </w:tr>
      <w:tr w14:paraId="1A2C5A76">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496E4963">
            <w:pPr>
              <w:spacing w:line="360" w:lineRule="auto"/>
              <w:jc w:val="right"/>
              <w:rPr>
                <w:rFonts w:eastAsia="楷体_GB2312"/>
                <w:b/>
                <w:color w:val="000000"/>
                <w:sz w:val="21"/>
                <w:szCs w:val="21"/>
              </w:rPr>
            </w:pPr>
          </w:p>
        </w:tc>
        <w:tc>
          <w:tcPr>
            <w:tcW w:w="5670" w:type="dxa"/>
            <w:tcBorders>
              <w:top w:val="nil"/>
              <w:left w:val="nil"/>
              <w:bottom w:val="nil"/>
              <w:right w:val="nil"/>
            </w:tcBorders>
            <w:vAlign w:val="bottom"/>
          </w:tcPr>
          <w:p w14:paraId="2702315C">
            <w:pPr>
              <w:spacing w:line="360" w:lineRule="auto"/>
              <w:rPr>
                <w:rFonts w:eastAsia="楷体_GB2312"/>
                <w:b/>
                <w:color w:val="000000"/>
                <w:sz w:val="21"/>
                <w:szCs w:val="21"/>
              </w:rPr>
            </w:pPr>
          </w:p>
        </w:tc>
      </w:tr>
      <w:tr w14:paraId="7C3999E6">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329711A6">
            <w:pPr>
              <w:spacing w:line="360" w:lineRule="auto"/>
              <w:jc w:val="right"/>
              <w:rPr>
                <w:rFonts w:eastAsia="楷体_GB2312"/>
                <w:b/>
                <w:color w:val="000000"/>
                <w:sz w:val="21"/>
                <w:szCs w:val="21"/>
              </w:rPr>
            </w:pPr>
            <w:r>
              <w:rPr>
                <w:rFonts w:eastAsia="楷体_GB2312"/>
                <w:b/>
                <w:color w:val="000000"/>
                <w:sz w:val="21"/>
                <w:szCs w:val="21"/>
              </w:rPr>
              <w:t>受托人地址：</w:t>
            </w:r>
          </w:p>
        </w:tc>
        <w:tc>
          <w:tcPr>
            <w:tcW w:w="5670" w:type="dxa"/>
            <w:tcBorders>
              <w:top w:val="nil"/>
              <w:left w:val="nil"/>
              <w:bottom w:val="nil"/>
              <w:right w:val="nil"/>
            </w:tcBorders>
            <w:vAlign w:val="bottom"/>
          </w:tcPr>
          <w:p w14:paraId="688CCA4B">
            <w:pPr>
              <w:spacing w:line="360" w:lineRule="auto"/>
              <w:rPr>
                <w:rFonts w:eastAsia="楷体_GB2312"/>
                <w:color w:val="000000"/>
                <w:sz w:val="21"/>
                <w:szCs w:val="21"/>
              </w:rPr>
            </w:pPr>
          </w:p>
        </w:tc>
      </w:tr>
      <w:tr w14:paraId="239901D8">
        <w:tblPrEx>
          <w:tblCellMar>
            <w:top w:w="0" w:type="dxa"/>
            <w:left w:w="0" w:type="dxa"/>
            <w:bottom w:w="0" w:type="dxa"/>
            <w:right w:w="0" w:type="dxa"/>
          </w:tblCellMar>
        </w:tblPrEx>
        <w:trPr>
          <w:trHeight w:val="531" w:hRule="atLeast"/>
          <w:jc w:val="center"/>
        </w:trPr>
        <w:tc>
          <w:tcPr>
            <w:tcW w:w="1680" w:type="dxa"/>
            <w:tcBorders>
              <w:top w:val="nil"/>
              <w:left w:val="nil"/>
              <w:bottom w:val="nil"/>
              <w:right w:val="nil"/>
            </w:tcBorders>
            <w:vAlign w:val="bottom"/>
          </w:tcPr>
          <w:p w14:paraId="48D21A05">
            <w:pPr>
              <w:spacing w:line="360" w:lineRule="auto"/>
              <w:jc w:val="right"/>
              <w:rPr>
                <w:rFonts w:eastAsia="楷体_GB2312"/>
                <w:b/>
                <w:color w:val="000000"/>
                <w:sz w:val="21"/>
                <w:szCs w:val="21"/>
              </w:rPr>
            </w:pPr>
            <w:r>
              <w:rPr>
                <w:rFonts w:eastAsia="楷体_GB2312"/>
                <w:b/>
                <w:color w:val="000000"/>
                <w:sz w:val="21"/>
                <w:szCs w:val="21"/>
              </w:rPr>
              <w:t>电话：</w:t>
            </w:r>
          </w:p>
        </w:tc>
        <w:tc>
          <w:tcPr>
            <w:tcW w:w="5670" w:type="dxa"/>
            <w:tcBorders>
              <w:top w:val="nil"/>
              <w:left w:val="nil"/>
              <w:bottom w:val="nil"/>
              <w:right w:val="nil"/>
            </w:tcBorders>
            <w:vAlign w:val="bottom"/>
          </w:tcPr>
          <w:p w14:paraId="3F3D0942">
            <w:pPr>
              <w:spacing w:line="360" w:lineRule="auto"/>
              <w:rPr>
                <w:rFonts w:eastAsia="楷体_GB2312"/>
                <w:b/>
                <w:color w:val="000000"/>
                <w:sz w:val="21"/>
                <w:szCs w:val="21"/>
              </w:rPr>
            </w:pPr>
          </w:p>
        </w:tc>
      </w:tr>
      <w:tr w14:paraId="05C07F0D">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3FE87F47">
            <w:pPr>
              <w:spacing w:line="360" w:lineRule="auto"/>
              <w:jc w:val="right"/>
              <w:rPr>
                <w:rFonts w:eastAsia="楷体_GB2312"/>
                <w:b/>
                <w:color w:val="000000"/>
                <w:sz w:val="21"/>
                <w:szCs w:val="21"/>
              </w:rPr>
            </w:pPr>
            <w:r>
              <w:rPr>
                <w:rFonts w:eastAsia="楷体_GB2312"/>
                <w:b/>
                <w:color w:val="000000"/>
                <w:sz w:val="21"/>
                <w:szCs w:val="21"/>
              </w:rPr>
              <w:t>传真：</w:t>
            </w:r>
          </w:p>
        </w:tc>
        <w:tc>
          <w:tcPr>
            <w:tcW w:w="5670" w:type="dxa"/>
            <w:tcBorders>
              <w:top w:val="nil"/>
              <w:left w:val="nil"/>
              <w:bottom w:val="nil"/>
              <w:right w:val="nil"/>
            </w:tcBorders>
            <w:vAlign w:val="bottom"/>
          </w:tcPr>
          <w:p w14:paraId="5567AF64">
            <w:pPr>
              <w:spacing w:line="360" w:lineRule="auto"/>
              <w:rPr>
                <w:rFonts w:eastAsia="楷体_GB2312"/>
                <w:b/>
                <w:color w:val="000000"/>
                <w:sz w:val="21"/>
                <w:szCs w:val="21"/>
              </w:rPr>
            </w:pPr>
          </w:p>
        </w:tc>
      </w:tr>
      <w:tr w14:paraId="3A955CA6">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44D6C288">
            <w:pPr>
              <w:spacing w:line="360" w:lineRule="auto"/>
              <w:jc w:val="right"/>
              <w:rPr>
                <w:rFonts w:eastAsia="楷体_GB2312"/>
                <w:b/>
                <w:color w:val="000000"/>
                <w:sz w:val="21"/>
                <w:szCs w:val="21"/>
              </w:rPr>
            </w:pPr>
            <w:r>
              <w:rPr>
                <w:rFonts w:eastAsia="楷体_GB2312"/>
                <w:b/>
                <w:color w:val="000000"/>
                <w:sz w:val="21"/>
                <w:szCs w:val="21"/>
              </w:rPr>
              <w:t>公司网址：</w:t>
            </w:r>
          </w:p>
        </w:tc>
        <w:tc>
          <w:tcPr>
            <w:tcW w:w="5670" w:type="dxa"/>
            <w:tcBorders>
              <w:top w:val="nil"/>
              <w:left w:val="nil"/>
              <w:bottom w:val="nil"/>
              <w:right w:val="nil"/>
            </w:tcBorders>
            <w:vAlign w:val="bottom"/>
          </w:tcPr>
          <w:p w14:paraId="7DF1A6B5">
            <w:pPr>
              <w:spacing w:line="360" w:lineRule="auto"/>
              <w:rPr>
                <w:rFonts w:eastAsia="楷体_GB2312"/>
                <w:b/>
                <w:color w:val="000000"/>
                <w:sz w:val="21"/>
                <w:szCs w:val="21"/>
              </w:rPr>
            </w:pPr>
          </w:p>
        </w:tc>
      </w:tr>
      <w:tr w14:paraId="5C126A8B">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0F101F8E">
            <w:pPr>
              <w:spacing w:line="360" w:lineRule="auto"/>
              <w:jc w:val="right"/>
              <w:rPr>
                <w:rFonts w:eastAsia="楷体_GB2312"/>
                <w:b/>
                <w:color w:val="000000"/>
                <w:sz w:val="21"/>
                <w:szCs w:val="21"/>
              </w:rPr>
            </w:pPr>
            <w:r>
              <w:rPr>
                <w:rFonts w:eastAsia="楷体_GB2312"/>
                <w:b/>
                <w:color w:val="000000"/>
                <w:sz w:val="21"/>
                <w:szCs w:val="21"/>
              </w:rPr>
              <w:t>电子邮件：</w:t>
            </w:r>
          </w:p>
        </w:tc>
        <w:tc>
          <w:tcPr>
            <w:tcW w:w="5670" w:type="dxa"/>
            <w:tcBorders>
              <w:top w:val="nil"/>
              <w:left w:val="nil"/>
              <w:bottom w:val="nil"/>
              <w:right w:val="nil"/>
            </w:tcBorders>
            <w:vAlign w:val="bottom"/>
          </w:tcPr>
          <w:p w14:paraId="7897367E">
            <w:pPr>
              <w:spacing w:line="360" w:lineRule="auto"/>
              <w:rPr>
                <w:rFonts w:eastAsia="楷体_GB2312"/>
                <w:b/>
                <w:color w:val="000000"/>
                <w:sz w:val="21"/>
                <w:szCs w:val="21"/>
              </w:rPr>
            </w:pPr>
          </w:p>
        </w:tc>
      </w:tr>
    </w:tbl>
    <w:p w14:paraId="498E508E">
      <w:pPr>
        <w:spacing w:line="360" w:lineRule="auto"/>
        <w:rPr>
          <w:rFonts w:eastAsia="楷体_GB2312"/>
          <w:color w:val="000000"/>
          <w:sz w:val="21"/>
          <w:szCs w:val="21"/>
        </w:rPr>
      </w:pPr>
    </w:p>
    <w:p w14:paraId="73B52D4D">
      <w:pPr>
        <w:rPr>
          <w:rFonts w:eastAsia="楷体_GB2312"/>
          <w:sz w:val="21"/>
          <w:szCs w:val="21"/>
        </w:rPr>
      </w:pPr>
      <w:r>
        <w:rPr>
          <w:rFonts w:eastAsia="楷体_GB2312"/>
          <w:sz w:val="21"/>
          <w:szCs w:val="21"/>
        </w:rPr>
        <w:br w:type="page"/>
      </w:r>
    </w:p>
    <w:tbl>
      <w:tblPr>
        <w:tblStyle w:val="31"/>
        <w:tblW w:w="879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972"/>
        <w:gridCol w:w="1134"/>
        <w:gridCol w:w="4689"/>
      </w:tblGrid>
      <w:tr w14:paraId="44C814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795" w:type="dxa"/>
            <w:gridSpan w:val="3"/>
            <w:tcBorders>
              <w:bottom w:val="single" w:color="auto" w:sz="4" w:space="0"/>
            </w:tcBorders>
          </w:tcPr>
          <w:p w14:paraId="0897DB63">
            <w:pPr>
              <w:spacing w:line="360" w:lineRule="auto"/>
              <w:jc w:val="center"/>
              <w:rPr>
                <w:rFonts w:eastAsia="楷体_GB2312"/>
                <w:b/>
                <w:color w:val="000000"/>
                <w:sz w:val="21"/>
                <w:szCs w:val="21"/>
              </w:rPr>
            </w:pPr>
            <w:r>
              <w:rPr>
                <w:rFonts w:eastAsia="楷体_GB2312"/>
                <w:b/>
                <w:color w:val="000000"/>
                <w:sz w:val="21"/>
                <w:szCs w:val="21"/>
              </w:rPr>
              <w:t>信托名称重大事件报告书</w:t>
            </w:r>
          </w:p>
        </w:tc>
      </w:tr>
      <w:tr w14:paraId="4F79FA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4AC8FF72">
            <w:pPr>
              <w:spacing w:line="360" w:lineRule="auto"/>
              <w:rPr>
                <w:rFonts w:eastAsia="楷体_GB2312"/>
                <w:b/>
                <w:color w:val="000000"/>
                <w:sz w:val="21"/>
                <w:szCs w:val="21"/>
              </w:rPr>
            </w:pPr>
            <w:r>
              <w:rPr>
                <w:rFonts w:eastAsia="楷体_GB2312"/>
                <w:b/>
                <w:color w:val="000000"/>
                <w:sz w:val="21"/>
                <w:szCs w:val="21"/>
              </w:rPr>
              <w:t>事项</w:t>
            </w:r>
          </w:p>
        </w:tc>
        <w:tc>
          <w:tcPr>
            <w:tcW w:w="1134" w:type="dxa"/>
            <w:tcBorders>
              <w:top w:val="single" w:color="auto" w:sz="4" w:space="0"/>
              <w:left w:val="single" w:color="auto" w:sz="4" w:space="0"/>
              <w:bottom w:val="single" w:color="auto" w:sz="4" w:space="0"/>
              <w:right w:val="single" w:color="auto" w:sz="4" w:space="0"/>
            </w:tcBorders>
          </w:tcPr>
          <w:p w14:paraId="1BFCA849">
            <w:pPr>
              <w:spacing w:line="360" w:lineRule="auto"/>
              <w:jc w:val="center"/>
              <w:rPr>
                <w:rFonts w:eastAsia="楷体_GB2312"/>
                <w:b/>
                <w:color w:val="000000"/>
                <w:sz w:val="21"/>
                <w:szCs w:val="21"/>
              </w:rPr>
            </w:pPr>
            <w:r>
              <w:rPr>
                <w:rFonts w:eastAsia="楷体_GB2312"/>
                <w:b/>
                <w:color w:val="000000"/>
                <w:sz w:val="21"/>
                <w:szCs w:val="21"/>
              </w:rPr>
              <w:t>是否发生</w:t>
            </w:r>
          </w:p>
        </w:tc>
        <w:tc>
          <w:tcPr>
            <w:tcW w:w="4689" w:type="dxa"/>
            <w:tcBorders>
              <w:top w:val="single" w:color="auto" w:sz="4" w:space="0"/>
              <w:left w:val="single" w:color="auto" w:sz="4" w:space="0"/>
              <w:bottom w:val="single" w:color="auto" w:sz="4" w:space="0"/>
            </w:tcBorders>
          </w:tcPr>
          <w:p w14:paraId="46D0B343">
            <w:pPr>
              <w:spacing w:line="360" w:lineRule="auto"/>
              <w:jc w:val="center"/>
              <w:rPr>
                <w:rFonts w:eastAsia="楷体_GB2312"/>
                <w:b/>
                <w:color w:val="000000"/>
                <w:sz w:val="21"/>
                <w:szCs w:val="21"/>
              </w:rPr>
            </w:pPr>
            <w:r>
              <w:rPr>
                <w:rFonts w:eastAsia="楷体_GB2312"/>
                <w:b/>
                <w:color w:val="000000"/>
                <w:sz w:val="21"/>
                <w:szCs w:val="21"/>
              </w:rPr>
              <w:t>备注</w:t>
            </w:r>
          </w:p>
        </w:tc>
      </w:tr>
      <w:tr w14:paraId="3FEBCE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1595FA7C">
            <w:pPr>
              <w:pStyle w:val="40"/>
              <w:widowControl w:val="0"/>
              <w:numPr>
                <w:ilvl w:val="0"/>
                <w:numId w:val="49"/>
              </w:numPr>
              <w:spacing w:line="360" w:lineRule="auto"/>
              <w:ind w:firstLineChars="0"/>
              <w:jc w:val="both"/>
              <w:rPr>
                <w:rFonts w:eastAsia="楷体_GB2312"/>
                <w:color w:val="000000"/>
                <w:sz w:val="21"/>
                <w:szCs w:val="21"/>
              </w:rPr>
            </w:pPr>
            <w:r>
              <w:rPr>
                <w:rFonts w:hint="eastAsia" w:eastAsia="楷体_GB2312"/>
                <w:color w:val="000000"/>
                <w:sz w:val="21"/>
                <w:szCs w:val="21"/>
              </w:rPr>
              <w:t>加速清偿事件</w:t>
            </w:r>
          </w:p>
        </w:tc>
        <w:tc>
          <w:tcPr>
            <w:tcW w:w="1134" w:type="dxa"/>
            <w:tcBorders>
              <w:top w:val="single" w:color="auto" w:sz="4" w:space="0"/>
              <w:left w:val="single" w:color="auto" w:sz="4" w:space="0"/>
              <w:bottom w:val="single" w:color="auto" w:sz="4" w:space="0"/>
              <w:right w:val="single" w:color="auto" w:sz="4" w:space="0"/>
            </w:tcBorders>
          </w:tcPr>
          <w:p w14:paraId="35B73340">
            <w:pPr>
              <w:spacing w:line="360" w:lineRule="auto"/>
              <w:jc w:val="center"/>
              <w:rPr>
                <w:rFonts w:eastAsia="楷体_GB2312"/>
                <w:color w:val="000000"/>
                <w:sz w:val="21"/>
                <w:szCs w:val="21"/>
              </w:rPr>
            </w:pPr>
          </w:p>
        </w:tc>
        <w:tc>
          <w:tcPr>
            <w:tcW w:w="4689" w:type="dxa"/>
            <w:tcBorders>
              <w:top w:val="single" w:color="auto" w:sz="4" w:space="0"/>
              <w:left w:val="single" w:color="auto" w:sz="4" w:space="0"/>
              <w:bottom w:val="single" w:color="auto" w:sz="4" w:space="0"/>
            </w:tcBorders>
          </w:tcPr>
          <w:p w14:paraId="5035EDAC">
            <w:pPr>
              <w:spacing w:line="360" w:lineRule="auto"/>
              <w:jc w:val="center"/>
              <w:rPr>
                <w:rFonts w:eastAsia="楷体_GB2312"/>
                <w:color w:val="000000"/>
                <w:sz w:val="21"/>
                <w:szCs w:val="21"/>
              </w:rPr>
            </w:pPr>
          </w:p>
        </w:tc>
      </w:tr>
      <w:tr w14:paraId="689F32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544AD321">
            <w:pPr>
              <w:pStyle w:val="40"/>
              <w:widowControl w:val="0"/>
              <w:numPr>
                <w:ilvl w:val="0"/>
                <w:numId w:val="49"/>
              </w:numPr>
              <w:spacing w:line="360" w:lineRule="auto"/>
              <w:ind w:firstLineChars="0"/>
              <w:jc w:val="both"/>
              <w:rPr>
                <w:rFonts w:eastAsia="楷体_GB2312"/>
                <w:color w:val="000000"/>
                <w:sz w:val="21"/>
                <w:szCs w:val="21"/>
              </w:rPr>
            </w:pPr>
            <w:r>
              <w:rPr>
                <w:rFonts w:eastAsia="楷体_GB2312"/>
                <w:color w:val="000000"/>
                <w:sz w:val="21"/>
                <w:szCs w:val="21"/>
              </w:rPr>
              <w:t>违约事件</w:t>
            </w:r>
          </w:p>
        </w:tc>
        <w:tc>
          <w:tcPr>
            <w:tcW w:w="1134" w:type="dxa"/>
            <w:tcBorders>
              <w:top w:val="single" w:color="auto" w:sz="4" w:space="0"/>
              <w:left w:val="single" w:color="auto" w:sz="4" w:space="0"/>
              <w:bottom w:val="single" w:color="auto" w:sz="4" w:space="0"/>
              <w:right w:val="single" w:color="auto" w:sz="4" w:space="0"/>
            </w:tcBorders>
          </w:tcPr>
          <w:p w14:paraId="55927FDD">
            <w:pPr>
              <w:spacing w:line="360" w:lineRule="auto"/>
              <w:jc w:val="center"/>
              <w:rPr>
                <w:rFonts w:eastAsia="楷体_GB2312"/>
                <w:color w:val="000000"/>
                <w:sz w:val="21"/>
                <w:szCs w:val="21"/>
              </w:rPr>
            </w:pPr>
          </w:p>
        </w:tc>
        <w:tc>
          <w:tcPr>
            <w:tcW w:w="4689" w:type="dxa"/>
            <w:tcBorders>
              <w:top w:val="single" w:color="auto" w:sz="4" w:space="0"/>
              <w:left w:val="single" w:color="auto" w:sz="4" w:space="0"/>
              <w:bottom w:val="single" w:color="auto" w:sz="4" w:space="0"/>
            </w:tcBorders>
          </w:tcPr>
          <w:p w14:paraId="70402A2F">
            <w:pPr>
              <w:spacing w:line="360" w:lineRule="auto"/>
              <w:jc w:val="center"/>
              <w:rPr>
                <w:rFonts w:eastAsia="楷体_GB2312"/>
                <w:color w:val="000000"/>
                <w:sz w:val="21"/>
                <w:szCs w:val="21"/>
              </w:rPr>
            </w:pPr>
          </w:p>
        </w:tc>
      </w:tr>
      <w:tr w14:paraId="47F76A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3E599D19">
            <w:pPr>
              <w:pStyle w:val="40"/>
              <w:widowControl w:val="0"/>
              <w:numPr>
                <w:ilvl w:val="0"/>
                <w:numId w:val="49"/>
              </w:numPr>
              <w:spacing w:line="360" w:lineRule="auto"/>
              <w:ind w:left="0" w:firstLine="0" w:firstLineChars="0"/>
              <w:jc w:val="both"/>
              <w:rPr>
                <w:rFonts w:eastAsia="楷体_GB2312"/>
                <w:color w:val="000000"/>
                <w:sz w:val="21"/>
                <w:szCs w:val="21"/>
              </w:rPr>
            </w:pPr>
            <w:r>
              <w:rPr>
                <w:rFonts w:eastAsia="楷体_GB2312"/>
                <w:color w:val="000000"/>
                <w:sz w:val="21"/>
                <w:szCs w:val="21"/>
              </w:rPr>
              <w:t>权利完善事件</w:t>
            </w:r>
            <w:r>
              <w:rPr>
                <w:rFonts w:hint="eastAsia" w:eastAsia="楷体_GB2312"/>
                <w:color w:val="000000"/>
                <w:sz w:val="21"/>
                <w:szCs w:val="21"/>
              </w:rPr>
              <w:t>/</w:t>
            </w:r>
            <w:r>
              <w:rPr>
                <w:rFonts w:eastAsia="楷体_GB2312"/>
                <w:color w:val="000000"/>
                <w:sz w:val="21"/>
                <w:szCs w:val="21"/>
              </w:rPr>
              <w:t>个别通知事件</w:t>
            </w:r>
          </w:p>
        </w:tc>
        <w:tc>
          <w:tcPr>
            <w:tcW w:w="1134" w:type="dxa"/>
            <w:tcBorders>
              <w:top w:val="single" w:color="auto" w:sz="4" w:space="0"/>
              <w:left w:val="single" w:color="auto" w:sz="4" w:space="0"/>
              <w:bottom w:val="single" w:color="auto" w:sz="4" w:space="0"/>
              <w:right w:val="single" w:color="auto" w:sz="4" w:space="0"/>
            </w:tcBorders>
          </w:tcPr>
          <w:p w14:paraId="0EEC9BDB">
            <w:pPr>
              <w:spacing w:line="360" w:lineRule="auto"/>
              <w:jc w:val="center"/>
              <w:rPr>
                <w:rFonts w:eastAsia="楷体_GB2312"/>
                <w:color w:val="000000"/>
                <w:sz w:val="21"/>
                <w:szCs w:val="21"/>
              </w:rPr>
            </w:pPr>
          </w:p>
        </w:tc>
        <w:tc>
          <w:tcPr>
            <w:tcW w:w="4689" w:type="dxa"/>
            <w:tcBorders>
              <w:top w:val="single" w:color="auto" w:sz="4" w:space="0"/>
              <w:left w:val="single" w:color="auto" w:sz="4" w:space="0"/>
              <w:bottom w:val="single" w:color="auto" w:sz="4" w:space="0"/>
            </w:tcBorders>
          </w:tcPr>
          <w:p w14:paraId="2623D6E2">
            <w:pPr>
              <w:spacing w:line="360" w:lineRule="auto"/>
              <w:jc w:val="center"/>
              <w:rPr>
                <w:rFonts w:eastAsia="楷体_GB2312"/>
                <w:color w:val="000000"/>
                <w:sz w:val="21"/>
                <w:szCs w:val="21"/>
              </w:rPr>
            </w:pPr>
          </w:p>
        </w:tc>
      </w:tr>
      <w:tr w14:paraId="228F8B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2972" w:type="dxa"/>
            <w:tcBorders>
              <w:top w:val="single" w:color="auto" w:sz="4" w:space="0"/>
              <w:bottom w:val="single" w:color="auto" w:sz="4" w:space="0"/>
              <w:right w:val="single" w:color="auto" w:sz="4" w:space="0"/>
            </w:tcBorders>
          </w:tcPr>
          <w:p w14:paraId="79AB64C8">
            <w:pPr>
              <w:pStyle w:val="40"/>
              <w:widowControl w:val="0"/>
              <w:numPr>
                <w:ilvl w:val="0"/>
                <w:numId w:val="49"/>
              </w:numPr>
              <w:spacing w:line="360" w:lineRule="auto"/>
              <w:ind w:firstLineChars="0"/>
              <w:jc w:val="both"/>
              <w:rPr>
                <w:rFonts w:eastAsia="楷体_GB2312"/>
                <w:color w:val="000000"/>
                <w:sz w:val="21"/>
                <w:szCs w:val="21"/>
              </w:rPr>
            </w:pPr>
            <w:r>
              <w:rPr>
                <w:rFonts w:eastAsia="楷体_GB2312"/>
                <w:color w:val="000000"/>
                <w:sz w:val="21"/>
                <w:szCs w:val="21"/>
              </w:rPr>
              <w:t>赎回</w:t>
            </w:r>
          </w:p>
        </w:tc>
        <w:tc>
          <w:tcPr>
            <w:tcW w:w="1134" w:type="dxa"/>
            <w:tcBorders>
              <w:top w:val="single" w:color="auto" w:sz="4" w:space="0"/>
              <w:left w:val="single" w:color="auto" w:sz="4" w:space="0"/>
              <w:bottom w:val="single" w:color="auto" w:sz="4" w:space="0"/>
              <w:right w:val="single" w:color="auto" w:sz="4" w:space="0"/>
            </w:tcBorders>
          </w:tcPr>
          <w:p w14:paraId="3F464F7B">
            <w:pPr>
              <w:spacing w:line="360" w:lineRule="auto"/>
              <w:jc w:val="center"/>
              <w:rPr>
                <w:rFonts w:eastAsia="楷体_GB2312"/>
                <w:color w:val="000000"/>
                <w:sz w:val="21"/>
                <w:szCs w:val="21"/>
              </w:rPr>
            </w:pPr>
          </w:p>
        </w:tc>
        <w:tc>
          <w:tcPr>
            <w:tcW w:w="4689" w:type="dxa"/>
            <w:tcBorders>
              <w:top w:val="single" w:color="auto" w:sz="4" w:space="0"/>
              <w:left w:val="single" w:color="auto" w:sz="4" w:space="0"/>
              <w:bottom w:val="single" w:color="auto" w:sz="4" w:space="0"/>
            </w:tcBorders>
          </w:tcPr>
          <w:p w14:paraId="07640139">
            <w:pPr>
              <w:spacing w:line="360" w:lineRule="auto"/>
              <w:jc w:val="center"/>
              <w:rPr>
                <w:rFonts w:eastAsia="楷体_GB2312"/>
                <w:color w:val="000000"/>
                <w:sz w:val="21"/>
                <w:szCs w:val="21"/>
              </w:rPr>
            </w:pPr>
          </w:p>
        </w:tc>
      </w:tr>
      <w:tr w14:paraId="1B1214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77E866C6">
            <w:pPr>
              <w:pStyle w:val="40"/>
              <w:widowControl w:val="0"/>
              <w:numPr>
                <w:ilvl w:val="0"/>
                <w:numId w:val="49"/>
              </w:numPr>
              <w:spacing w:line="360" w:lineRule="auto"/>
              <w:ind w:firstLineChars="0"/>
              <w:jc w:val="both"/>
              <w:rPr>
                <w:rFonts w:eastAsia="楷体_GB2312"/>
                <w:color w:val="000000"/>
                <w:sz w:val="21"/>
                <w:szCs w:val="21"/>
              </w:rPr>
            </w:pPr>
            <w:r>
              <w:rPr>
                <w:rFonts w:eastAsia="楷体_GB2312"/>
                <w:color w:val="000000"/>
                <w:sz w:val="21"/>
                <w:szCs w:val="21"/>
              </w:rPr>
              <w:t>清仓回购</w:t>
            </w:r>
          </w:p>
        </w:tc>
        <w:tc>
          <w:tcPr>
            <w:tcW w:w="1134" w:type="dxa"/>
            <w:tcBorders>
              <w:top w:val="single" w:color="auto" w:sz="4" w:space="0"/>
              <w:left w:val="single" w:color="auto" w:sz="4" w:space="0"/>
              <w:bottom w:val="single" w:color="auto" w:sz="4" w:space="0"/>
              <w:right w:val="single" w:color="auto" w:sz="4" w:space="0"/>
            </w:tcBorders>
          </w:tcPr>
          <w:p w14:paraId="29BBA4A1">
            <w:pPr>
              <w:spacing w:line="360" w:lineRule="auto"/>
              <w:jc w:val="center"/>
              <w:rPr>
                <w:rFonts w:eastAsia="楷体_GB2312"/>
                <w:color w:val="000000"/>
                <w:sz w:val="21"/>
                <w:szCs w:val="21"/>
              </w:rPr>
            </w:pPr>
          </w:p>
        </w:tc>
        <w:tc>
          <w:tcPr>
            <w:tcW w:w="4689" w:type="dxa"/>
            <w:tcBorders>
              <w:top w:val="single" w:color="auto" w:sz="4" w:space="0"/>
              <w:left w:val="single" w:color="auto" w:sz="4" w:space="0"/>
              <w:bottom w:val="single" w:color="auto" w:sz="4" w:space="0"/>
            </w:tcBorders>
          </w:tcPr>
          <w:p w14:paraId="1EA78124">
            <w:pPr>
              <w:spacing w:line="360" w:lineRule="auto"/>
              <w:jc w:val="center"/>
              <w:rPr>
                <w:rFonts w:eastAsia="楷体_GB2312"/>
                <w:color w:val="000000"/>
                <w:sz w:val="21"/>
                <w:szCs w:val="21"/>
              </w:rPr>
            </w:pPr>
          </w:p>
        </w:tc>
      </w:tr>
      <w:tr w14:paraId="15CA69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1FBA8413">
            <w:pPr>
              <w:pStyle w:val="40"/>
              <w:widowControl w:val="0"/>
              <w:numPr>
                <w:ilvl w:val="0"/>
                <w:numId w:val="49"/>
              </w:numPr>
              <w:spacing w:line="360" w:lineRule="auto"/>
              <w:ind w:firstLineChars="0"/>
              <w:jc w:val="both"/>
              <w:rPr>
                <w:rFonts w:eastAsia="楷体_GB2312"/>
                <w:color w:val="000000"/>
                <w:sz w:val="21"/>
                <w:szCs w:val="21"/>
              </w:rPr>
            </w:pPr>
            <w:r>
              <w:rPr>
                <w:rFonts w:eastAsia="楷体_GB2312"/>
                <w:color w:val="000000"/>
                <w:sz w:val="21"/>
                <w:szCs w:val="21"/>
              </w:rPr>
              <w:t>丧失清偿能力事件</w:t>
            </w:r>
          </w:p>
        </w:tc>
        <w:tc>
          <w:tcPr>
            <w:tcW w:w="1134" w:type="dxa"/>
            <w:tcBorders>
              <w:top w:val="single" w:color="auto" w:sz="4" w:space="0"/>
              <w:left w:val="single" w:color="auto" w:sz="4" w:space="0"/>
              <w:bottom w:val="single" w:color="auto" w:sz="4" w:space="0"/>
              <w:right w:val="single" w:color="auto" w:sz="4" w:space="0"/>
            </w:tcBorders>
          </w:tcPr>
          <w:p w14:paraId="51697F8E">
            <w:pPr>
              <w:spacing w:line="360" w:lineRule="auto"/>
              <w:jc w:val="center"/>
              <w:rPr>
                <w:rFonts w:eastAsia="楷体_GB2312"/>
                <w:color w:val="000000"/>
                <w:sz w:val="21"/>
                <w:szCs w:val="21"/>
              </w:rPr>
            </w:pPr>
          </w:p>
        </w:tc>
        <w:tc>
          <w:tcPr>
            <w:tcW w:w="4689" w:type="dxa"/>
            <w:tcBorders>
              <w:top w:val="single" w:color="auto" w:sz="4" w:space="0"/>
              <w:left w:val="single" w:color="auto" w:sz="4" w:space="0"/>
              <w:bottom w:val="single" w:color="auto" w:sz="4" w:space="0"/>
            </w:tcBorders>
          </w:tcPr>
          <w:p w14:paraId="574F3C55">
            <w:pPr>
              <w:spacing w:line="360" w:lineRule="auto"/>
              <w:jc w:val="center"/>
              <w:rPr>
                <w:rFonts w:eastAsia="楷体_GB2312"/>
                <w:color w:val="000000"/>
                <w:sz w:val="21"/>
                <w:szCs w:val="21"/>
              </w:rPr>
            </w:pPr>
          </w:p>
        </w:tc>
      </w:tr>
      <w:tr w14:paraId="0BF020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11341344">
            <w:pPr>
              <w:pStyle w:val="40"/>
              <w:widowControl w:val="0"/>
              <w:numPr>
                <w:ilvl w:val="0"/>
                <w:numId w:val="49"/>
              </w:numPr>
              <w:spacing w:line="360" w:lineRule="auto"/>
              <w:ind w:firstLineChars="0"/>
              <w:jc w:val="both"/>
              <w:rPr>
                <w:rFonts w:eastAsia="楷体_GB2312"/>
                <w:color w:val="000000"/>
                <w:sz w:val="21"/>
                <w:szCs w:val="21"/>
              </w:rPr>
            </w:pPr>
            <w:r>
              <w:rPr>
                <w:rFonts w:eastAsia="楷体_GB2312"/>
                <w:color w:val="000000"/>
                <w:sz w:val="21"/>
                <w:szCs w:val="21"/>
              </w:rPr>
              <w:t>受托机构终止事件</w:t>
            </w:r>
          </w:p>
        </w:tc>
        <w:tc>
          <w:tcPr>
            <w:tcW w:w="1134" w:type="dxa"/>
            <w:tcBorders>
              <w:top w:val="single" w:color="auto" w:sz="4" w:space="0"/>
              <w:left w:val="single" w:color="auto" w:sz="4" w:space="0"/>
              <w:bottom w:val="single" w:color="auto" w:sz="4" w:space="0"/>
              <w:right w:val="single" w:color="auto" w:sz="4" w:space="0"/>
            </w:tcBorders>
          </w:tcPr>
          <w:p w14:paraId="15D3E3D5">
            <w:pPr>
              <w:spacing w:line="360" w:lineRule="auto"/>
              <w:jc w:val="center"/>
              <w:rPr>
                <w:rFonts w:eastAsia="楷体_GB2312"/>
                <w:color w:val="000000"/>
                <w:sz w:val="21"/>
                <w:szCs w:val="21"/>
              </w:rPr>
            </w:pPr>
          </w:p>
        </w:tc>
        <w:tc>
          <w:tcPr>
            <w:tcW w:w="4689" w:type="dxa"/>
            <w:tcBorders>
              <w:top w:val="single" w:color="auto" w:sz="4" w:space="0"/>
              <w:left w:val="single" w:color="auto" w:sz="4" w:space="0"/>
              <w:bottom w:val="single" w:color="auto" w:sz="4" w:space="0"/>
            </w:tcBorders>
          </w:tcPr>
          <w:p w14:paraId="7CD82AD5">
            <w:pPr>
              <w:spacing w:line="360" w:lineRule="auto"/>
              <w:jc w:val="center"/>
              <w:rPr>
                <w:rFonts w:eastAsia="楷体_GB2312"/>
                <w:color w:val="000000"/>
                <w:sz w:val="21"/>
                <w:szCs w:val="21"/>
              </w:rPr>
            </w:pPr>
          </w:p>
        </w:tc>
      </w:tr>
      <w:tr w14:paraId="4DC0D3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1609365D">
            <w:pPr>
              <w:pStyle w:val="40"/>
              <w:widowControl w:val="0"/>
              <w:numPr>
                <w:ilvl w:val="0"/>
                <w:numId w:val="49"/>
              </w:numPr>
              <w:spacing w:line="360" w:lineRule="auto"/>
              <w:ind w:firstLineChars="0"/>
              <w:jc w:val="both"/>
              <w:rPr>
                <w:rFonts w:eastAsia="楷体_GB2312"/>
                <w:color w:val="000000"/>
                <w:sz w:val="21"/>
                <w:szCs w:val="21"/>
              </w:rPr>
            </w:pPr>
            <w:r>
              <w:rPr>
                <w:rFonts w:eastAsia="楷体_GB2312"/>
                <w:color w:val="000000"/>
                <w:sz w:val="21"/>
                <w:szCs w:val="21"/>
              </w:rPr>
              <w:t>重大不利变化</w:t>
            </w:r>
          </w:p>
        </w:tc>
        <w:tc>
          <w:tcPr>
            <w:tcW w:w="1134" w:type="dxa"/>
            <w:tcBorders>
              <w:top w:val="single" w:color="auto" w:sz="4" w:space="0"/>
              <w:left w:val="single" w:color="auto" w:sz="4" w:space="0"/>
              <w:bottom w:val="single" w:color="auto" w:sz="4" w:space="0"/>
              <w:right w:val="single" w:color="auto" w:sz="4" w:space="0"/>
            </w:tcBorders>
          </w:tcPr>
          <w:p w14:paraId="7A773964">
            <w:pPr>
              <w:spacing w:line="360" w:lineRule="auto"/>
              <w:jc w:val="center"/>
              <w:rPr>
                <w:rFonts w:eastAsia="楷体_GB2312"/>
                <w:color w:val="000000"/>
                <w:sz w:val="21"/>
                <w:szCs w:val="21"/>
              </w:rPr>
            </w:pPr>
          </w:p>
        </w:tc>
        <w:tc>
          <w:tcPr>
            <w:tcW w:w="4689" w:type="dxa"/>
            <w:tcBorders>
              <w:top w:val="single" w:color="auto" w:sz="4" w:space="0"/>
              <w:left w:val="single" w:color="auto" w:sz="4" w:space="0"/>
              <w:bottom w:val="single" w:color="auto" w:sz="4" w:space="0"/>
            </w:tcBorders>
          </w:tcPr>
          <w:p w14:paraId="4AE1A697">
            <w:pPr>
              <w:spacing w:line="360" w:lineRule="auto"/>
              <w:jc w:val="center"/>
              <w:rPr>
                <w:rFonts w:eastAsia="楷体_GB2312"/>
                <w:color w:val="000000"/>
                <w:sz w:val="21"/>
                <w:szCs w:val="21"/>
              </w:rPr>
            </w:pPr>
          </w:p>
        </w:tc>
      </w:tr>
      <w:tr w14:paraId="5D6EBE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796CD47C">
            <w:pPr>
              <w:pStyle w:val="40"/>
              <w:widowControl w:val="0"/>
              <w:numPr>
                <w:ilvl w:val="0"/>
                <w:numId w:val="49"/>
              </w:numPr>
              <w:spacing w:line="360" w:lineRule="auto"/>
              <w:ind w:firstLineChars="0"/>
              <w:jc w:val="both"/>
              <w:rPr>
                <w:rFonts w:eastAsia="楷体_GB2312"/>
                <w:color w:val="000000"/>
                <w:sz w:val="21"/>
                <w:szCs w:val="21"/>
              </w:rPr>
            </w:pPr>
            <w:r>
              <w:rPr>
                <w:rFonts w:eastAsia="楷体_GB2312"/>
                <w:color w:val="000000"/>
                <w:sz w:val="21"/>
                <w:szCs w:val="21"/>
              </w:rPr>
              <w:t>重大不利影响</w:t>
            </w:r>
          </w:p>
        </w:tc>
        <w:tc>
          <w:tcPr>
            <w:tcW w:w="1134" w:type="dxa"/>
            <w:tcBorders>
              <w:top w:val="single" w:color="auto" w:sz="4" w:space="0"/>
              <w:left w:val="single" w:color="auto" w:sz="4" w:space="0"/>
              <w:bottom w:val="single" w:color="auto" w:sz="4" w:space="0"/>
              <w:right w:val="single" w:color="auto" w:sz="4" w:space="0"/>
            </w:tcBorders>
          </w:tcPr>
          <w:p w14:paraId="5F209F8B">
            <w:pPr>
              <w:spacing w:line="360" w:lineRule="auto"/>
              <w:jc w:val="center"/>
              <w:rPr>
                <w:rFonts w:eastAsia="楷体_GB2312"/>
                <w:color w:val="000000"/>
                <w:sz w:val="21"/>
                <w:szCs w:val="21"/>
              </w:rPr>
            </w:pPr>
          </w:p>
        </w:tc>
        <w:tc>
          <w:tcPr>
            <w:tcW w:w="4689" w:type="dxa"/>
            <w:tcBorders>
              <w:top w:val="single" w:color="auto" w:sz="4" w:space="0"/>
              <w:left w:val="single" w:color="auto" w:sz="4" w:space="0"/>
              <w:bottom w:val="single" w:color="auto" w:sz="4" w:space="0"/>
            </w:tcBorders>
          </w:tcPr>
          <w:p w14:paraId="01957323">
            <w:pPr>
              <w:spacing w:line="360" w:lineRule="auto"/>
              <w:jc w:val="center"/>
              <w:rPr>
                <w:rFonts w:eastAsia="楷体_GB2312"/>
                <w:color w:val="000000"/>
                <w:sz w:val="21"/>
                <w:szCs w:val="21"/>
              </w:rPr>
            </w:pPr>
          </w:p>
        </w:tc>
      </w:tr>
      <w:tr w14:paraId="241378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7C9AF4C5">
            <w:pPr>
              <w:pStyle w:val="40"/>
              <w:widowControl w:val="0"/>
              <w:numPr>
                <w:ilvl w:val="0"/>
                <w:numId w:val="49"/>
              </w:numPr>
              <w:spacing w:line="360" w:lineRule="auto"/>
              <w:ind w:firstLineChars="0"/>
              <w:jc w:val="both"/>
              <w:rPr>
                <w:rFonts w:eastAsia="楷体_GB2312"/>
                <w:color w:val="000000"/>
                <w:sz w:val="21"/>
                <w:szCs w:val="21"/>
              </w:rPr>
            </w:pPr>
            <w:r>
              <w:rPr>
                <w:rFonts w:eastAsia="楷体_GB2312"/>
                <w:color w:val="000000"/>
                <w:sz w:val="21"/>
                <w:szCs w:val="21"/>
              </w:rPr>
              <w:t>受托人解任事件</w:t>
            </w:r>
          </w:p>
        </w:tc>
        <w:tc>
          <w:tcPr>
            <w:tcW w:w="1134" w:type="dxa"/>
            <w:tcBorders>
              <w:top w:val="single" w:color="auto" w:sz="4" w:space="0"/>
              <w:left w:val="single" w:color="auto" w:sz="4" w:space="0"/>
              <w:bottom w:val="single" w:color="auto" w:sz="4" w:space="0"/>
              <w:right w:val="single" w:color="auto" w:sz="4" w:space="0"/>
            </w:tcBorders>
          </w:tcPr>
          <w:p w14:paraId="5FAD329C">
            <w:pPr>
              <w:spacing w:line="360" w:lineRule="auto"/>
              <w:jc w:val="center"/>
              <w:rPr>
                <w:rFonts w:eastAsia="楷体_GB2312"/>
                <w:color w:val="000000"/>
                <w:sz w:val="21"/>
                <w:szCs w:val="21"/>
              </w:rPr>
            </w:pPr>
          </w:p>
        </w:tc>
        <w:tc>
          <w:tcPr>
            <w:tcW w:w="4689" w:type="dxa"/>
            <w:tcBorders>
              <w:top w:val="single" w:color="auto" w:sz="4" w:space="0"/>
              <w:left w:val="single" w:color="auto" w:sz="4" w:space="0"/>
              <w:bottom w:val="single" w:color="auto" w:sz="4" w:space="0"/>
            </w:tcBorders>
          </w:tcPr>
          <w:p w14:paraId="127B6D0E">
            <w:pPr>
              <w:spacing w:line="360" w:lineRule="auto"/>
              <w:jc w:val="center"/>
              <w:rPr>
                <w:rFonts w:eastAsia="楷体_GB2312"/>
                <w:color w:val="000000"/>
                <w:sz w:val="21"/>
                <w:szCs w:val="21"/>
              </w:rPr>
            </w:pPr>
          </w:p>
        </w:tc>
      </w:tr>
      <w:tr w14:paraId="68FC01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1A035644">
            <w:pPr>
              <w:pStyle w:val="40"/>
              <w:widowControl w:val="0"/>
              <w:numPr>
                <w:ilvl w:val="0"/>
                <w:numId w:val="49"/>
              </w:numPr>
              <w:spacing w:line="360" w:lineRule="auto"/>
              <w:ind w:firstLineChars="0"/>
              <w:jc w:val="both"/>
              <w:rPr>
                <w:rFonts w:eastAsia="楷体_GB2312"/>
                <w:color w:val="000000"/>
                <w:sz w:val="21"/>
                <w:szCs w:val="21"/>
              </w:rPr>
            </w:pPr>
            <w:r>
              <w:rPr>
                <w:rFonts w:eastAsia="楷体_GB2312"/>
                <w:color w:val="000000"/>
                <w:sz w:val="21"/>
                <w:szCs w:val="21"/>
              </w:rPr>
              <w:t>贷款服务机构解任事件</w:t>
            </w:r>
          </w:p>
        </w:tc>
        <w:tc>
          <w:tcPr>
            <w:tcW w:w="1134" w:type="dxa"/>
            <w:tcBorders>
              <w:top w:val="single" w:color="auto" w:sz="4" w:space="0"/>
              <w:left w:val="single" w:color="auto" w:sz="4" w:space="0"/>
              <w:bottom w:val="single" w:color="auto" w:sz="4" w:space="0"/>
              <w:right w:val="single" w:color="auto" w:sz="4" w:space="0"/>
            </w:tcBorders>
          </w:tcPr>
          <w:p w14:paraId="0D114147">
            <w:pPr>
              <w:spacing w:line="360" w:lineRule="auto"/>
              <w:jc w:val="center"/>
              <w:rPr>
                <w:rFonts w:eastAsia="楷体_GB2312"/>
                <w:color w:val="000000"/>
                <w:sz w:val="21"/>
                <w:szCs w:val="21"/>
              </w:rPr>
            </w:pPr>
          </w:p>
        </w:tc>
        <w:tc>
          <w:tcPr>
            <w:tcW w:w="4689" w:type="dxa"/>
            <w:tcBorders>
              <w:top w:val="single" w:color="auto" w:sz="4" w:space="0"/>
              <w:left w:val="single" w:color="auto" w:sz="4" w:space="0"/>
              <w:bottom w:val="single" w:color="auto" w:sz="4" w:space="0"/>
            </w:tcBorders>
          </w:tcPr>
          <w:p w14:paraId="6A01FAB6">
            <w:pPr>
              <w:spacing w:line="360" w:lineRule="auto"/>
              <w:jc w:val="center"/>
              <w:rPr>
                <w:rFonts w:eastAsia="楷体_GB2312"/>
                <w:color w:val="000000"/>
                <w:sz w:val="21"/>
                <w:szCs w:val="21"/>
              </w:rPr>
            </w:pPr>
          </w:p>
        </w:tc>
      </w:tr>
      <w:tr w14:paraId="4ECE3E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26D6DAA6">
            <w:pPr>
              <w:pStyle w:val="40"/>
              <w:widowControl w:val="0"/>
              <w:numPr>
                <w:ilvl w:val="0"/>
                <w:numId w:val="49"/>
              </w:numPr>
              <w:spacing w:line="360" w:lineRule="auto"/>
              <w:ind w:firstLineChars="0"/>
              <w:jc w:val="both"/>
              <w:rPr>
                <w:rFonts w:eastAsia="楷体_GB2312"/>
                <w:color w:val="000000"/>
                <w:sz w:val="21"/>
                <w:szCs w:val="21"/>
              </w:rPr>
            </w:pPr>
            <w:r>
              <w:rPr>
                <w:rFonts w:eastAsia="楷体_GB2312"/>
                <w:color w:val="000000"/>
                <w:sz w:val="21"/>
                <w:szCs w:val="21"/>
              </w:rPr>
              <w:t>资金保管机构解任事件</w:t>
            </w:r>
          </w:p>
        </w:tc>
        <w:tc>
          <w:tcPr>
            <w:tcW w:w="1134" w:type="dxa"/>
            <w:tcBorders>
              <w:top w:val="single" w:color="auto" w:sz="4" w:space="0"/>
              <w:left w:val="single" w:color="auto" w:sz="4" w:space="0"/>
              <w:bottom w:val="single" w:color="auto" w:sz="4" w:space="0"/>
              <w:right w:val="single" w:color="auto" w:sz="4" w:space="0"/>
            </w:tcBorders>
          </w:tcPr>
          <w:p w14:paraId="1B8EDA63">
            <w:pPr>
              <w:spacing w:line="360" w:lineRule="auto"/>
              <w:jc w:val="center"/>
              <w:rPr>
                <w:rFonts w:eastAsia="楷体_GB2312"/>
                <w:color w:val="000000"/>
                <w:sz w:val="21"/>
                <w:szCs w:val="21"/>
              </w:rPr>
            </w:pPr>
          </w:p>
        </w:tc>
        <w:tc>
          <w:tcPr>
            <w:tcW w:w="4689" w:type="dxa"/>
            <w:tcBorders>
              <w:top w:val="single" w:color="auto" w:sz="4" w:space="0"/>
              <w:left w:val="single" w:color="auto" w:sz="4" w:space="0"/>
              <w:bottom w:val="single" w:color="auto" w:sz="4" w:space="0"/>
            </w:tcBorders>
          </w:tcPr>
          <w:p w14:paraId="525CD7C3">
            <w:pPr>
              <w:spacing w:line="360" w:lineRule="auto"/>
              <w:jc w:val="center"/>
              <w:rPr>
                <w:rFonts w:eastAsia="楷体_GB2312"/>
                <w:color w:val="000000"/>
                <w:sz w:val="21"/>
                <w:szCs w:val="21"/>
              </w:rPr>
            </w:pPr>
          </w:p>
        </w:tc>
      </w:tr>
      <w:tr w14:paraId="35A943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594D8044">
            <w:pPr>
              <w:pStyle w:val="40"/>
              <w:widowControl w:val="0"/>
              <w:numPr>
                <w:ilvl w:val="0"/>
                <w:numId w:val="49"/>
              </w:numPr>
              <w:spacing w:line="360" w:lineRule="auto"/>
              <w:ind w:firstLineChars="0"/>
              <w:jc w:val="both"/>
              <w:rPr>
                <w:rFonts w:eastAsia="楷体_GB2312"/>
                <w:color w:val="000000"/>
                <w:sz w:val="21"/>
                <w:szCs w:val="21"/>
              </w:rPr>
            </w:pPr>
            <w:r>
              <w:rPr>
                <w:rFonts w:eastAsia="楷体_GB2312"/>
                <w:color w:val="000000"/>
                <w:sz w:val="21"/>
                <w:szCs w:val="21"/>
              </w:rPr>
              <w:t>资产支持证券持有人大会</w:t>
            </w:r>
          </w:p>
        </w:tc>
        <w:tc>
          <w:tcPr>
            <w:tcW w:w="1134" w:type="dxa"/>
            <w:tcBorders>
              <w:top w:val="single" w:color="auto" w:sz="4" w:space="0"/>
              <w:left w:val="single" w:color="auto" w:sz="4" w:space="0"/>
              <w:bottom w:val="single" w:color="auto" w:sz="4" w:space="0"/>
              <w:right w:val="single" w:color="auto" w:sz="4" w:space="0"/>
            </w:tcBorders>
          </w:tcPr>
          <w:p w14:paraId="0D3E9975">
            <w:pPr>
              <w:spacing w:line="360" w:lineRule="auto"/>
              <w:jc w:val="center"/>
              <w:rPr>
                <w:rFonts w:eastAsia="楷体_GB2312"/>
                <w:color w:val="000000"/>
                <w:sz w:val="21"/>
                <w:szCs w:val="21"/>
              </w:rPr>
            </w:pPr>
          </w:p>
        </w:tc>
        <w:tc>
          <w:tcPr>
            <w:tcW w:w="4689" w:type="dxa"/>
            <w:tcBorders>
              <w:top w:val="single" w:color="auto" w:sz="4" w:space="0"/>
              <w:left w:val="single" w:color="auto" w:sz="4" w:space="0"/>
              <w:bottom w:val="single" w:color="auto" w:sz="4" w:space="0"/>
            </w:tcBorders>
          </w:tcPr>
          <w:p w14:paraId="3591CE6F">
            <w:pPr>
              <w:spacing w:line="360" w:lineRule="auto"/>
              <w:jc w:val="center"/>
              <w:rPr>
                <w:rFonts w:eastAsia="楷体_GB2312"/>
                <w:color w:val="000000"/>
                <w:sz w:val="21"/>
                <w:szCs w:val="21"/>
              </w:rPr>
            </w:pPr>
          </w:p>
        </w:tc>
      </w:tr>
      <w:tr w14:paraId="32D7DE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3985E0AB">
            <w:pPr>
              <w:pStyle w:val="40"/>
              <w:widowControl w:val="0"/>
              <w:numPr>
                <w:ilvl w:val="0"/>
                <w:numId w:val="49"/>
              </w:numPr>
              <w:spacing w:line="360" w:lineRule="auto"/>
              <w:ind w:firstLineChars="0"/>
              <w:jc w:val="both"/>
              <w:rPr>
                <w:rFonts w:eastAsia="楷体_GB2312"/>
                <w:color w:val="000000"/>
                <w:sz w:val="21"/>
                <w:szCs w:val="21"/>
              </w:rPr>
            </w:pPr>
            <w:r>
              <w:rPr>
                <w:rFonts w:hint="eastAsia" w:eastAsia="楷体_GB2312"/>
                <w:color w:val="000000"/>
                <w:sz w:val="21"/>
                <w:szCs w:val="21"/>
              </w:rPr>
              <w:t>法定到期日延长</w:t>
            </w:r>
          </w:p>
        </w:tc>
        <w:tc>
          <w:tcPr>
            <w:tcW w:w="1134" w:type="dxa"/>
            <w:tcBorders>
              <w:top w:val="single" w:color="auto" w:sz="4" w:space="0"/>
              <w:left w:val="single" w:color="auto" w:sz="4" w:space="0"/>
              <w:bottom w:val="single" w:color="auto" w:sz="4" w:space="0"/>
              <w:right w:val="single" w:color="auto" w:sz="4" w:space="0"/>
            </w:tcBorders>
          </w:tcPr>
          <w:p w14:paraId="6008C19B">
            <w:pPr>
              <w:spacing w:line="360" w:lineRule="auto"/>
              <w:jc w:val="center"/>
              <w:rPr>
                <w:rFonts w:eastAsia="楷体_GB2312"/>
                <w:color w:val="000000"/>
                <w:sz w:val="21"/>
                <w:szCs w:val="21"/>
              </w:rPr>
            </w:pPr>
          </w:p>
        </w:tc>
        <w:tc>
          <w:tcPr>
            <w:tcW w:w="4689" w:type="dxa"/>
            <w:tcBorders>
              <w:top w:val="single" w:color="auto" w:sz="4" w:space="0"/>
              <w:left w:val="single" w:color="auto" w:sz="4" w:space="0"/>
              <w:bottom w:val="single" w:color="auto" w:sz="4" w:space="0"/>
            </w:tcBorders>
          </w:tcPr>
          <w:p w14:paraId="4AF84E12">
            <w:pPr>
              <w:spacing w:line="360" w:lineRule="auto"/>
              <w:jc w:val="center"/>
              <w:rPr>
                <w:rFonts w:eastAsia="楷体_GB2312"/>
                <w:color w:val="000000"/>
                <w:sz w:val="21"/>
                <w:szCs w:val="21"/>
              </w:rPr>
            </w:pPr>
          </w:p>
        </w:tc>
      </w:tr>
      <w:tr w14:paraId="413E3F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1E81DB82">
            <w:pPr>
              <w:pStyle w:val="40"/>
              <w:widowControl w:val="0"/>
              <w:numPr>
                <w:ilvl w:val="0"/>
                <w:numId w:val="49"/>
              </w:numPr>
              <w:spacing w:line="360" w:lineRule="auto"/>
              <w:ind w:firstLineChars="0"/>
              <w:jc w:val="both"/>
              <w:rPr>
                <w:rFonts w:eastAsia="楷体_GB2312"/>
                <w:color w:val="000000"/>
                <w:sz w:val="21"/>
                <w:szCs w:val="21"/>
              </w:rPr>
            </w:pPr>
            <w:r>
              <w:rPr>
                <w:rFonts w:hint="eastAsia" w:eastAsia="楷体_GB2312"/>
                <w:color w:val="000000"/>
                <w:sz w:val="21"/>
                <w:szCs w:val="21"/>
              </w:rPr>
              <w:t>清算期延长</w:t>
            </w:r>
          </w:p>
        </w:tc>
        <w:tc>
          <w:tcPr>
            <w:tcW w:w="1134" w:type="dxa"/>
            <w:tcBorders>
              <w:top w:val="single" w:color="auto" w:sz="4" w:space="0"/>
              <w:left w:val="single" w:color="auto" w:sz="4" w:space="0"/>
              <w:bottom w:val="single" w:color="auto" w:sz="4" w:space="0"/>
              <w:right w:val="single" w:color="auto" w:sz="4" w:space="0"/>
            </w:tcBorders>
          </w:tcPr>
          <w:p w14:paraId="76CECF9B">
            <w:pPr>
              <w:spacing w:line="360" w:lineRule="auto"/>
              <w:jc w:val="center"/>
              <w:rPr>
                <w:rFonts w:eastAsia="楷体_GB2312"/>
                <w:color w:val="000000"/>
                <w:sz w:val="21"/>
                <w:szCs w:val="21"/>
              </w:rPr>
            </w:pPr>
          </w:p>
        </w:tc>
        <w:tc>
          <w:tcPr>
            <w:tcW w:w="4689" w:type="dxa"/>
            <w:tcBorders>
              <w:top w:val="single" w:color="auto" w:sz="4" w:space="0"/>
              <w:left w:val="single" w:color="auto" w:sz="4" w:space="0"/>
              <w:bottom w:val="single" w:color="auto" w:sz="4" w:space="0"/>
            </w:tcBorders>
          </w:tcPr>
          <w:p w14:paraId="76FF7527">
            <w:pPr>
              <w:spacing w:line="360" w:lineRule="auto"/>
              <w:jc w:val="center"/>
              <w:rPr>
                <w:rFonts w:eastAsia="楷体_GB2312"/>
                <w:color w:val="000000"/>
                <w:sz w:val="21"/>
                <w:szCs w:val="21"/>
              </w:rPr>
            </w:pPr>
          </w:p>
        </w:tc>
      </w:tr>
      <w:tr w14:paraId="30F65B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0C095087">
            <w:pPr>
              <w:pStyle w:val="40"/>
              <w:widowControl w:val="0"/>
              <w:numPr>
                <w:ilvl w:val="0"/>
                <w:numId w:val="49"/>
              </w:numPr>
              <w:spacing w:line="360" w:lineRule="auto"/>
              <w:ind w:left="0" w:firstLine="0" w:firstLineChars="0"/>
              <w:jc w:val="both"/>
              <w:rPr>
                <w:rFonts w:eastAsia="楷体_GB2312"/>
                <w:color w:val="000000"/>
                <w:sz w:val="21"/>
                <w:szCs w:val="21"/>
              </w:rPr>
            </w:pPr>
            <w:r>
              <w:rPr>
                <w:rFonts w:eastAsia="楷体_GB2312"/>
                <w:color w:val="000000"/>
                <w:sz w:val="21"/>
                <w:szCs w:val="21"/>
              </w:rPr>
              <w:t>其他影响</w:t>
            </w:r>
            <w:r>
              <w:rPr>
                <w:rFonts w:hint="eastAsia" w:eastAsia="楷体_GB2312"/>
                <w:color w:val="000000"/>
                <w:sz w:val="21"/>
                <w:szCs w:val="21"/>
              </w:rPr>
              <w:t>证券</w:t>
            </w:r>
            <w:r>
              <w:rPr>
                <w:rFonts w:eastAsia="楷体_GB2312"/>
                <w:color w:val="000000"/>
                <w:sz w:val="21"/>
                <w:szCs w:val="21"/>
              </w:rPr>
              <w:t>本息兑付或投资者利益的事项</w:t>
            </w:r>
            <w:r>
              <w:rPr>
                <w:rFonts w:hint="eastAsia" w:eastAsia="楷体_GB2312"/>
                <w:color w:val="000000"/>
                <w:sz w:val="21"/>
                <w:szCs w:val="21"/>
              </w:rPr>
              <w:t>（如负面的催收相关事项）</w:t>
            </w:r>
          </w:p>
        </w:tc>
        <w:tc>
          <w:tcPr>
            <w:tcW w:w="1134" w:type="dxa"/>
            <w:tcBorders>
              <w:top w:val="single" w:color="auto" w:sz="4" w:space="0"/>
              <w:left w:val="single" w:color="auto" w:sz="4" w:space="0"/>
              <w:bottom w:val="single" w:color="auto" w:sz="4" w:space="0"/>
              <w:right w:val="single" w:color="auto" w:sz="4" w:space="0"/>
            </w:tcBorders>
          </w:tcPr>
          <w:p w14:paraId="5C62F59A">
            <w:pPr>
              <w:spacing w:line="360" w:lineRule="auto"/>
              <w:jc w:val="center"/>
              <w:rPr>
                <w:rFonts w:eastAsia="楷体_GB2312"/>
                <w:color w:val="000000"/>
                <w:sz w:val="21"/>
                <w:szCs w:val="21"/>
              </w:rPr>
            </w:pPr>
          </w:p>
        </w:tc>
        <w:tc>
          <w:tcPr>
            <w:tcW w:w="4689" w:type="dxa"/>
            <w:tcBorders>
              <w:top w:val="single" w:color="auto" w:sz="4" w:space="0"/>
              <w:left w:val="single" w:color="auto" w:sz="4" w:space="0"/>
              <w:bottom w:val="single" w:color="auto" w:sz="4" w:space="0"/>
            </w:tcBorders>
          </w:tcPr>
          <w:p w14:paraId="5B74F560">
            <w:pPr>
              <w:spacing w:line="360" w:lineRule="auto"/>
              <w:jc w:val="center"/>
              <w:rPr>
                <w:rFonts w:eastAsia="楷体_GB2312"/>
                <w:color w:val="000000"/>
                <w:sz w:val="21"/>
                <w:szCs w:val="21"/>
              </w:rPr>
            </w:pPr>
          </w:p>
        </w:tc>
      </w:tr>
    </w:tbl>
    <w:p w14:paraId="7619D411">
      <w:pPr>
        <w:spacing w:line="360" w:lineRule="auto"/>
        <w:rPr>
          <w:rFonts w:eastAsia="楷体_GB2312"/>
          <w:b/>
          <w:bCs/>
          <w:i/>
          <w:iCs/>
          <w:color w:val="FF0000"/>
          <w:sz w:val="21"/>
          <w:szCs w:val="21"/>
        </w:rPr>
      </w:pPr>
    </w:p>
    <w:p w14:paraId="57E97F5E">
      <w:pPr>
        <w:spacing w:line="360" w:lineRule="auto"/>
        <w:rPr>
          <w:rFonts w:eastAsia="楷体_GB2312"/>
          <w:b/>
          <w:bCs/>
          <w:i/>
          <w:iCs/>
          <w:color w:val="FF0000"/>
          <w:sz w:val="21"/>
          <w:szCs w:val="21"/>
        </w:rPr>
      </w:pPr>
      <w:r>
        <w:rPr>
          <w:rFonts w:eastAsia="楷体_GB2312"/>
          <w:b/>
          <w:bCs/>
          <w:i/>
          <w:iCs/>
          <w:color w:val="FF0000"/>
          <w:sz w:val="21"/>
          <w:szCs w:val="21"/>
        </w:rPr>
        <w:t>【注：</w:t>
      </w:r>
      <w:r>
        <w:rPr>
          <w:rFonts w:hint="eastAsia" w:eastAsia="楷体_GB2312"/>
          <w:b/>
          <w:bCs/>
          <w:i/>
          <w:iCs/>
          <w:color w:val="FF0000"/>
          <w:sz w:val="21"/>
          <w:szCs w:val="21"/>
        </w:rPr>
        <w:t>关于报告期内应披露的重大</w:t>
      </w:r>
      <w:r>
        <w:rPr>
          <w:rFonts w:eastAsia="楷体_GB2312"/>
          <w:b/>
          <w:bCs/>
          <w:i/>
          <w:iCs/>
          <w:color w:val="FF0000"/>
          <w:sz w:val="21"/>
          <w:szCs w:val="21"/>
        </w:rPr>
        <w:t>事件需</w:t>
      </w:r>
      <w:r>
        <w:rPr>
          <w:rFonts w:hint="eastAsia" w:eastAsia="楷体_GB2312"/>
          <w:b/>
          <w:bCs/>
          <w:i/>
          <w:iCs/>
          <w:color w:val="FF0000"/>
          <w:sz w:val="21"/>
          <w:szCs w:val="21"/>
        </w:rPr>
        <w:t>结合最新的规定予以补充或调整</w:t>
      </w:r>
      <w:r>
        <w:rPr>
          <w:rFonts w:eastAsia="楷体_GB2312"/>
          <w:b/>
          <w:bCs/>
          <w:i/>
          <w:iCs/>
          <w:color w:val="FF0000"/>
          <w:sz w:val="21"/>
          <w:szCs w:val="21"/>
        </w:rPr>
        <w:t>。】</w:t>
      </w:r>
    </w:p>
    <w:p w14:paraId="33C82845">
      <w:pPr>
        <w:spacing w:line="360" w:lineRule="auto"/>
        <w:rPr>
          <w:rFonts w:eastAsia="楷体_GB2312"/>
          <w:sz w:val="21"/>
          <w:szCs w:val="21"/>
        </w:rPr>
      </w:pPr>
    </w:p>
    <w:p w14:paraId="20BDA0DB">
      <w:pPr>
        <w:spacing w:line="360" w:lineRule="auto"/>
        <w:rPr>
          <w:rFonts w:eastAsia="楷体_GB2312"/>
          <w:color w:val="000000"/>
          <w:sz w:val="21"/>
          <w:szCs w:val="21"/>
        </w:rPr>
      </w:pPr>
    </w:p>
    <w:p w14:paraId="25D0B778">
      <w:pPr>
        <w:spacing w:line="360" w:lineRule="auto"/>
        <w:ind w:right="105"/>
        <w:jc w:val="right"/>
        <w:rPr>
          <w:rFonts w:eastAsia="楷体_GB2312"/>
          <w:color w:val="000000"/>
          <w:sz w:val="21"/>
          <w:szCs w:val="21"/>
        </w:rPr>
      </w:pPr>
      <w:r>
        <w:rPr>
          <w:rFonts w:eastAsia="楷体_GB2312"/>
          <w:color w:val="000000"/>
          <w:sz w:val="21"/>
          <w:szCs w:val="21"/>
        </w:rPr>
        <w:t>【受托机构全称】</w:t>
      </w:r>
    </w:p>
    <w:p w14:paraId="531B3C20">
      <w:pPr>
        <w:spacing w:line="360" w:lineRule="auto"/>
        <w:jc w:val="right"/>
        <w:rPr>
          <w:rFonts w:eastAsia="楷体_GB2312"/>
          <w:sz w:val="21"/>
          <w:szCs w:val="21"/>
        </w:rPr>
      </w:pPr>
      <w:r>
        <w:rPr>
          <w:rFonts w:eastAsia="楷体_GB2312"/>
          <w:color w:val="000000"/>
          <w:sz w:val="21"/>
          <w:szCs w:val="21"/>
        </w:rPr>
        <w:t>【  】年【  】月【  】日</w:t>
      </w:r>
    </w:p>
    <w:bookmarkEnd w:id="894"/>
    <w:p w14:paraId="56DE870B">
      <w:pPr>
        <w:tabs>
          <w:tab w:val="center" w:pos="11178"/>
        </w:tabs>
        <w:spacing w:line="150" w:lineRule="exact"/>
        <w:rPr>
          <w:rFonts w:eastAsiaTheme="minorEastAsia"/>
          <w:color w:val="FF0000"/>
          <w:lang w:eastAsia="zh-CN"/>
        </w:rPr>
      </w:pPr>
    </w:p>
    <w:p w14:paraId="171A70E2">
      <w:pPr>
        <w:rPr>
          <w:rFonts w:eastAsia="楷体_GB2312"/>
          <w:b/>
          <w:szCs w:val="20"/>
          <w:lang w:val="en-GB" w:eastAsia="zh-CN"/>
        </w:rPr>
      </w:pPr>
      <w:r>
        <w:rPr>
          <w:rFonts w:eastAsia="楷体_GB2312"/>
          <w:b/>
          <w:szCs w:val="20"/>
          <w:lang w:val="en-GB" w:eastAsia="zh-CN"/>
        </w:rPr>
        <w:br w:type="page"/>
      </w:r>
    </w:p>
    <w:p w14:paraId="1CF3C46C">
      <w:pPr>
        <w:spacing w:line="360" w:lineRule="auto"/>
        <w:outlineLvl w:val="0"/>
        <w:rPr>
          <w:rFonts w:eastAsia="楷体_GB2312"/>
          <w:b/>
          <w:szCs w:val="20"/>
          <w:lang w:val="en-GB" w:eastAsia="zh-CN"/>
        </w:rPr>
      </w:pPr>
      <w:bookmarkStart w:id="896" w:name="_Toc227955316"/>
      <w:r>
        <w:rPr>
          <w:rFonts w:eastAsia="楷体_GB2312"/>
          <w:b/>
          <w:szCs w:val="20"/>
          <w:lang w:val="en-GB" w:eastAsia="zh-CN"/>
        </w:rPr>
        <w:t>附件十</w:t>
      </w:r>
      <w:r>
        <w:rPr>
          <w:rFonts w:hint="eastAsia" w:eastAsia="楷体_GB2312"/>
          <w:b/>
          <w:szCs w:val="20"/>
          <w:lang w:val="en-GB" w:eastAsia="zh-CN"/>
        </w:rPr>
        <w:t>一</w:t>
      </w:r>
      <w:r>
        <w:rPr>
          <w:rFonts w:eastAsia="楷体_GB2312"/>
          <w:b/>
          <w:szCs w:val="20"/>
          <w:lang w:val="en-GB" w:eastAsia="zh-CN"/>
        </w:rPr>
        <w:t>：优先A1级资产支持证券本金摊还计划表</w:t>
      </w:r>
      <w:bookmarkEnd w:id="895"/>
      <w:bookmarkEnd w:id="896"/>
    </w:p>
    <w:p w14:paraId="4EC3362E">
      <w:pPr>
        <w:spacing w:line="360" w:lineRule="auto"/>
        <w:rPr>
          <w:rFonts w:eastAsia="楷体_GB2312"/>
          <w:b/>
          <w:i/>
          <w:iCs/>
          <w:color w:val="FF0000"/>
          <w:szCs w:val="20"/>
          <w:lang w:val="en-GB" w:eastAsia="zh-CN"/>
        </w:rPr>
      </w:pPr>
      <w:r>
        <w:rPr>
          <w:rFonts w:eastAsia="楷体_GB2312"/>
          <w:b/>
          <w:i/>
          <w:iCs/>
          <w:color w:val="FF0000"/>
          <w:szCs w:val="20"/>
          <w:lang w:val="en-GB" w:eastAsia="zh-CN"/>
        </w:rPr>
        <w:t>【注：摊还计划表根据具体项目情况调整】</w:t>
      </w:r>
    </w:p>
    <w:p w14:paraId="46AB1CE0">
      <w:pPr>
        <w:rPr>
          <w:rFonts w:eastAsiaTheme="minorEastAsia"/>
          <w:color w:val="FF0000"/>
          <w:lang w:val="en-GB" w:eastAsia="zh-CN"/>
        </w:rPr>
      </w:pPr>
    </w:p>
    <w:sectPr>
      <w:headerReference r:id="rId11" w:type="first"/>
      <w:footerReference r:id="rId14" w:type="first"/>
      <w:headerReference r:id="rId9" w:type="default"/>
      <w:footerReference r:id="rId12" w:type="default"/>
      <w:headerReference r:id="rId10" w:type="even"/>
      <w:footerReference r:id="rId13" w:type="even"/>
      <w:type w:val="continuous"/>
      <w:pgSz w:w="11907" w:h="16839"/>
      <w:pgMar w:top="1440" w:right="1797" w:bottom="1440" w:left="1797" w:header="720" w:footer="720" w:gutter="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Droid Sans Fallback">
    <w:altName w:val="宋体"/>
    <w:panose1 w:val="020B0502000000000001"/>
    <w:charset w:val="86"/>
    <w:family w:val="auto"/>
    <w:pitch w:val="default"/>
    <w:sig w:usb0="00000000" w:usb1="00000000" w:usb2="00000036" w:usb3="00000000" w:csb0="203F01FF" w:csb1="D7FF0000"/>
  </w:font>
  <w:font w:name="楷体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BatangChe">
    <w:altName w:val="Malgun Gothic"/>
    <w:panose1 w:val="00000000000000000000"/>
    <w:charset w:val="81"/>
    <w:family w:val="modern"/>
    <w:pitch w:val="default"/>
    <w:sig w:usb0="00000000" w:usb1="00000000" w:usb2="00000030" w:usb3="00000000" w:csb0="0008009F" w:csb1="00000000"/>
  </w:font>
  <w:font w:name="Arial Unicode MS">
    <w:altName w:val="Arial"/>
    <w:panose1 w:val="020B0604020202020204"/>
    <w:charset w:val="80"/>
    <w:family w:val="swiss"/>
    <w:pitch w:val="default"/>
    <w:sig w:usb0="00000000" w:usb1="00000000" w:usb2="0000003F" w:usb3="00000000" w:csb0="603F01FF" w:csb1="FFFF0000"/>
  </w:font>
  <w:font w:name="DejaVu Sans">
    <w:altName w:val="Segoe Print"/>
    <w:panose1 w:val="020B0603030804020204"/>
    <w:charset w:val="00"/>
    <w:family w:val="auto"/>
    <w:pitch w:val="default"/>
    <w:sig w:usb0="00000000" w:usb1="00000000"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4E446">
    <w:pPr>
      <w:pStyle w:val="17"/>
      <w:framePr w:wrap="around" w:vAnchor="text" w:hAnchor="margin" w:xAlign="center" w:y="1"/>
      <w:tabs>
        <w:tab w:val="center" w:pos="4153"/>
        <w:tab w:val="right" w:pos="8306"/>
        <w:tab w:val="clear" w:pos="4320"/>
        <w:tab w:val="clear" w:pos="8640"/>
      </w:tabs>
      <w:rPr>
        <w:rStyle w:val="34"/>
      </w:rPr>
    </w:pPr>
    <w:r>
      <w:fldChar w:fldCharType="begin"/>
    </w:r>
    <w:r>
      <w:rPr>
        <w:rStyle w:val="34"/>
      </w:rPr>
      <w:instrText xml:space="preserve">PAGE  </w:instrText>
    </w:r>
    <w:r>
      <w:fldChar w:fldCharType="separate"/>
    </w:r>
    <w:r>
      <w:rPr>
        <w:rStyle w:val="34"/>
      </w:rPr>
      <w:t>94</w:t>
    </w:r>
    <w:r>
      <w:fldChar w:fldCharType="end"/>
    </w:r>
  </w:p>
  <w:p w14:paraId="4225F878">
    <w:pPr>
      <w:pStyle w:val="17"/>
      <w:tabs>
        <w:tab w:val="center" w:pos="4153"/>
        <w:tab w:val="right" w:pos="8306"/>
        <w:tab w:val="clear" w:pos="4320"/>
        <w:tab w:val="clear" w:pos="864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6D064">
    <w:pPr>
      <w:pStyle w:val="17"/>
      <w:framePr w:wrap="around" w:vAnchor="text" w:hAnchor="margin" w:xAlign="center" w:y="1"/>
      <w:tabs>
        <w:tab w:val="center" w:pos="4153"/>
        <w:tab w:val="right" w:pos="8306"/>
        <w:tab w:val="clear" w:pos="4320"/>
        <w:tab w:val="clear" w:pos="8640"/>
      </w:tabs>
      <w:rPr>
        <w:rStyle w:val="34"/>
      </w:rPr>
    </w:pPr>
    <w:r>
      <w:fldChar w:fldCharType="begin"/>
    </w:r>
    <w:r>
      <w:rPr>
        <w:rStyle w:val="34"/>
      </w:rPr>
      <w:instrText xml:space="preserve">PAGE  </w:instrText>
    </w:r>
    <w:r>
      <w:fldChar w:fldCharType="separate"/>
    </w:r>
    <w:r>
      <w:rPr>
        <w:rStyle w:val="34"/>
      </w:rPr>
      <w:t>4</w:t>
    </w:r>
    <w:r>
      <w:fldChar w:fldCharType="end"/>
    </w:r>
  </w:p>
  <w:p w14:paraId="211556A9">
    <w:pPr>
      <w:pStyle w:val="17"/>
      <w:tabs>
        <w:tab w:val="center" w:pos="4153"/>
        <w:tab w:val="right" w:pos="8306"/>
        <w:tab w:val="clear" w:pos="4320"/>
        <w:tab w:val="clear" w:pos="864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D1C30">
    <w:pPr>
      <w:pStyle w:val="17"/>
      <w:tabs>
        <w:tab w:val="center" w:pos="4153"/>
        <w:tab w:val="right" w:pos="8306"/>
        <w:tab w:val="clear" w:pos="4320"/>
        <w:tab w:val="clear" w:pos="8640"/>
      </w:tabs>
      <w:spacing w:before="120" w:after="12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CFD49">
    <w:pPr>
      <w:pStyle w:val="17"/>
      <w:jc w:val="center"/>
      <w:rPr>
        <w:rFonts w:eastAsiaTheme="minorEastAsia"/>
        <w:lang w:eastAsia="zh-C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BAF8C">
    <w:pPr>
      <w:pStyle w:val="17"/>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606EE">
    <w:pPr>
      <w:pStyle w:val="17"/>
      <w:framePr w:wrap="around" w:vAnchor="text" w:hAnchor="page" w:x="5560" w:y="-35"/>
      <w:rPr>
        <w:rStyle w:val="34"/>
        <w:sz w:val="18"/>
        <w:szCs w:val="18"/>
      </w:rPr>
    </w:pPr>
    <w:r>
      <w:rPr>
        <w:rStyle w:val="34"/>
        <w:sz w:val="18"/>
        <w:szCs w:val="18"/>
      </w:rPr>
      <w:fldChar w:fldCharType="begin"/>
    </w:r>
    <w:r>
      <w:rPr>
        <w:rStyle w:val="34"/>
        <w:sz w:val="18"/>
        <w:szCs w:val="18"/>
      </w:rPr>
      <w:instrText xml:space="preserve">PAGE  </w:instrText>
    </w:r>
    <w:r>
      <w:rPr>
        <w:rStyle w:val="34"/>
        <w:sz w:val="18"/>
        <w:szCs w:val="18"/>
      </w:rPr>
      <w:fldChar w:fldCharType="separate"/>
    </w:r>
    <w:r>
      <w:rPr>
        <w:rStyle w:val="34"/>
        <w:sz w:val="18"/>
        <w:szCs w:val="18"/>
      </w:rPr>
      <w:t>129</w:t>
    </w:r>
    <w:r>
      <w:rPr>
        <w:rStyle w:val="34"/>
        <w:sz w:val="18"/>
        <w:szCs w:val="18"/>
      </w:rPr>
      <w:fldChar w:fldCharType="end"/>
    </w:r>
  </w:p>
  <w:p w14:paraId="6C84CAA6">
    <w:pPr>
      <w:pStyle w:val="17"/>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B07F3">
    <w:pPr>
      <w:pStyle w:val="17"/>
      <w:framePr w:wrap="around" w:vAnchor="text" w:hAnchor="margin" w:xAlign="right" w:y="1"/>
      <w:rPr>
        <w:rStyle w:val="34"/>
      </w:rPr>
    </w:pPr>
    <w:r>
      <w:rPr>
        <w:rStyle w:val="34"/>
      </w:rPr>
      <w:fldChar w:fldCharType="begin"/>
    </w:r>
    <w:r>
      <w:rPr>
        <w:rStyle w:val="34"/>
      </w:rPr>
      <w:instrText xml:space="preserve">PAGE  </w:instrText>
    </w:r>
    <w:r>
      <w:rPr>
        <w:rStyle w:val="34"/>
      </w:rPr>
      <w:fldChar w:fldCharType="end"/>
    </w:r>
  </w:p>
  <w:p w14:paraId="253CD650">
    <w:pPr>
      <w:pStyle w:val="17"/>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EAF61">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42A55BB6">
      <w:pPr>
        <w:pStyle w:val="23"/>
        <w:rPr>
          <w:rFonts w:eastAsiaTheme="minorEastAsia"/>
          <w:lang w:eastAsia="zh-CN"/>
        </w:rPr>
      </w:pPr>
      <w:r>
        <w:rPr>
          <w:rStyle w:val="38"/>
        </w:rPr>
        <w:footnoteRef/>
      </w:r>
      <w:r>
        <w:t xml:space="preserve"> </w:t>
      </w:r>
      <w:r>
        <w:rPr>
          <w:rFonts w:hint="eastAsia" w:ascii="楷体_GB2312" w:hAnsi="楷体_GB2312" w:eastAsia="楷体_GB2312" w:cs="楷体_GB2312"/>
          <w:lang w:eastAsia="zh-CN"/>
        </w:rPr>
        <w:t>本合同版本作为个人汽车贷款资产支持证券的标准范本供市场机构参考，非强制适用，合同条款可根据项目具体情况予以调整，法律法规另有规定的除外。</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F62E9">
    <w:pPr>
      <w:pStyle w:val="18"/>
      <w:jc w:val="right"/>
      <w:rPr>
        <w:sz w:val="21"/>
        <w:szCs w:val="21"/>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5074F">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ED2E0">
    <w:pPr>
      <w:pStyle w:val="18"/>
      <w:tabs>
        <w:tab w:val="left" w:pos="2620"/>
      </w:tabs>
      <w:jc w:val="right"/>
      <w:rPr>
        <w:b/>
        <w:sz w:val="21"/>
        <w:szCs w:val="21"/>
      </w:rPr>
    </w:pPr>
    <w:r>
      <w:rPr>
        <w:rFonts w:hint="eastAsia"/>
      </w:rPr>
      <w:t xml:space="preserve">        </w:t>
    </w:r>
    <w:r>
      <w:rPr>
        <w:rFonts w:hint="eastAsia"/>
        <w:b/>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52B28"/>
    <w:multiLevelType w:val="multilevel"/>
    <w:tmpl w:val="00852B28"/>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2506C41"/>
    <w:multiLevelType w:val="multilevel"/>
    <w:tmpl w:val="02506C41"/>
    <w:lvl w:ilvl="0" w:tentative="0">
      <w:start w:val="1"/>
      <w:numFmt w:val="decimal"/>
      <w:lvlText w:val="(%1)"/>
      <w:lvlJc w:val="left"/>
      <w:pPr>
        <w:ind w:left="1838" w:hanging="420"/>
      </w:pPr>
      <w:rPr>
        <w:rFonts w:hint="eastAsia"/>
      </w:rPr>
    </w:lvl>
    <w:lvl w:ilvl="1" w:tentative="0">
      <w:start w:val="1"/>
      <w:numFmt w:val="lowerLetter"/>
      <w:lvlText w:val="%2)"/>
      <w:lvlJc w:val="left"/>
      <w:pPr>
        <w:ind w:left="2258" w:hanging="420"/>
      </w:pPr>
    </w:lvl>
    <w:lvl w:ilvl="2" w:tentative="0">
      <w:start w:val="1"/>
      <w:numFmt w:val="lowerRoman"/>
      <w:lvlText w:val="%3."/>
      <w:lvlJc w:val="right"/>
      <w:pPr>
        <w:ind w:left="2678" w:hanging="420"/>
      </w:pPr>
    </w:lvl>
    <w:lvl w:ilvl="3" w:tentative="0">
      <w:start w:val="1"/>
      <w:numFmt w:val="decimal"/>
      <w:lvlText w:val="%4."/>
      <w:lvlJc w:val="left"/>
      <w:pPr>
        <w:ind w:left="3098" w:hanging="420"/>
      </w:pPr>
    </w:lvl>
    <w:lvl w:ilvl="4" w:tentative="0">
      <w:start w:val="1"/>
      <w:numFmt w:val="lowerLetter"/>
      <w:lvlText w:val="%5)"/>
      <w:lvlJc w:val="left"/>
      <w:pPr>
        <w:ind w:left="3518" w:hanging="420"/>
      </w:pPr>
    </w:lvl>
    <w:lvl w:ilvl="5" w:tentative="0">
      <w:start w:val="1"/>
      <w:numFmt w:val="lowerRoman"/>
      <w:lvlText w:val="%6."/>
      <w:lvlJc w:val="right"/>
      <w:pPr>
        <w:ind w:left="3938" w:hanging="420"/>
      </w:pPr>
    </w:lvl>
    <w:lvl w:ilvl="6" w:tentative="0">
      <w:start w:val="1"/>
      <w:numFmt w:val="decimal"/>
      <w:lvlText w:val="%7."/>
      <w:lvlJc w:val="left"/>
      <w:pPr>
        <w:ind w:left="4358" w:hanging="420"/>
      </w:pPr>
    </w:lvl>
    <w:lvl w:ilvl="7" w:tentative="0">
      <w:start w:val="1"/>
      <w:numFmt w:val="lowerLetter"/>
      <w:lvlText w:val="%8)"/>
      <w:lvlJc w:val="left"/>
      <w:pPr>
        <w:ind w:left="4778" w:hanging="420"/>
      </w:pPr>
    </w:lvl>
    <w:lvl w:ilvl="8" w:tentative="0">
      <w:start w:val="1"/>
      <w:numFmt w:val="lowerRoman"/>
      <w:lvlText w:val="%9."/>
      <w:lvlJc w:val="right"/>
      <w:pPr>
        <w:ind w:left="5198" w:hanging="420"/>
      </w:pPr>
    </w:lvl>
  </w:abstractNum>
  <w:abstractNum w:abstractNumId="2">
    <w:nsid w:val="060A4D0E"/>
    <w:multiLevelType w:val="multilevel"/>
    <w:tmpl w:val="060A4D0E"/>
    <w:lvl w:ilvl="0" w:tentative="0">
      <w:start w:val="1"/>
      <w:numFmt w:val="decimal"/>
      <w:lvlText w:val="%1."/>
      <w:lvlJc w:val="left"/>
      <w:pPr>
        <w:tabs>
          <w:tab w:val="left" w:pos="990"/>
        </w:tabs>
        <w:ind w:left="990" w:hanging="420"/>
      </w:p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abstractNum w:abstractNumId="3">
    <w:nsid w:val="08251C92"/>
    <w:multiLevelType w:val="multilevel"/>
    <w:tmpl w:val="08251C92"/>
    <w:lvl w:ilvl="0" w:tentative="0">
      <w:start w:val="1"/>
      <w:numFmt w:val="lowerLetter"/>
      <w:lvlText w:val="(%1)"/>
      <w:lvlJc w:val="left"/>
      <w:pPr>
        <w:tabs>
          <w:tab w:val="left" w:pos="2040"/>
        </w:tabs>
        <w:ind w:left="2040" w:hanging="420"/>
      </w:pPr>
      <w:rPr>
        <w:rFonts w:hint="eastAsia"/>
        <w:b w:val="0"/>
        <w:lang w:val="en-GB"/>
      </w:rPr>
    </w:lvl>
    <w:lvl w:ilvl="1" w:tentative="0">
      <w:start w:val="1"/>
      <w:numFmt w:val="lowerLetter"/>
      <w:lvlText w:val="%2)"/>
      <w:lvlJc w:val="left"/>
      <w:pPr>
        <w:tabs>
          <w:tab w:val="left" w:pos="1184"/>
        </w:tabs>
        <w:ind w:left="1184" w:hanging="420"/>
      </w:pPr>
    </w:lvl>
    <w:lvl w:ilvl="2" w:tentative="0">
      <w:start w:val="1"/>
      <w:numFmt w:val="lowerRoman"/>
      <w:lvlText w:val="%3."/>
      <w:lvlJc w:val="right"/>
      <w:pPr>
        <w:tabs>
          <w:tab w:val="left" w:pos="1604"/>
        </w:tabs>
        <w:ind w:left="1604" w:hanging="420"/>
      </w:pPr>
    </w:lvl>
    <w:lvl w:ilvl="3" w:tentative="0">
      <w:start w:val="1"/>
      <w:numFmt w:val="decimal"/>
      <w:lvlText w:val="%4."/>
      <w:lvlJc w:val="left"/>
      <w:pPr>
        <w:tabs>
          <w:tab w:val="left" w:pos="2024"/>
        </w:tabs>
        <w:ind w:left="2024" w:hanging="420"/>
      </w:pPr>
    </w:lvl>
    <w:lvl w:ilvl="4" w:tentative="0">
      <w:start w:val="1"/>
      <w:numFmt w:val="lowerLetter"/>
      <w:lvlText w:val="%5)"/>
      <w:lvlJc w:val="left"/>
      <w:pPr>
        <w:tabs>
          <w:tab w:val="left" w:pos="2444"/>
        </w:tabs>
        <w:ind w:left="2444" w:hanging="420"/>
      </w:pPr>
    </w:lvl>
    <w:lvl w:ilvl="5" w:tentative="0">
      <w:start w:val="1"/>
      <w:numFmt w:val="lowerRoman"/>
      <w:lvlText w:val="%6."/>
      <w:lvlJc w:val="right"/>
      <w:pPr>
        <w:tabs>
          <w:tab w:val="left" w:pos="2864"/>
        </w:tabs>
        <w:ind w:left="2864" w:hanging="420"/>
      </w:pPr>
    </w:lvl>
    <w:lvl w:ilvl="6" w:tentative="0">
      <w:start w:val="1"/>
      <w:numFmt w:val="decimal"/>
      <w:lvlText w:val="%7."/>
      <w:lvlJc w:val="left"/>
      <w:pPr>
        <w:tabs>
          <w:tab w:val="left" w:pos="3284"/>
        </w:tabs>
        <w:ind w:left="3284" w:hanging="420"/>
      </w:pPr>
    </w:lvl>
    <w:lvl w:ilvl="7" w:tentative="0">
      <w:start w:val="1"/>
      <w:numFmt w:val="lowerLetter"/>
      <w:lvlText w:val="%8)"/>
      <w:lvlJc w:val="left"/>
      <w:pPr>
        <w:tabs>
          <w:tab w:val="left" w:pos="3704"/>
        </w:tabs>
        <w:ind w:left="3704" w:hanging="420"/>
      </w:pPr>
    </w:lvl>
    <w:lvl w:ilvl="8" w:tentative="0">
      <w:start w:val="1"/>
      <w:numFmt w:val="lowerRoman"/>
      <w:lvlText w:val="%9."/>
      <w:lvlJc w:val="right"/>
      <w:pPr>
        <w:tabs>
          <w:tab w:val="left" w:pos="4124"/>
        </w:tabs>
        <w:ind w:left="4124" w:hanging="420"/>
      </w:pPr>
    </w:lvl>
  </w:abstractNum>
  <w:abstractNum w:abstractNumId="4">
    <w:nsid w:val="0A313053"/>
    <w:multiLevelType w:val="multilevel"/>
    <w:tmpl w:val="0A313053"/>
    <w:lvl w:ilvl="0" w:tentative="0">
      <w:start w:val="1"/>
      <w:numFmt w:val="decimal"/>
      <w:lvlText w:val="(%1)"/>
      <w:lvlJc w:val="left"/>
      <w:pPr>
        <w:ind w:left="1838" w:hanging="420"/>
      </w:pPr>
      <w:rPr>
        <w:rFonts w:hint="eastAsia"/>
      </w:rPr>
    </w:lvl>
    <w:lvl w:ilvl="1" w:tentative="0">
      <w:start w:val="1"/>
      <w:numFmt w:val="lowerLetter"/>
      <w:lvlText w:val="%2)"/>
      <w:lvlJc w:val="left"/>
      <w:pPr>
        <w:ind w:left="2258" w:hanging="420"/>
      </w:pPr>
    </w:lvl>
    <w:lvl w:ilvl="2" w:tentative="0">
      <w:start w:val="1"/>
      <w:numFmt w:val="lowerRoman"/>
      <w:lvlText w:val="%3."/>
      <w:lvlJc w:val="right"/>
      <w:pPr>
        <w:ind w:left="2678" w:hanging="420"/>
      </w:pPr>
    </w:lvl>
    <w:lvl w:ilvl="3" w:tentative="0">
      <w:start w:val="1"/>
      <w:numFmt w:val="decimal"/>
      <w:lvlText w:val="%4."/>
      <w:lvlJc w:val="left"/>
      <w:pPr>
        <w:ind w:left="3098" w:hanging="420"/>
      </w:pPr>
    </w:lvl>
    <w:lvl w:ilvl="4" w:tentative="0">
      <w:start w:val="1"/>
      <w:numFmt w:val="lowerLetter"/>
      <w:lvlText w:val="%5)"/>
      <w:lvlJc w:val="left"/>
      <w:pPr>
        <w:ind w:left="3518" w:hanging="420"/>
      </w:pPr>
    </w:lvl>
    <w:lvl w:ilvl="5" w:tentative="0">
      <w:start w:val="1"/>
      <w:numFmt w:val="lowerRoman"/>
      <w:lvlText w:val="%6."/>
      <w:lvlJc w:val="right"/>
      <w:pPr>
        <w:ind w:left="3938" w:hanging="420"/>
      </w:pPr>
    </w:lvl>
    <w:lvl w:ilvl="6" w:tentative="0">
      <w:start w:val="1"/>
      <w:numFmt w:val="decimal"/>
      <w:lvlText w:val="%7."/>
      <w:lvlJc w:val="left"/>
      <w:pPr>
        <w:ind w:left="4358" w:hanging="420"/>
      </w:pPr>
    </w:lvl>
    <w:lvl w:ilvl="7" w:tentative="0">
      <w:start w:val="1"/>
      <w:numFmt w:val="lowerLetter"/>
      <w:lvlText w:val="%8)"/>
      <w:lvlJc w:val="left"/>
      <w:pPr>
        <w:ind w:left="4778" w:hanging="420"/>
      </w:pPr>
    </w:lvl>
    <w:lvl w:ilvl="8" w:tentative="0">
      <w:start w:val="1"/>
      <w:numFmt w:val="lowerRoman"/>
      <w:lvlText w:val="%9."/>
      <w:lvlJc w:val="right"/>
      <w:pPr>
        <w:ind w:left="5198" w:hanging="420"/>
      </w:pPr>
    </w:lvl>
  </w:abstractNum>
  <w:abstractNum w:abstractNumId="5">
    <w:nsid w:val="0DE41B01"/>
    <w:multiLevelType w:val="multilevel"/>
    <w:tmpl w:val="0DE41B01"/>
    <w:lvl w:ilvl="0" w:tentative="0">
      <w:start w:val="1"/>
      <w:numFmt w:val="decimal"/>
      <w:lvlText w:val="(%1)"/>
      <w:lvlJc w:val="left"/>
      <w:pPr>
        <w:tabs>
          <w:tab w:val="left" w:pos="1333"/>
        </w:tabs>
        <w:ind w:left="1333" w:hanging="375"/>
      </w:pPr>
      <w:rPr>
        <w:rFonts w:hint="eastAsia"/>
        <w:b w:val="0"/>
        <w:color w:val="auto"/>
      </w:rPr>
    </w:lvl>
    <w:lvl w:ilvl="1" w:tentative="0">
      <w:start w:val="1"/>
      <w:numFmt w:val="lowerLetter"/>
      <w:lvlText w:val="%2)"/>
      <w:lvlJc w:val="left"/>
      <w:pPr>
        <w:tabs>
          <w:tab w:val="left" w:pos="107"/>
        </w:tabs>
        <w:ind w:left="107" w:hanging="420"/>
      </w:pPr>
    </w:lvl>
    <w:lvl w:ilvl="2" w:tentative="0">
      <w:start w:val="1"/>
      <w:numFmt w:val="lowerRoman"/>
      <w:lvlText w:val="%3."/>
      <w:lvlJc w:val="right"/>
      <w:pPr>
        <w:tabs>
          <w:tab w:val="left" w:pos="527"/>
        </w:tabs>
        <w:ind w:left="527" w:hanging="420"/>
      </w:pPr>
    </w:lvl>
    <w:lvl w:ilvl="3" w:tentative="0">
      <w:start w:val="1"/>
      <w:numFmt w:val="decimal"/>
      <w:lvlText w:val="%4."/>
      <w:lvlJc w:val="left"/>
      <w:pPr>
        <w:tabs>
          <w:tab w:val="left" w:pos="947"/>
        </w:tabs>
        <w:ind w:left="947" w:hanging="420"/>
      </w:pPr>
    </w:lvl>
    <w:lvl w:ilvl="4" w:tentative="0">
      <w:start w:val="1"/>
      <w:numFmt w:val="lowerLetter"/>
      <w:lvlText w:val="%5)"/>
      <w:lvlJc w:val="left"/>
      <w:pPr>
        <w:tabs>
          <w:tab w:val="left" w:pos="1367"/>
        </w:tabs>
        <w:ind w:left="1367" w:hanging="420"/>
      </w:pPr>
    </w:lvl>
    <w:lvl w:ilvl="5" w:tentative="0">
      <w:start w:val="1"/>
      <w:numFmt w:val="lowerRoman"/>
      <w:lvlText w:val="%6."/>
      <w:lvlJc w:val="right"/>
      <w:pPr>
        <w:tabs>
          <w:tab w:val="left" w:pos="1787"/>
        </w:tabs>
        <w:ind w:left="1787" w:hanging="420"/>
      </w:pPr>
    </w:lvl>
    <w:lvl w:ilvl="6" w:tentative="0">
      <w:start w:val="1"/>
      <w:numFmt w:val="decimal"/>
      <w:lvlText w:val="%7."/>
      <w:lvlJc w:val="left"/>
      <w:pPr>
        <w:tabs>
          <w:tab w:val="left" w:pos="2207"/>
        </w:tabs>
        <w:ind w:left="2207" w:hanging="420"/>
      </w:pPr>
    </w:lvl>
    <w:lvl w:ilvl="7" w:tentative="0">
      <w:start w:val="1"/>
      <w:numFmt w:val="lowerLetter"/>
      <w:lvlText w:val="%8)"/>
      <w:lvlJc w:val="left"/>
      <w:pPr>
        <w:tabs>
          <w:tab w:val="left" w:pos="2627"/>
        </w:tabs>
        <w:ind w:left="2627" w:hanging="420"/>
      </w:pPr>
    </w:lvl>
    <w:lvl w:ilvl="8" w:tentative="0">
      <w:start w:val="1"/>
      <w:numFmt w:val="lowerRoman"/>
      <w:lvlText w:val="%9."/>
      <w:lvlJc w:val="right"/>
      <w:pPr>
        <w:tabs>
          <w:tab w:val="left" w:pos="3047"/>
        </w:tabs>
        <w:ind w:left="3047" w:hanging="420"/>
      </w:pPr>
    </w:lvl>
  </w:abstractNum>
  <w:abstractNum w:abstractNumId="6">
    <w:nsid w:val="0F531241"/>
    <w:multiLevelType w:val="multilevel"/>
    <w:tmpl w:val="0F531241"/>
    <w:lvl w:ilvl="0" w:tentative="0">
      <w:start w:val="1"/>
      <w:numFmt w:val="decimal"/>
      <w:lvlText w:val="(%1)"/>
      <w:lvlJc w:val="left"/>
      <w:pPr>
        <w:tabs>
          <w:tab w:val="left" w:pos="2040"/>
        </w:tabs>
        <w:ind w:left="2040" w:hanging="420"/>
      </w:pPr>
      <w:rPr>
        <w:rFonts w:hint="eastAsia"/>
        <w:b w:val="0"/>
      </w:rPr>
    </w:lvl>
    <w:lvl w:ilvl="1" w:tentative="0">
      <w:start w:val="1"/>
      <w:numFmt w:val="lowerLetter"/>
      <w:lvlText w:val="%2)"/>
      <w:lvlJc w:val="left"/>
      <w:pPr>
        <w:tabs>
          <w:tab w:val="left" w:pos="1184"/>
        </w:tabs>
        <w:ind w:left="1184" w:hanging="420"/>
      </w:pPr>
    </w:lvl>
    <w:lvl w:ilvl="2" w:tentative="0">
      <w:start w:val="1"/>
      <w:numFmt w:val="lowerRoman"/>
      <w:lvlText w:val="%3."/>
      <w:lvlJc w:val="right"/>
      <w:pPr>
        <w:tabs>
          <w:tab w:val="left" w:pos="1604"/>
        </w:tabs>
        <w:ind w:left="1604" w:hanging="420"/>
      </w:pPr>
    </w:lvl>
    <w:lvl w:ilvl="3" w:tentative="0">
      <w:start w:val="1"/>
      <w:numFmt w:val="decimal"/>
      <w:lvlText w:val="%4."/>
      <w:lvlJc w:val="left"/>
      <w:pPr>
        <w:tabs>
          <w:tab w:val="left" w:pos="2024"/>
        </w:tabs>
        <w:ind w:left="2024" w:hanging="420"/>
      </w:pPr>
    </w:lvl>
    <w:lvl w:ilvl="4" w:tentative="0">
      <w:start w:val="1"/>
      <w:numFmt w:val="lowerLetter"/>
      <w:lvlText w:val="%5)"/>
      <w:lvlJc w:val="left"/>
      <w:pPr>
        <w:tabs>
          <w:tab w:val="left" w:pos="2444"/>
        </w:tabs>
        <w:ind w:left="2444" w:hanging="420"/>
      </w:pPr>
    </w:lvl>
    <w:lvl w:ilvl="5" w:tentative="0">
      <w:start w:val="1"/>
      <w:numFmt w:val="lowerRoman"/>
      <w:lvlText w:val="%6."/>
      <w:lvlJc w:val="right"/>
      <w:pPr>
        <w:tabs>
          <w:tab w:val="left" w:pos="2864"/>
        </w:tabs>
        <w:ind w:left="2864" w:hanging="420"/>
      </w:pPr>
    </w:lvl>
    <w:lvl w:ilvl="6" w:tentative="0">
      <w:start w:val="1"/>
      <w:numFmt w:val="decimal"/>
      <w:lvlText w:val="%7."/>
      <w:lvlJc w:val="left"/>
      <w:pPr>
        <w:tabs>
          <w:tab w:val="left" w:pos="3284"/>
        </w:tabs>
        <w:ind w:left="3284" w:hanging="420"/>
      </w:pPr>
    </w:lvl>
    <w:lvl w:ilvl="7" w:tentative="0">
      <w:start w:val="1"/>
      <w:numFmt w:val="lowerLetter"/>
      <w:lvlText w:val="%8)"/>
      <w:lvlJc w:val="left"/>
      <w:pPr>
        <w:tabs>
          <w:tab w:val="left" w:pos="3704"/>
        </w:tabs>
        <w:ind w:left="3704" w:hanging="420"/>
      </w:pPr>
    </w:lvl>
    <w:lvl w:ilvl="8" w:tentative="0">
      <w:start w:val="1"/>
      <w:numFmt w:val="lowerRoman"/>
      <w:lvlText w:val="%9."/>
      <w:lvlJc w:val="right"/>
      <w:pPr>
        <w:tabs>
          <w:tab w:val="left" w:pos="4124"/>
        </w:tabs>
        <w:ind w:left="4124" w:hanging="420"/>
      </w:pPr>
    </w:lvl>
  </w:abstractNum>
  <w:abstractNum w:abstractNumId="7">
    <w:nsid w:val="13EE39BC"/>
    <w:multiLevelType w:val="multilevel"/>
    <w:tmpl w:val="13EE39B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5562AC0"/>
    <w:multiLevelType w:val="multilevel"/>
    <w:tmpl w:val="15562AC0"/>
    <w:lvl w:ilvl="0" w:tentative="0">
      <w:start w:val="1"/>
      <w:numFmt w:val="decimal"/>
      <w:lvlText w:val="(%1)"/>
      <w:lvlJc w:val="left"/>
      <w:pPr>
        <w:tabs>
          <w:tab w:val="left" w:pos="1333"/>
        </w:tabs>
        <w:ind w:left="1333" w:hanging="375"/>
      </w:pPr>
      <w:rPr>
        <w:rFonts w:hint="eastAsia"/>
        <w:b w:val="0"/>
        <w:color w:val="auto"/>
      </w:rPr>
    </w:lvl>
    <w:lvl w:ilvl="1" w:tentative="0">
      <w:start w:val="1"/>
      <w:numFmt w:val="lowerLetter"/>
      <w:lvlText w:val="%2)"/>
      <w:lvlJc w:val="left"/>
      <w:pPr>
        <w:tabs>
          <w:tab w:val="left" w:pos="107"/>
        </w:tabs>
        <w:ind w:left="107" w:hanging="420"/>
      </w:pPr>
    </w:lvl>
    <w:lvl w:ilvl="2" w:tentative="0">
      <w:start w:val="1"/>
      <w:numFmt w:val="lowerRoman"/>
      <w:lvlText w:val="%3."/>
      <w:lvlJc w:val="right"/>
      <w:pPr>
        <w:tabs>
          <w:tab w:val="left" w:pos="527"/>
        </w:tabs>
        <w:ind w:left="527" w:hanging="420"/>
      </w:pPr>
    </w:lvl>
    <w:lvl w:ilvl="3" w:tentative="0">
      <w:start w:val="1"/>
      <w:numFmt w:val="decimal"/>
      <w:lvlText w:val="%4."/>
      <w:lvlJc w:val="left"/>
      <w:pPr>
        <w:tabs>
          <w:tab w:val="left" w:pos="947"/>
        </w:tabs>
        <w:ind w:left="947" w:hanging="420"/>
      </w:pPr>
    </w:lvl>
    <w:lvl w:ilvl="4" w:tentative="0">
      <w:start w:val="1"/>
      <w:numFmt w:val="lowerLetter"/>
      <w:lvlText w:val="%5)"/>
      <w:lvlJc w:val="left"/>
      <w:pPr>
        <w:tabs>
          <w:tab w:val="left" w:pos="1367"/>
        </w:tabs>
        <w:ind w:left="1367" w:hanging="420"/>
      </w:pPr>
    </w:lvl>
    <w:lvl w:ilvl="5" w:tentative="0">
      <w:start w:val="1"/>
      <w:numFmt w:val="lowerRoman"/>
      <w:lvlText w:val="%6."/>
      <w:lvlJc w:val="right"/>
      <w:pPr>
        <w:tabs>
          <w:tab w:val="left" w:pos="1787"/>
        </w:tabs>
        <w:ind w:left="1787" w:hanging="420"/>
      </w:pPr>
    </w:lvl>
    <w:lvl w:ilvl="6" w:tentative="0">
      <w:start w:val="1"/>
      <w:numFmt w:val="decimal"/>
      <w:lvlText w:val="%7."/>
      <w:lvlJc w:val="left"/>
      <w:pPr>
        <w:tabs>
          <w:tab w:val="left" w:pos="2207"/>
        </w:tabs>
        <w:ind w:left="2207" w:hanging="420"/>
      </w:pPr>
    </w:lvl>
    <w:lvl w:ilvl="7" w:tentative="0">
      <w:start w:val="1"/>
      <w:numFmt w:val="lowerLetter"/>
      <w:lvlText w:val="%8)"/>
      <w:lvlJc w:val="left"/>
      <w:pPr>
        <w:tabs>
          <w:tab w:val="left" w:pos="2627"/>
        </w:tabs>
        <w:ind w:left="2627" w:hanging="420"/>
      </w:pPr>
    </w:lvl>
    <w:lvl w:ilvl="8" w:tentative="0">
      <w:start w:val="1"/>
      <w:numFmt w:val="lowerRoman"/>
      <w:lvlText w:val="%9."/>
      <w:lvlJc w:val="right"/>
      <w:pPr>
        <w:tabs>
          <w:tab w:val="left" w:pos="3047"/>
        </w:tabs>
        <w:ind w:left="3047" w:hanging="420"/>
      </w:pPr>
    </w:lvl>
  </w:abstractNum>
  <w:abstractNum w:abstractNumId="9">
    <w:nsid w:val="1A920E52"/>
    <w:multiLevelType w:val="multilevel"/>
    <w:tmpl w:val="1A920E52"/>
    <w:lvl w:ilvl="0" w:tentative="0">
      <w:start w:val="1"/>
      <w:numFmt w:val="decimal"/>
      <w:lvlText w:val="(%1)"/>
      <w:lvlJc w:val="left"/>
      <w:pPr>
        <w:ind w:left="1838" w:hanging="420"/>
      </w:pPr>
      <w:rPr>
        <w:rFonts w:hint="eastAsia"/>
      </w:rPr>
    </w:lvl>
    <w:lvl w:ilvl="1" w:tentative="0">
      <w:start w:val="1"/>
      <w:numFmt w:val="lowerLetter"/>
      <w:lvlText w:val="%2)"/>
      <w:lvlJc w:val="left"/>
      <w:pPr>
        <w:ind w:left="2258" w:hanging="420"/>
      </w:pPr>
    </w:lvl>
    <w:lvl w:ilvl="2" w:tentative="0">
      <w:start w:val="1"/>
      <w:numFmt w:val="lowerRoman"/>
      <w:lvlText w:val="%3."/>
      <w:lvlJc w:val="right"/>
      <w:pPr>
        <w:ind w:left="2678" w:hanging="420"/>
      </w:pPr>
    </w:lvl>
    <w:lvl w:ilvl="3" w:tentative="0">
      <w:start w:val="1"/>
      <w:numFmt w:val="decimal"/>
      <w:lvlText w:val="%4."/>
      <w:lvlJc w:val="left"/>
      <w:pPr>
        <w:ind w:left="3098" w:hanging="420"/>
      </w:pPr>
    </w:lvl>
    <w:lvl w:ilvl="4" w:tentative="0">
      <w:start w:val="1"/>
      <w:numFmt w:val="lowerLetter"/>
      <w:lvlText w:val="%5)"/>
      <w:lvlJc w:val="left"/>
      <w:pPr>
        <w:ind w:left="3518" w:hanging="420"/>
      </w:pPr>
    </w:lvl>
    <w:lvl w:ilvl="5" w:tentative="0">
      <w:start w:val="1"/>
      <w:numFmt w:val="lowerRoman"/>
      <w:lvlText w:val="%6."/>
      <w:lvlJc w:val="right"/>
      <w:pPr>
        <w:ind w:left="3938" w:hanging="420"/>
      </w:pPr>
    </w:lvl>
    <w:lvl w:ilvl="6" w:tentative="0">
      <w:start w:val="1"/>
      <w:numFmt w:val="decimal"/>
      <w:lvlText w:val="%7."/>
      <w:lvlJc w:val="left"/>
      <w:pPr>
        <w:ind w:left="4358" w:hanging="420"/>
      </w:pPr>
    </w:lvl>
    <w:lvl w:ilvl="7" w:tentative="0">
      <w:start w:val="1"/>
      <w:numFmt w:val="lowerLetter"/>
      <w:lvlText w:val="%8)"/>
      <w:lvlJc w:val="left"/>
      <w:pPr>
        <w:ind w:left="4778" w:hanging="420"/>
      </w:pPr>
    </w:lvl>
    <w:lvl w:ilvl="8" w:tentative="0">
      <w:start w:val="1"/>
      <w:numFmt w:val="lowerRoman"/>
      <w:lvlText w:val="%9."/>
      <w:lvlJc w:val="right"/>
      <w:pPr>
        <w:ind w:left="5198" w:hanging="420"/>
      </w:pPr>
    </w:lvl>
  </w:abstractNum>
  <w:abstractNum w:abstractNumId="10">
    <w:nsid w:val="1BEC5CBE"/>
    <w:multiLevelType w:val="multilevel"/>
    <w:tmpl w:val="1BEC5CBE"/>
    <w:lvl w:ilvl="0" w:tentative="0">
      <w:start w:val="1"/>
      <w:numFmt w:val="decimal"/>
      <w:lvlText w:val="(%1)"/>
      <w:lvlJc w:val="left"/>
      <w:pPr>
        <w:tabs>
          <w:tab w:val="left" w:pos="1333"/>
        </w:tabs>
        <w:ind w:left="1333" w:hanging="375"/>
      </w:pPr>
      <w:rPr>
        <w:rFonts w:hint="eastAsia"/>
        <w:b w:val="0"/>
        <w:color w:val="auto"/>
      </w:rPr>
    </w:lvl>
    <w:lvl w:ilvl="1" w:tentative="0">
      <w:start w:val="1"/>
      <w:numFmt w:val="lowerLetter"/>
      <w:lvlText w:val="%2)"/>
      <w:lvlJc w:val="left"/>
      <w:pPr>
        <w:tabs>
          <w:tab w:val="left" w:pos="107"/>
        </w:tabs>
        <w:ind w:left="107" w:hanging="420"/>
      </w:pPr>
    </w:lvl>
    <w:lvl w:ilvl="2" w:tentative="0">
      <w:start w:val="1"/>
      <w:numFmt w:val="lowerRoman"/>
      <w:lvlText w:val="%3."/>
      <w:lvlJc w:val="right"/>
      <w:pPr>
        <w:tabs>
          <w:tab w:val="left" w:pos="527"/>
        </w:tabs>
        <w:ind w:left="527" w:hanging="420"/>
      </w:pPr>
    </w:lvl>
    <w:lvl w:ilvl="3" w:tentative="0">
      <w:start w:val="1"/>
      <w:numFmt w:val="decimal"/>
      <w:lvlText w:val="%4."/>
      <w:lvlJc w:val="left"/>
      <w:pPr>
        <w:tabs>
          <w:tab w:val="left" w:pos="947"/>
        </w:tabs>
        <w:ind w:left="947" w:hanging="420"/>
      </w:pPr>
    </w:lvl>
    <w:lvl w:ilvl="4" w:tentative="0">
      <w:start w:val="1"/>
      <w:numFmt w:val="lowerLetter"/>
      <w:lvlText w:val="%5)"/>
      <w:lvlJc w:val="left"/>
      <w:pPr>
        <w:tabs>
          <w:tab w:val="left" w:pos="1367"/>
        </w:tabs>
        <w:ind w:left="1367" w:hanging="420"/>
      </w:pPr>
    </w:lvl>
    <w:lvl w:ilvl="5" w:tentative="0">
      <w:start w:val="1"/>
      <w:numFmt w:val="lowerRoman"/>
      <w:lvlText w:val="%6."/>
      <w:lvlJc w:val="right"/>
      <w:pPr>
        <w:tabs>
          <w:tab w:val="left" w:pos="1787"/>
        </w:tabs>
        <w:ind w:left="1787" w:hanging="420"/>
      </w:pPr>
    </w:lvl>
    <w:lvl w:ilvl="6" w:tentative="0">
      <w:start w:val="1"/>
      <w:numFmt w:val="decimal"/>
      <w:lvlText w:val="%7."/>
      <w:lvlJc w:val="left"/>
      <w:pPr>
        <w:tabs>
          <w:tab w:val="left" w:pos="2207"/>
        </w:tabs>
        <w:ind w:left="2207" w:hanging="420"/>
      </w:pPr>
    </w:lvl>
    <w:lvl w:ilvl="7" w:tentative="0">
      <w:start w:val="1"/>
      <w:numFmt w:val="lowerLetter"/>
      <w:lvlText w:val="%8)"/>
      <w:lvlJc w:val="left"/>
      <w:pPr>
        <w:tabs>
          <w:tab w:val="left" w:pos="2627"/>
        </w:tabs>
        <w:ind w:left="2627" w:hanging="420"/>
      </w:pPr>
    </w:lvl>
    <w:lvl w:ilvl="8" w:tentative="0">
      <w:start w:val="1"/>
      <w:numFmt w:val="lowerRoman"/>
      <w:lvlText w:val="%9."/>
      <w:lvlJc w:val="right"/>
      <w:pPr>
        <w:tabs>
          <w:tab w:val="left" w:pos="3047"/>
        </w:tabs>
        <w:ind w:left="3047" w:hanging="420"/>
      </w:pPr>
    </w:lvl>
  </w:abstractNum>
  <w:abstractNum w:abstractNumId="11">
    <w:nsid w:val="1C5D5E0A"/>
    <w:multiLevelType w:val="multilevel"/>
    <w:tmpl w:val="1C5D5E0A"/>
    <w:lvl w:ilvl="0" w:tentative="0">
      <w:start w:val="1"/>
      <w:numFmt w:val="decimal"/>
      <w:lvlText w:val="(%1)"/>
      <w:lvlJc w:val="left"/>
      <w:pPr>
        <w:tabs>
          <w:tab w:val="left" w:pos="1635"/>
        </w:tabs>
        <w:ind w:left="1635" w:hanging="375"/>
      </w:pPr>
      <w:rPr>
        <w:rFonts w:hint="eastAsia"/>
        <w:b w:val="0"/>
        <w:color w:val="auto"/>
      </w:rPr>
    </w:lvl>
    <w:lvl w:ilvl="1" w:tentative="0">
      <w:start w:val="1"/>
      <w:numFmt w:val="lowerLetter"/>
      <w:lvlText w:val="%2)"/>
      <w:lvlJc w:val="left"/>
      <w:pPr>
        <w:tabs>
          <w:tab w:val="left" w:pos="409"/>
        </w:tabs>
        <w:ind w:left="409" w:hanging="420"/>
      </w:pPr>
    </w:lvl>
    <w:lvl w:ilvl="2" w:tentative="0">
      <w:start w:val="1"/>
      <w:numFmt w:val="lowerRoman"/>
      <w:lvlText w:val="%3."/>
      <w:lvlJc w:val="right"/>
      <w:pPr>
        <w:tabs>
          <w:tab w:val="left" w:pos="829"/>
        </w:tabs>
        <w:ind w:left="829" w:hanging="420"/>
      </w:pPr>
    </w:lvl>
    <w:lvl w:ilvl="3" w:tentative="0">
      <w:start w:val="1"/>
      <w:numFmt w:val="decimal"/>
      <w:lvlText w:val="%4."/>
      <w:lvlJc w:val="left"/>
      <w:pPr>
        <w:tabs>
          <w:tab w:val="left" w:pos="1249"/>
        </w:tabs>
        <w:ind w:left="1249" w:hanging="420"/>
      </w:pPr>
    </w:lvl>
    <w:lvl w:ilvl="4" w:tentative="0">
      <w:start w:val="1"/>
      <w:numFmt w:val="lowerLetter"/>
      <w:lvlText w:val="%5)"/>
      <w:lvlJc w:val="left"/>
      <w:pPr>
        <w:tabs>
          <w:tab w:val="left" w:pos="1669"/>
        </w:tabs>
        <w:ind w:left="1669" w:hanging="420"/>
      </w:pPr>
    </w:lvl>
    <w:lvl w:ilvl="5" w:tentative="0">
      <w:start w:val="1"/>
      <w:numFmt w:val="lowerRoman"/>
      <w:lvlText w:val="%6."/>
      <w:lvlJc w:val="right"/>
      <w:pPr>
        <w:tabs>
          <w:tab w:val="left" w:pos="2089"/>
        </w:tabs>
        <w:ind w:left="2089" w:hanging="420"/>
      </w:pPr>
    </w:lvl>
    <w:lvl w:ilvl="6" w:tentative="0">
      <w:start w:val="1"/>
      <w:numFmt w:val="decimal"/>
      <w:lvlText w:val="%7."/>
      <w:lvlJc w:val="left"/>
      <w:pPr>
        <w:tabs>
          <w:tab w:val="left" w:pos="2509"/>
        </w:tabs>
        <w:ind w:left="2509" w:hanging="420"/>
      </w:pPr>
    </w:lvl>
    <w:lvl w:ilvl="7" w:tentative="0">
      <w:start w:val="1"/>
      <w:numFmt w:val="lowerLetter"/>
      <w:lvlText w:val="%8)"/>
      <w:lvlJc w:val="left"/>
      <w:pPr>
        <w:tabs>
          <w:tab w:val="left" w:pos="2929"/>
        </w:tabs>
        <w:ind w:left="2929" w:hanging="420"/>
      </w:pPr>
    </w:lvl>
    <w:lvl w:ilvl="8" w:tentative="0">
      <w:start w:val="1"/>
      <w:numFmt w:val="lowerRoman"/>
      <w:lvlText w:val="%9."/>
      <w:lvlJc w:val="right"/>
      <w:pPr>
        <w:tabs>
          <w:tab w:val="left" w:pos="3349"/>
        </w:tabs>
        <w:ind w:left="3349" w:hanging="420"/>
      </w:pPr>
    </w:lvl>
  </w:abstractNum>
  <w:abstractNum w:abstractNumId="12">
    <w:nsid w:val="1E987092"/>
    <w:multiLevelType w:val="multilevel"/>
    <w:tmpl w:val="1E987092"/>
    <w:lvl w:ilvl="0" w:tentative="0">
      <w:start w:val="1"/>
      <w:numFmt w:val="decimal"/>
      <w:lvlText w:val="(%1)"/>
      <w:lvlJc w:val="left"/>
      <w:pPr>
        <w:tabs>
          <w:tab w:val="left" w:pos="1635"/>
        </w:tabs>
        <w:ind w:left="1635" w:hanging="375"/>
      </w:pPr>
      <w:rPr>
        <w:rFonts w:hint="eastAsia"/>
        <w:b w:val="0"/>
        <w:color w:val="auto"/>
      </w:rPr>
    </w:lvl>
    <w:lvl w:ilvl="1" w:tentative="0">
      <w:start w:val="1"/>
      <w:numFmt w:val="lowerLetter"/>
      <w:lvlText w:val="%2)"/>
      <w:lvlJc w:val="left"/>
      <w:pPr>
        <w:tabs>
          <w:tab w:val="left" w:pos="409"/>
        </w:tabs>
        <w:ind w:left="409" w:hanging="420"/>
      </w:pPr>
    </w:lvl>
    <w:lvl w:ilvl="2" w:tentative="0">
      <w:start w:val="1"/>
      <w:numFmt w:val="lowerRoman"/>
      <w:lvlText w:val="%3."/>
      <w:lvlJc w:val="right"/>
      <w:pPr>
        <w:tabs>
          <w:tab w:val="left" w:pos="829"/>
        </w:tabs>
        <w:ind w:left="829" w:hanging="420"/>
      </w:pPr>
    </w:lvl>
    <w:lvl w:ilvl="3" w:tentative="0">
      <w:start w:val="1"/>
      <w:numFmt w:val="decimal"/>
      <w:lvlText w:val="%4."/>
      <w:lvlJc w:val="left"/>
      <w:pPr>
        <w:tabs>
          <w:tab w:val="left" w:pos="1249"/>
        </w:tabs>
        <w:ind w:left="1249" w:hanging="420"/>
      </w:pPr>
    </w:lvl>
    <w:lvl w:ilvl="4" w:tentative="0">
      <w:start w:val="1"/>
      <w:numFmt w:val="lowerLetter"/>
      <w:lvlText w:val="%5)"/>
      <w:lvlJc w:val="left"/>
      <w:pPr>
        <w:tabs>
          <w:tab w:val="left" w:pos="1669"/>
        </w:tabs>
        <w:ind w:left="1669" w:hanging="420"/>
      </w:pPr>
    </w:lvl>
    <w:lvl w:ilvl="5" w:tentative="0">
      <w:start w:val="1"/>
      <w:numFmt w:val="lowerRoman"/>
      <w:lvlText w:val="%6."/>
      <w:lvlJc w:val="right"/>
      <w:pPr>
        <w:tabs>
          <w:tab w:val="left" w:pos="2089"/>
        </w:tabs>
        <w:ind w:left="2089" w:hanging="420"/>
      </w:pPr>
    </w:lvl>
    <w:lvl w:ilvl="6" w:tentative="0">
      <w:start w:val="1"/>
      <w:numFmt w:val="decimal"/>
      <w:lvlText w:val="%7."/>
      <w:lvlJc w:val="left"/>
      <w:pPr>
        <w:tabs>
          <w:tab w:val="left" w:pos="2509"/>
        </w:tabs>
        <w:ind w:left="2509" w:hanging="420"/>
      </w:pPr>
    </w:lvl>
    <w:lvl w:ilvl="7" w:tentative="0">
      <w:start w:val="1"/>
      <w:numFmt w:val="lowerLetter"/>
      <w:lvlText w:val="%8)"/>
      <w:lvlJc w:val="left"/>
      <w:pPr>
        <w:tabs>
          <w:tab w:val="left" w:pos="2929"/>
        </w:tabs>
        <w:ind w:left="2929" w:hanging="420"/>
      </w:pPr>
    </w:lvl>
    <w:lvl w:ilvl="8" w:tentative="0">
      <w:start w:val="1"/>
      <w:numFmt w:val="lowerRoman"/>
      <w:lvlText w:val="%9."/>
      <w:lvlJc w:val="right"/>
      <w:pPr>
        <w:tabs>
          <w:tab w:val="left" w:pos="3349"/>
        </w:tabs>
        <w:ind w:left="3349" w:hanging="420"/>
      </w:pPr>
    </w:lvl>
  </w:abstractNum>
  <w:abstractNum w:abstractNumId="13">
    <w:nsid w:val="20064784"/>
    <w:multiLevelType w:val="multilevel"/>
    <w:tmpl w:val="20064784"/>
    <w:lvl w:ilvl="0" w:tentative="0">
      <w:start w:val="1"/>
      <w:numFmt w:val="decimal"/>
      <w:lvlText w:val="(%1)"/>
      <w:lvlJc w:val="left"/>
      <w:pPr>
        <w:tabs>
          <w:tab w:val="left" w:pos="1635"/>
        </w:tabs>
        <w:ind w:left="1635" w:hanging="375"/>
      </w:pPr>
      <w:rPr>
        <w:rFonts w:hint="eastAsia"/>
        <w:b w:val="0"/>
        <w:color w:val="auto"/>
      </w:rPr>
    </w:lvl>
    <w:lvl w:ilvl="1" w:tentative="0">
      <w:start w:val="1"/>
      <w:numFmt w:val="lowerLetter"/>
      <w:lvlText w:val="%2)"/>
      <w:lvlJc w:val="left"/>
      <w:pPr>
        <w:tabs>
          <w:tab w:val="left" w:pos="409"/>
        </w:tabs>
        <w:ind w:left="409" w:hanging="420"/>
      </w:pPr>
    </w:lvl>
    <w:lvl w:ilvl="2" w:tentative="0">
      <w:start w:val="1"/>
      <w:numFmt w:val="lowerRoman"/>
      <w:lvlText w:val="%3."/>
      <w:lvlJc w:val="right"/>
      <w:pPr>
        <w:tabs>
          <w:tab w:val="left" w:pos="829"/>
        </w:tabs>
        <w:ind w:left="829" w:hanging="420"/>
      </w:pPr>
    </w:lvl>
    <w:lvl w:ilvl="3" w:tentative="0">
      <w:start w:val="1"/>
      <w:numFmt w:val="decimal"/>
      <w:lvlText w:val="%4."/>
      <w:lvlJc w:val="left"/>
      <w:pPr>
        <w:tabs>
          <w:tab w:val="left" w:pos="1249"/>
        </w:tabs>
        <w:ind w:left="1249" w:hanging="420"/>
      </w:pPr>
    </w:lvl>
    <w:lvl w:ilvl="4" w:tentative="0">
      <w:start w:val="1"/>
      <w:numFmt w:val="lowerLetter"/>
      <w:lvlText w:val="%5)"/>
      <w:lvlJc w:val="left"/>
      <w:pPr>
        <w:tabs>
          <w:tab w:val="left" w:pos="1669"/>
        </w:tabs>
        <w:ind w:left="1669" w:hanging="420"/>
      </w:pPr>
    </w:lvl>
    <w:lvl w:ilvl="5" w:tentative="0">
      <w:start w:val="1"/>
      <w:numFmt w:val="lowerRoman"/>
      <w:lvlText w:val="%6."/>
      <w:lvlJc w:val="right"/>
      <w:pPr>
        <w:tabs>
          <w:tab w:val="left" w:pos="2089"/>
        </w:tabs>
        <w:ind w:left="2089" w:hanging="420"/>
      </w:pPr>
    </w:lvl>
    <w:lvl w:ilvl="6" w:tentative="0">
      <w:start w:val="1"/>
      <w:numFmt w:val="decimal"/>
      <w:lvlText w:val="%7."/>
      <w:lvlJc w:val="left"/>
      <w:pPr>
        <w:tabs>
          <w:tab w:val="left" w:pos="2509"/>
        </w:tabs>
        <w:ind w:left="2509" w:hanging="420"/>
      </w:pPr>
    </w:lvl>
    <w:lvl w:ilvl="7" w:tentative="0">
      <w:start w:val="1"/>
      <w:numFmt w:val="lowerLetter"/>
      <w:lvlText w:val="%8)"/>
      <w:lvlJc w:val="left"/>
      <w:pPr>
        <w:tabs>
          <w:tab w:val="left" w:pos="2929"/>
        </w:tabs>
        <w:ind w:left="2929" w:hanging="420"/>
      </w:pPr>
    </w:lvl>
    <w:lvl w:ilvl="8" w:tentative="0">
      <w:start w:val="1"/>
      <w:numFmt w:val="lowerRoman"/>
      <w:lvlText w:val="%9."/>
      <w:lvlJc w:val="right"/>
      <w:pPr>
        <w:tabs>
          <w:tab w:val="left" w:pos="3349"/>
        </w:tabs>
        <w:ind w:left="3349" w:hanging="420"/>
      </w:pPr>
    </w:lvl>
  </w:abstractNum>
  <w:abstractNum w:abstractNumId="14">
    <w:nsid w:val="203D7746"/>
    <w:multiLevelType w:val="multilevel"/>
    <w:tmpl w:val="203D7746"/>
    <w:lvl w:ilvl="0" w:tentative="0">
      <w:start w:val="1"/>
      <w:numFmt w:val="decimal"/>
      <w:lvlText w:val="(%1)"/>
      <w:lvlJc w:val="left"/>
      <w:pPr>
        <w:tabs>
          <w:tab w:val="left" w:pos="1455"/>
        </w:tabs>
        <w:ind w:left="1455" w:hanging="375"/>
      </w:pPr>
      <w:rPr>
        <w:rFonts w:hint="eastAsia"/>
        <w:b w:val="0"/>
        <w:color w:val="auto"/>
      </w:rPr>
    </w:lvl>
    <w:lvl w:ilvl="1" w:tentative="0">
      <w:start w:val="1"/>
      <w:numFmt w:val="lowerLetter"/>
      <w:lvlText w:val="%2)"/>
      <w:lvlJc w:val="left"/>
      <w:pPr>
        <w:tabs>
          <w:tab w:val="left" w:pos="229"/>
        </w:tabs>
        <w:ind w:left="229" w:hanging="420"/>
      </w:pPr>
    </w:lvl>
    <w:lvl w:ilvl="2" w:tentative="0">
      <w:start w:val="1"/>
      <w:numFmt w:val="lowerRoman"/>
      <w:lvlText w:val="%3."/>
      <w:lvlJc w:val="right"/>
      <w:pPr>
        <w:tabs>
          <w:tab w:val="left" w:pos="649"/>
        </w:tabs>
        <w:ind w:left="649" w:hanging="420"/>
      </w:pPr>
    </w:lvl>
    <w:lvl w:ilvl="3" w:tentative="0">
      <w:start w:val="1"/>
      <w:numFmt w:val="decimal"/>
      <w:lvlText w:val="%4."/>
      <w:lvlJc w:val="left"/>
      <w:pPr>
        <w:tabs>
          <w:tab w:val="left" w:pos="1069"/>
        </w:tabs>
        <w:ind w:left="1069" w:hanging="420"/>
      </w:pPr>
    </w:lvl>
    <w:lvl w:ilvl="4" w:tentative="0">
      <w:start w:val="1"/>
      <w:numFmt w:val="lowerLetter"/>
      <w:lvlText w:val="%5)"/>
      <w:lvlJc w:val="left"/>
      <w:pPr>
        <w:tabs>
          <w:tab w:val="left" w:pos="1489"/>
        </w:tabs>
        <w:ind w:left="1489" w:hanging="420"/>
      </w:pPr>
    </w:lvl>
    <w:lvl w:ilvl="5" w:tentative="0">
      <w:start w:val="1"/>
      <w:numFmt w:val="lowerRoman"/>
      <w:lvlText w:val="%6."/>
      <w:lvlJc w:val="right"/>
      <w:pPr>
        <w:tabs>
          <w:tab w:val="left" w:pos="1909"/>
        </w:tabs>
        <w:ind w:left="1909" w:hanging="420"/>
      </w:pPr>
    </w:lvl>
    <w:lvl w:ilvl="6" w:tentative="0">
      <w:start w:val="1"/>
      <w:numFmt w:val="decimal"/>
      <w:lvlText w:val="%7."/>
      <w:lvlJc w:val="left"/>
      <w:pPr>
        <w:tabs>
          <w:tab w:val="left" w:pos="2329"/>
        </w:tabs>
        <w:ind w:left="2329" w:hanging="420"/>
      </w:pPr>
    </w:lvl>
    <w:lvl w:ilvl="7" w:tentative="0">
      <w:start w:val="1"/>
      <w:numFmt w:val="lowerLetter"/>
      <w:lvlText w:val="%8)"/>
      <w:lvlJc w:val="left"/>
      <w:pPr>
        <w:tabs>
          <w:tab w:val="left" w:pos="2749"/>
        </w:tabs>
        <w:ind w:left="2749" w:hanging="420"/>
      </w:pPr>
    </w:lvl>
    <w:lvl w:ilvl="8" w:tentative="0">
      <w:start w:val="1"/>
      <w:numFmt w:val="lowerRoman"/>
      <w:lvlText w:val="%9."/>
      <w:lvlJc w:val="right"/>
      <w:pPr>
        <w:tabs>
          <w:tab w:val="left" w:pos="3169"/>
        </w:tabs>
        <w:ind w:left="3169" w:hanging="420"/>
      </w:pPr>
    </w:lvl>
  </w:abstractNum>
  <w:abstractNum w:abstractNumId="15">
    <w:nsid w:val="23ED6B3D"/>
    <w:multiLevelType w:val="multilevel"/>
    <w:tmpl w:val="23ED6B3D"/>
    <w:lvl w:ilvl="0" w:tentative="0">
      <w:start w:val="1"/>
      <w:numFmt w:val="decimal"/>
      <w:lvlText w:val="(%1)"/>
      <w:lvlJc w:val="left"/>
      <w:pPr>
        <w:tabs>
          <w:tab w:val="left" w:pos="1333"/>
        </w:tabs>
        <w:ind w:left="1333" w:hanging="375"/>
      </w:pPr>
      <w:rPr>
        <w:rFonts w:hint="eastAsia"/>
        <w:b w:val="0"/>
        <w:color w:val="auto"/>
      </w:rPr>
    </w:lvl>
    <w:lvl w:ilvl="1" w:tentative="0">
      <w:start w:val="1"/>
      <w:numFmt w:val="lowerLetter"/>
      <w:lvlText w:val="%2)"/>
      <w:lvlJc w:val="left"/>
      <w:pPr>
        <w:tabs>
          <w:tab w:val="left" w:pos="107"/>
        </w:tabs>
        <w:ind w:left="107" w:hanging="420"/>
      </w:pPr>
    </w:lvl>
    <w:lvl w:ilvl="2" w:tentative="0">
      <w:start w:val="1"/>
      <w:numFmt w:val="lowerRoman"/>
      <w:lvlText w:val="%3."/>
      <w:lvlJc w:val="right"/>
      <w:pPr>
        <w:tabs>
          <w:tab w:val="left" w:pos="527"/>
        </w:tabs>
        <w:ind w:left="527" w:hanging="420"/>
      </w:pPr>
    </w:lvl>
    <w:lvl w:ilvl="3" w:tentative="0">
      <w:start w:val="1"/>
      <w:numFmt w:val="decimal"/>
      <w:lvlText w:val="%4."/>
      <w:lvlJc w:val="left"/>
      <w:pPr>
        <w:tabs>
          <w:tab w:val="left" w:pos="947"/>
        </w:tabs>
        <w:ind w:left="947" w:hanging="420"/>
      </w:pPr>
    </w:lvl>
    <w:lvl w:ilvl="4" w:tentative="0">
      <w:start w:val="1"/>
      <w:numFmt w:val="lowerLetter"/>
      <w:lvlText w:val="%5)"/>
      <w:lvlJc w:val="left"/>
      <w:pPr>
        <w:tabs>
          <w:tab w:val="left" w:pos="1367"/>
        </w:tabs>
        <w:ind w:left="1367" w:hanging="420"/>
      </w:pPr>
    </w:lvl>
    <w:lvl w:ilvl="5" w:tentative="0">
      <w:start w:val="1"/>
      <w:numFmt w:val="lowerRoman"/>
      <w:lvlText w:val="%6."/>
      <w:lvlJc w:val="right"/>
      <w:pPr>
        <w:tabs>
          <w:tab w:val="left" w:pos="1787"/>
        </w:tabs>
        <w:ind w:left="1787" w:hanging="420"/>
      </w:pPr>
    </w:lvl>
    <w:lvl w:ilvl="6" w:tentative="0">
      <w:start w:val="1"/>
      <w:numFmt w:val="decimal"/>
      <w:lvlText w:val="%7."/>
      <w:lvlJc w:val="left"/>
      <w:pPr>
        <w:tabs>
          <w:tab w:val="left" w:pos="2207"/>
        </w:tabs>
        <w:ind w:left="2207" w:hanging="420"/>
      </w:pPr>
    </w:lvl>
    <w:lvl w:ilvl="7" w:tentative="0">
      <w:start w:val="1"/>
      <w:numFmt w:val="lowerLetter"/>
      <w:lvlText w:val="%8)"/>
      <w:lvlJc w:val="left"/>
      <w:pPr>
        <w:tabs>
          <w:tab w:val="left" w:pos="2627"/>
        </w:tabs>
        <w:ind w:left="2627" w:hanging="420"/>
      </w:pPr>
    </w:lvl>
    <w:lvl w:ilvl="8" w:tentative="0">
      <w:start w:val="1"/>
      <w:numFmt w:val="lowerRoman"/>
      <w:lvlText w:val="%9."/>
      <w:lvlJc w:val="right"/>
      <w:pPr>
        <w:tabs>
          <w:tab w:val="left" w:pos="3047"/>
        </w:tabs>
        <w:ind w:left="3047" w:hanging="420"/>
      </w:pPr>
    </w:lvl>
  </w:abstractNum>
  <w:abstractNum w:abstractNumId="16">
    <w:nsid w:val="2478375C"/>
    <w:multiLevelType w:val="multilevel"/>
    <w:tmpl w:val="2478375C"/>
    <w:lvl w:ilvl="0" w:tentative="0">
      <w:start w:val="1"/>
      <w:numFmt w:val="decimal"/>
      <w:lvlText w:val="(%1)"/>
      <w:lvlJc w:val="left"/>
      <w:pPr>
        <w:tabs>
          <w:tab w:val="left" w:pos="1635"/>
        </w:tabs>
        <w:ind w:left="1635" w:hanging="375"/>
      </w:pPr>
      <w:rPr>
        <w:rFonts w:hint="eastAsia"/>
        <w:b w:val="0"/>
        <w:color w:val="auto"/>
      </w:rPr>
    </w:lvl>
    <w:lvl w:ilvl="1" w:tentative="0">
      <w:start w:val="1"/>
      <w:numFmt w:val="lowerLetter"/>
      <w:lvlText w:val="%2)"/>
      <w:lvlJc w:val="left"/>
      <w:pPr>
        <w:tabs>
          <w:tab w:val="left" w:pos="409"/>
        </w:tabs>
        <w:ind w:left="409" w:hanging="420"/>
      </w:pPr>
    </w:lvl>
    <w:lvl w:ilvl="2" w:tentative="0">
      <w:start w:val="1"/>
      <w:numFmt w:val="lowerRoman"/>
      <w:lvlText w:val="%3."/>
      <w:lvlJc w:val="right"/>
      <w:pPr>
        <w:tabs>
          <w:tab w:val="left" w:pos="829"/>
        </w:tabs>
        <w:ind w:left="829" w:hanging="420"/>
      </w:pPr>
    </w:lvl>
    <w:lvl w:ilvl="3" w:tentative="0">
      <w:start w:val="1"/>
      <w:numFmt w:val="decimal"/>
      <w:lvlText w:val="%4."/>
      <w:lvlJc w:val="left"/>
      <w:pPr>
        <w:tabs>
          <w:tab w:val="left" w:pos="1249"/>
        </w:tabs>
        <w:ind w:left="1249" w:hanging="420"/>
      </w:pPr>
    </w:lvl>
    <w:lvl w:ilvl="4" w:tentative="0">
      <w:start w:val="1"/>
      <w:numFmt w:val="lowerLetter"/>
      <w:lvlText w:val="%5)"/>
      <w:lvlJc w:val="left"/>
      <w:pPr>
        <w:tabs>
          <w:tab w:val="left" w:pos="1669"/>
        </w:tabs>
        <w:ind w:left="1669" w:hanging="420"/>
      </w:pPr>
    </w:lvl>
    <w:lvl w:ilvl="5" w:tentative="0">
      <w:start w:val="1"/>
      <w:numFmt w:val="lowerRoman"/>
      <w:lvlText w:val="%6."/>
      <w:lvlJc w:val="right"/>
      <w:pPr>
        <w:tabs>
          <w:tab w:val="left" w:pos="2089"/>
        </w:tabs>
        <w:ind w:left="2089" w:hanging="420"/>
      </w:pPr>
    </w:lvl>
    <w:lvl w:ilvl="6" w:tentative="0">
      <w:start w:val="1"/>
      <w:numFmt w:val="decimal"/>
      <w:lvlText w:val="%7."/>
      <w:lvlJc w:val="left"/>
      <w:pPr>
        <w:tabs>
          <w:tab w:val="left" w:pos="2509"/>
        </w:tabs>
        <w:ind w:left="2509" w:hanging="420"/>
      </w:pPr>
    </w:lvl>
    <w:lvl w:ilvl="7" w:tentative="0">
      <w:start w:val="1"/>
      <w:numFmt w:val="lowerLetter"/>
      <w:lvlText w:val="%8)"/>
      <w:lvlJc w:val="left"/>
      <w:pPr>
        <w:tabs>
          <w:tab w:val="left" w:pos="2929"/>
        </w:tabs>
        <w:ind w:left="2929" w:hanging="420"/>
      </w:pPr>
    </w:lvl>
    <w:lvl w:ilvl="8" w:tentative="0">
      <w:start w:val="1"/>
      <w:numFmt w:val="lowerRoman"/>
      <w:lvlText w:val="%9."/>
      <w:lvlJc w:val="right"/>
      <w:pPr>
        <w:tabs>
          <w:tab w:val="left" w:pos="3349"/>
        </w:tabs>
        <w:ind w:left="3349" w:hanging="420"/>
      </w:pPr>
    </w:lvl>
  </w:abstractNum>
  <w:abstractNum w:abstractNumId="17">
    <w:nsid w:val="25584BC6"/>
    <w:multiLevelType w:val="multilevel"/>
    <w:tmpl w:val="25584BC6"/>
    <w:lvl w:ilvl="0" w:tentative="0">
      <w:start w:val="1"/>
      <w:numFmt w:val="decimal"/>
      <w:lvlText w:val="%1"/>
      <w:lvlJc w:val="left"/>
      <w:pPr>
        <w:tabs>
          <w:tab w:val="left" w:pos="425"/>
        </w:tabs>
        <w:ind w:left="425" w:hanging="425"/>
      </w:pPr>
      <w:rPr>
        <w:b/>
      </w:rPr>
    </w:lvl>
    <w:lvl w:ilvl="1" w:tentative="0">
      <w:start w:val="1"/>
      <w:numFmt w:val="decimal"/>
      <w:lvlText w:val="%1.%2"/>
      <w:lvlJc w:val="left"/>
      <w:pPr>
        <w:tabs>
          <w:tab w:val="left" w:pos="992"/>
        </w:tabs>
        <w:ind w:left="992" w:hanging="567"/>
      </w:pPr>
      <w:rPr>
        <w:b/>
        <w:color w:val="auto"/>
      </w:rPr>
    </w:lvl>
    <w:lvl w:ilvl="2" w:tentative="0">
      <w:start w:val="1"/>
      <w:numFmt w:val="decimal"/>
      <w:lvlText w:val="%1.%2.%3"/>
      <w:lvlJc w:val="left"/>
      <w:pPr>
        <w:tabs>
          <w:tab w:val="left" w:pos="1997"/>
        </w:tabs>
        <w:ind w:left="1844" w:hanging="567"/>
      </w:pPr>
      <w:rPr>
        <w:rFonts w:hint="default" w:ascii="Times New Roman" w:hAnsi="Times New Roman" w:cs="Times New Roman"/>
        <w:b/>
        <w:i w:val="0"/>
        <w:iCs/>
        <w:color w:val="auto"/>
        <w:sz w:val="24"/>
        <w:szCs w:val="24"/>
      </w:rPr>
    </w:lvl>
    <w:lvl w:ilvl="3" w:tentative="0">
      <w:start w:val="1"/>
      <w:numFmt w:val="decimal"/>
      <w:lvlText w:val="%1.%2.%3.%4"/>
      <w:lvlJc w:val="left"/>
      <w:pPr>
        <w:tabs>
          <w:tab w:val="left" w:pos="2356"/>
        </w:tabs>
        <w:ind w:left="1984" w:hanging="708"/>
      </w:pPr>
      <w:rPr>
        <w:b/>
      </w:rPr>
    </w:lvl>
    <w:lvl w:ilvl="4" w:tentative="0">
      <w:start w:val="1"/>
      <w:numFmt w:val="decimal"/>
      <w:lvlText w:val="%1.%2.%3.%4.%5"/>
      <w:lvlJc w:val="left"/>
      <w:pPr>
        <w:tabs>
          <w:tab w:val="left" w:pos="2781"/>
        </w:tabs>
        <w:ind w:left="2551" w:hanging="850"/>
      </w:pPr>
    </w:lvl>
    <w:lvl w:ilvl="5" w:tentative="0">
      <w:start w:val="1"/>
      <w:numFmt w:val="decimal"/>
      <w:lvlText w:val="%1.%2.%3.%4.%5.%6"/>
      <w:lvlJc w:val="left"/>
      <w:pPr>
        <w:tabs>
          <w:tab w:val="left" w:pos="3566"/>
        </w:tabs>
        <w:ind w:left="3260" w:hanging="1134"/>
      </w:pPr>
    </w:lvl>
    <w:lvl w:ilvl="6" w:tentative="0">
      <w:start w:val="1"/>
      <w:numFmt w:val="decimal"/>
      <w:lvlText w:val="%1.%2.%3.%4.%5.%6.%7"/>
      <w:lvlJc w:val="left"/>
      <w:pPr>
        <w:tabs>
          <w:tab w:val="left" w:pos="4351"/>
        </w:tabs>
        <w:ind w:left="3827" w:hanging="1276"/>
      </w:pPr>
    </w:lvl>
    <w:lvl w:ilvl="7" w:tentative="0">
      <w:start w:val="1"/>
      <w:numFmt w:val="decimal"/>
      <w:lvlText w:val="%1.%2.%3.%4.%5.%6.%7.%8"/>
      <w:lvlJc w:val="left"/>
      <w:pPr>
        <w:tabs>
          <w:tab w:val="left" w:pos="4776"/>
        </w:tabs>
        <w:ind w:left="4394" w:hanging="1418"/>
      </w:pPr>
    </w:lvl>
    <w:lvl w:ilvl="8" w:tentative="0">
      <w:start w:val="1"/>
      <w:numFmt w:val="decimal"/>
      <w:lvlText w:val="%1.%2.%3.%4.%5.%6.%7.%8.%9"/>
      <w:lvlJc w:val="left"/>
      <w:pPr>
        <w:tabs>
          <w:tab w:val="left" w:pos="5562"/>
        </w:tabs>
        <w:ind w:left="5102" w:hanging="1700"/>
      </w:pPr>
    </w:lvl>
  </w:abstractNum>
  <w:abstractNum w:abstractNumId="18">
    <w:nsid w:val="25E50E28"/>
    <w:multiLevelType w:val="multilevel"/>
    <w:tmpl w:val="25E50E28"/>
    <w:lvl w:ilvl="0" w:tentative="0">
      <w:start w:val="1"/>
      <w:numFmt w:val="decimal"/>
      <w:lvlText w:val="(%1)"/>
      <w:lvlJc w:val="left"/>
      <w:pPr>
        <w:tabs>
          <w:tab w:val="left" w:pos="1635"/>
        </w:tabs>
        <w:ind w:left="1635" w:hanging="375"/>
      </w:pPr>
      <w:rPr>
        <w:rFonts w:hint="eastAsia"/>
        <w:b w:val="0"/>
        <w:color w:val="auto"/>
      </w:rPr>
    </w:lvl>
    <w:lvl w:ilvl="1" w:tentative="0">
      <w:start w:val="1"/>
      <w:numFmt w:val="lowerLetter"/>
      <w:lvlText w:val="%2)"/>
      <w:lvlJc w:val="left"/>
      <w:pPr>
        <w:tabs>
          <w:tab w:val="left" w:pos="409"/>
        </w:tabs>
        <w:ind w:left="409" w:hanging="420"/>
      </w:pPr>
    </w:lvl>
    <w:lvl w:ilvl="2" w:tentative="0">
      <w:start w:val="1"/>
      <w:numFmt w:val="lowerRoman"/>
      <w:lvlText w:val="%3."/>
      <w:lvlJc w:val="right"/>
      <w:pPr>
        <w:tabs>
          <w:tab w:val="left" w:pos="829"/>
        </w:tabs>
        <w:ind w:left="829" w:hanging="420"/>
      </w:pPr>
    </w:lvl>
    <w:lvl w:ilvl="3" w:tentative="0">
      <w:start w:val="1"/>
      <w:numFmt w:val="decimal"/>
      <w:lvlText w:val="%4."/>
      <w:lvlJc w:val="left"/>
      <w:pPr>
        <w:tabs>
          <w:tab w:val="left" w:pos="1249"/>
        </w:tabs>
        <w:ind w:left="1249" w:hanging="420"/>
      </w:pPr>
    </w:lvl>
    <w:lvl w:ilvl="4" w:tentative="0">
      <w:start w:val="1"/>
      <w:numFmt w:val="lowerLetter"/>
      <w:lvlText w:val="%5)"/>
      <w:lvlJc w:val="left"/>
      <w:pPr>
        <w:tabs>
          <w:tab w:val="left" w:pos="1669"/>
        </w:tabs>
        <w:ind w:left="1669" w:hanging="420"/>
      </w:pPr>
    </w:lvl>
    <w:lvl w:ilvl="5" w:tentative="0">
      <w:start w:val="1"/>
      <w:numFmt w:val="lowerRoman"/>
      <w:lvlText w:val="%6."/>
      <w:lvlJc w:val="right"/>
      <w:pPr>
        <w:tabs>
          <w:tab w:val="left" w:pos="2089"/>
        </w:tabs>
        <w:ind w:left="2089" w:hanging="420"/>
      </w:pPr>
    </w:lvl>
    <w:lvl w:ilvl="6" w:tentative="0">
      <w:start w:val="1"/>
      <w:numFmt w:val="decimal"/>
      <w:lvlText w:val="%7."/>
      <w:lvlJc w:val="left"/>
      <w:pPr>
        <w:tabs>
          <w:tab w:val="left" w:pos="2509"/>
        </w:tabs>
        <w:ind w:left="2509" w:hanging="420"/>
      </w:pPr>
    </w:lvl>
    <w:lvl w:ilvl="7" w:tentative="0">
      <w:start w:val="1"/>
      <w:numFmt w:val="lowerLetter"/>
      <w:lvlText w:val="%8)"/>
      <w:lvlJc w:val="left"/>
      <w:pPr>
        <w:tabs>
          <w:tab w:val="left" w:pos="2929"/>
        </w:tabs>
        <w:ind w:left="2929" w:hanging="420"/>
      </w:pPr>
    </w:lvl>
    <w:lvl w:ilvl="8" w:tentative="0">
      <w:start w:val="1"/>
      <w:numFmt w:val="lowerRoman"/>
      <w:lvlText w:val="%9."/>
      <w:lvlJc w:val="right"/>
      <w:pPr>
        <w:tabs>
          <w:tab w:val="left" w:pos="3349"/>
        </w:tabs>
        <w:ind w:left="3349" w:hanging="420"/>
      </w:pPr>
    </w:lvl>
  </w:abstractNum>
  <w:abstractNum w:abstractNumId="19">
    <w:nsid w:val="26036823"/>
    <w:multiLevelType w:val="multilevel"/>
    <w:tmpl w:val="26036823"/>
    <w:lvl w:ilvl="0" w:tentative="0">
      <w:start w:val="1"/>
      <w:numFmt w:val="decimal"/>
      <w:lvlText w:val="(%1)"/>
      <w:lvlJc w:val="left"/>
      <w:pPr>
        <w:tabs>
          <w:tab w:val="left" w:pos="1333"/>
        </w:tabs>
        <w:ind w:left="1333" w:hanging="375"/>
      </w:pPr>
      <w:rPr>
        <w:rFonts w:hint="eastAsia"/>
        <w:b w:val="0"/>
        <w:color w:val="auto"/>
      </w:rPr>
    </w:lvl>
    <w:lvl w:ilvl="1" w:tentative="0">
      <w:start w:val="1"/>
      <w:numFmt w:val="lowerLetter"/>
      <w:lvlText w:val="%2)"/>
      <w:lvlJc w:val="left"/>
      <w:pPr>
        <w:tabs>
          <w:tab w:val="left" w:pos="107"/>
        </w:tabs>
        <w:ind w:left="107" w:hanging="420"/>
      </w:pPr>
    </w:lvl>
    <w:lvl w:ilvl="2" w:tentative="0">
      <w:start w:val="1"/>
      <w:numFmt w:val="lowerRoman"/>
      <w:lvlText w:val="%3."/>
      <w:lvlJc w:val="right"/>
      <w:pPr>
        <w:tabs>
          <w:tab w:val="left" w:pos="527"/>
        </w:tabs>
        <w:ind w:left="527" w:hanging="420"/>
      </w:pPr>
    </w:lvl>
    <w:lvl w:ilvl="3" w:tentative="0">
      <w:start w:val="1"/>
      <w:numFmt w:val="decimal"/>
      <w:lvlText w:val="%4."/>
      <w:lvlJc w:val="left"/>
      <w:pPr>
        <w:tabs>
          <w:tab w:val="left" w:pos="947"/>
        </w:tabs>
        <w:ind w:left="947" w:hanging="420"/>
      </w:pPr>
    </w:lvl>
    <w:lvl w:ilvl="4" w:tentative="0">
      <w:start w:val="1"/>
      <w:numFmt w:val="lowerLetter"/>
      <w:lvlText w:val="%5)"/>
      <w:lvlJc w:val="left"/>
      <w:pPr>
        <w:tabs>
          <w:tab w:val="left" w:pos="1367"/>
        </w:tabs>
        <w:ind w:left="1367" w:hanging="420"/>
      </w:pPr>
    </w:lvl>
    <w:lvl w:ilvl="5" w:tentative="0">
      <w:start w:val="1"/>
      <w:numFmt w:val="lowerRoman"/>
      <w:lvlText w:val="%6."/>
      <w:lvlJc w:val="right"/>
      <w:pPr>
        <w:tabs>
          <w:tab w:val="left" w:pos="1787"/>
        </w:tabs>
        <w:ind w:left="1787" w:hanging="420"/>
      </w:pPr>
    </w:lvl>
    <w:lvl w:ilvl="6" w:tentative="0">
      <w:start w:val="1"/>
      <w:numFmt w:val="decimal"/>
      <w:lvlText w:val="%7."/>
      <w:lvlJc w:val="left"/>
      <w:pPr>
        <w:tabs>
          <w:tab w:val="left" w:pos="2207"/>
        </w:tabs>
        <w:ind w:left="2207" w:hanging="420"/>
      </w:pPr>
    </w:lvl>
    <w:lvl w:ilvl="7" w:tentative="0">
      <w:start w:val="1"/>
      <w:numFmt w:val="lowerLetter"/>
      <w:lvlText w:val="%8)"/>
      <w:lvlJc w:val="left"/>
      <w:pPr>
        <w:tabs>
          <w:tab w:val="left" w:pos="2627"/>
        </w:tabs>
        <w:ind w:left="2627" w:hanging="420"/>
      </w:pPr>
    </w:lvl>
    <w:lvl w:ilvl="8" w:tentative="0">
      <w:start w:val="1"/>
      <w:numFmt w:val="lowerRoman"/>
      <w:lvlText w:val="%9."/>
      <w:lvlJc w:val="right"/>
      <w:pPr>
        <w:tabs>
          <w:tab w:val="left" w:pos="3047"/>
        </w:tabs>
        <w:ind w:left="3047" w:hanging="420"/>
      </w:pPr>
    </w:lvl>
  </w:abstractNum>
  <w:abstractNum w:abstractNumId="20">
    <w:nsid w:val="263D3648"/>
    <w:multiLevelType w:val="multilevel"/>
    <w:tmpl w:val="263D3648"/>
    <w:lvl w:ilvl="0" w:tentative="0">
      <w:start w:val="1"/>
      <w:numFmt w:val="bullet"/>
      <w:pStyle w:val="71"/>
      <w:lvlText w:val=""/>
      <w:lvlJc w:val="left"/>
      <w:pPr>
        <w:tabs>
          <w:tab w:val="left" w:pos="720"/>
        </w:tabs>
        <w:ind w:left="720" w:hanging="360"/>
      </w:pPr>
      <w:rPr>
        <w:rFonts w:hint="default" w:ascii="Symbol" w:hAnsi="Symbol"/>
        <w:color w:val="FF0000"/>
        <w:lang w:eastAsia="zh-CN"/>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2975295C"/>
    <w:multiLevelType w:val="multilevel"/>
    <w:tmpl w:val="2975295C"/>
    <w:lvl w:ilvl="0" w:tentative="0">
      <w:start w:val="1"/>
      <w:numFmt w:val="decimal"/>
      <w:lvlText w:val="(%1)"/>
      <w:lvlJc w:val="left"/>
      <w:pPr>
        <w:tabs>
          <w:tab w:val="left" w:pos="1635"/>
        </w:tabs>
        <w:ind w:left="1635" w:hanging="375"/>
      </w:pPr>
      <w:rPr>
        <w:rFonts w:hint="eastAsia"/>
        <w:b w:val="0"/>
        <w:color w:val="auto"/>
      </w:rPr>
    </w:lvl>
    <w:lvl w:ilvl="1" w:tentative="0">
      <w:start w:val="1"/>
      <w:numFmt w:val="lowerLetter"/>
      <w:lvlText w:val="%2)"/>
      <w:lvlJc w:val="left"/>
      <w:pPr>
        <w:tabs>
          <w:tab w:val="left" w:pos="409"/>
        </w:tabs>
        <w:ind w:left="409" w:hanging="420"/>
      </w:pPr>
    </w:lvl>
    <w:lvl w:ilvl="2" w:tentative="0">
      <w:start w:val="1"/>
      <w:numFmt w:val="lowerRoman"/>
      <w:lvlText w:val="%3."/>
      <w:lvlJc w:val="right"/>
      <w:pPr>
        <w:tabs>
          <w:tab w:val="left" w:pos="829"/>
        </w:tabs>
        <w:ind w:left="829" w:hanging="420"/>
      </w:pPr>
    </w:lvl>
    <w:lvl w:ilvl="3" w:tentative="0">
      <w:start w:val="1"/>
      <w:numFmt w:val="decimal"/>
      <w:lvlText w:val="%4."/>
      <w:lvlJc w:val="left"/>
      <w:pPr>
        <w:tabs>
          <w:tab w:val="left" w:pos="1249"/>
        </w:tabs>
        <w:ind w:left="1249" w:hanging="420"/>
      </w:pPr>
    </w:lvl>
    <w:lvl w:ilvl="4" w:tentative="0">
      <w:start w:val="1"/>
      <w:numFmt w:val="lowerLetter"/>
      <w:lvlText w:val="%5)"/>
      <w:lvlJc w:val="left"/>
      <w:pPr>
        <w:tabs>
          <w:tab w:val="left" w:pos="1669"/>
        </w:tabs>
        <w:ind w:left="1669" w:hanging="420"/>
      </w:pPr>
    </w:lvl>
    <w:lvl w:ilvl="5" w:tentative="0">
      <w:start w:val="1"/>
      <w:numFmt w:val="lowerRoman"/>
      <w:lvlText w:val="%6."/>
      <w:lvlJc w:val="right"/>
      <w:pPr>
        <w:tabs>
          <w:tab w:val="left" w:pos="2089"/>
        </w:tabs>
        <w:ind w:left="2089" w:hanging="420"/>
      </w:pPr>
    </w:lvl>
    <w:lvl w:ilvl="6" w:tentative="0">
      <w:start w:val="1"/>
      <w:numFmt w:val="decimal"/>
      <w:lvlText w:val="%7."/>
      <w:lvlJc w:val="left"/>
      <w:pPr>
        <w:tabs>
          <w:tab w:val="left" w:pos="2509"/>
        </w:tabs>
        <w:ind w:left="2509" w:hanging="420"/>
      </w:pPr>
    </w:lvl>
    <w:lvl w:ilvl="7" w:tentative="0">
      <w:start w:val="1"/>
      <w:numFmt w:val="lowerLetter"/>
      <w:lvlText w:val="%8)"/>
      <w:lvlJc w:val="left"/>
      <w:pPr>
        <w:tabs>
          <w:tab w:val="left" w:pos="2929"/>
        </w:tabs>
        <w:ind w:left="2929" w:hanging="420"/>
      </w:pPr>
    </w:lvl>
    <w:lvl w:ilvl="8" w:tentative="0">
      <w:start w:val="1"/>
      <w:numFmt w:val="lowerRoman"/>
      <w:lvlText w:val="%9."/>
      <w:lvlJc w:val="right"/>
      <w:pPr>
        <w:tabs>
          <w:tab w:val="left" w:pos="3349"/>
        </w:tabs>
        <w:ind w:left="3349" w:hanging="420"/>
      </w:pPr>
    </w:lvl>
  </w:abstractNum>
  <w:abstractNum w:abstractNumId="22">
    <w:nsid w:val="2A74698E"/>
    <w:multiLevelType w:val="multilevel"/>
    <w:tmpl w:val="2A74698E"/>
    <w:lvl w:ilvl="0" w:tentative="0">
      <w:start w:val="1"/>
      <w:numFmt w:val="decimal"/>
      <w:lvlText w:val="%1"/>
      <w:lvlJc w:val="left"/>
      <w:pPr>
        <w:tabs>
          <w:tab w:val="left" w:pos="360"/>
        </w:tabs>
        <w:ind w:left="360" w:hanging="360"/>
      </w:pPr>
      <w:rPr>
        <w:rFonts w:hint="default"/>
        <w:b w:val="0"/>
      </w:rPr>
    </w:lvl>
    <w:lvl w:ilvl="1" w:tentative="0">
      <w:start w:val="1"/>
      <w:numFmt w:val="lowerLetter"/>
      <w:lvlText w:val="%2)"/>
      <w:lvlJc w:val="left"/>
      <w:pPr>
        <w:tabs>
          <w:tab w:val="left" w:pos="-900"/>
        </w:tabs>
        <w:ind w:left="-900" w:hanging="420"/>
      </w:pPr>
    </w:lvl>
    <w:lvl w:ilvl="2" w:tentative="0">
      <w:start w:val="1"/>
      <w:numFmt w:val="lowerRoman"/>
      <w:lvlText w:val="%3."/>
      <w:lvlJc w:val="right"/>
      <w:pPr>
        <w:tabs>
          <w:tab w:val="left" w:pos="-480"/>
        </w:tabs>
        <w:ind w:left="-480" w:hanging="420"/>
      </w:pPr>
    </w:lvl>
    <w:lvl w:ilvl="3" w:tentative="0">
      <w:start w:val="1"/>
      <w:numFmt w:val="decimal"/>
      <w:lvlText w:val="%4."/>
      <w:lvlJc w:val="left"/>
      <w:pPr>
        <w:tabs>
          <w:tab w:val="left" w:pos="-60"/>
        </w:tabs>
        <w:ind w:left="-60" w:hanging="420"/>
      </w:pPr>
    </w:lvl>
    <w:lvl w:ilvl="4" w:tentative="0">
      <w:start w:val="1"/>
      <w:numFmt w:val="lowerLetter"/>
      <w:lvlText w:val="%5)"/>
      <w:lvlJc w:val="left"/>
      <w:pPr>
        <w:tabs>
          <w:tab w:val="left" w:pos="360"/>
        </w:tabs>
        <w:ind w:left="360" w:hanging="420"/>
      </w:pPr>
    </w:lvl>
    <w:lvl w:ilvl="5" w:tentative="0">
      <w:start w:val="1"/>
      <w:numFmt w:val="lowerRoman"/>
      <w:pStyle w:val="82"/>
      <w:lvlText w:val="%6."/>
      <w:lvlJc w:val="right"/>
      <w:pPr>
        <w:tabs>
          <w:tab w:val="left" w:pos="780"/>
        </w:tabs>
        <w:ind w:left="780" w:hanging="420"/>
      </w:pPr>
    </w:lvl>
    <w:lvl w:ilvl="6" w:tentative="0">
      <w:start w:val="1"/>
      <w:numFmt w:val="decimal"/>
      <w:lvlText w:val="%7."/>
      <w:lvlJc w:val="left"/>
      <w:pPr>
        <w:tabs>
          <w:tab w:val="left" w:pos="1200"/>
        </w:tabs>
        <w:ind w:left="1200" w:hanging="420"/>
      </w:pPr>
    </w:lvl>
    <w:lvl w:ilvl="7" w:tentative="0">
      <w:start w:val="1"/>
      <w:numFmt w:val="lowerLetter"/>
      <w:lvlText w:val="%8)"/>
      <w:lvlJc w:val="left"/>
      <w:pPr>
        <w:tabs>
          <w:tab w:val="left" w:pos="1620"/>
        </w:tabs>
        <w:ind w:left="1620" w:hanging="420"/>
      </w:pPr>
    </w:lvl>
    <w:lvl w:ilvl="8" w:tentative="0">
      <w:start w:val="1"/>
      <w:numFmt w:val="lowerRoman"/>
      <w:lvlText w:val="%9."/>
      <w:lvlJc w:val="right"/>
      <w:pPr>
        <w:tabs>
          <w:tab w:val="left" w:pos="2040"/>
        </w:tabs>
        <w:ind w:left="2040" w:hanging="420"/>
      </w:pPr>
    </w:lvl>
  </w:abstractNum>
  <w:abstractNum w:abstractNumId="23">
    <w:nsid w:val="2E3B52C1"/>
    <w:multiLevelType w:val="multilevel"/>
    <w:tmpl w:val="2E3B52C1"/>
    <w:lvl w:ilvl="0" w:tentative="0">
      <w:start w:val="1"/>
      <w:numFmt w:val="decimal"/>
      <w:lvlText w:val="%1."/>
      <w:lvlJc w:val="left"/>
      <w:pPr>
        <w:tabs>
          <w:tab w:val="left" w:pos="720"/>
        </w:tabs>
        <w:ind w:left="0" w:firstLine="0"/>
      </w:pPr>
      <w:rPr>
        <w:rFonts w:ascii="Times New Roman" w:hAnsi="Times New Roman"/>
        <w:b/>
        <w:i w:val="0"/>
        <w:caps w:val="0"/>
        <w:color w:val="auto"/>
        <w:sz w:val="24"/>
        <w:u w:val="none"/>
      </w:rPr>
    </w:lvl>
    <w:lvl w:ilvl="1" w:tentative="0">
      <w:start w:val="1"/>
      <w:numFmt w:val="decimal"/>
      <w:pStyle w:val="80"/>
      <w:lvlText w:val="%1.%2"/>
      <w:lvlJc w:val="left"/>
      <w:pPr>
        <w:tabs>
          <w:tab w:val="left" w:pos="720"/>
        </w:tabs>
        <w:ind w:left="0" w:firstLine="0"/>
      </w:pPr>
      <w:rPr>
        <w:rFonts w:ascii="Times New Roman" w:hAnsi="Times New Roman"/>
        <w:b w:val="0"/>
        <w:i w:val="0"/>
        <w:caps w:val="0"/>
        <w:color w:val="auto"/>
        <w:sz w:val="24"/>
        <w:u w:val="none"/>
      </w:rPr>
    </w:lvl>
    <w:lvl w:ilvl="2" w:tentative="0">
      <w:start w:val="1"/>
      <w:numFmt w:val="decimal"/>
      <w:lvlText w:val="%1.%2.%3"/>
      <w:lvlJc w:val="left"/>
      <w:pPr>
        <w:tabs>
          <w:tab w:val="left" w:pos="1584"/>
        </w:tabs>
        <w:ind w:left="720" w:firstLine="0"/>
      </w:pPr>
      <w:rPr>
        <w:rFonts w:ascii="Times New Roman" w:hAnsi="Times New Roman"/>
        <w:b w:val="0"/>
        <w:i w:val="0"/>
        <w:caps w:val="0"/>
        <w:color w:val="auto"/>
        <w:sz w:val="24"/>
        <w:u w:val="none"/>
      </w:rPr>
    </w:lvl>
    <w:lvl w:ilvl="3" w:tentative="0">
      <w:start w:val="1"/>
      <w:numFmt w:val="decimal"/>
      <w:lvlText w:val="%1.%2.%3.%4"/>
      <w:lvlJc w:val="left"/>
      <w:pPr>
        <w:tabs>
          <w:tab w:val="left" w:pos="2592"/>
        </w:tabs>
        <w:ind w:left="1584" w:firstLine="0"/>
      </w:pPr>
      <w:rPr>
        <w:rFonts w:ascii="Times New Roman" w:hAnsi="Times New Roman"/>
        <w:b w:val="0"/>
        <w:i w:val="0"/>
        <w:caps w:val="0"/>
        <w:color w:val="auto"/>
        <w:sz w:val="24"/>
        <w:u w:val="none"/>
      </w:rPr>
    </w:lvl>
    <w:lvl w:ilvl="4" w:tentative="0">
      <w:start w:val="1"/>
      <w:numFmt w:val="lowerLetter"/>
      <w:pStyle w:val="81"/>
      <w:lvlText w:val="(%5)"/>
      <w:lvlJc w:val="left"/>
      <w:pPr>
        <w:tabs>
          <w:tab w:val="left" w:pos="2304"/>
        </w:tabs>
        <w:ind w:left="2304" w:hanging="720"/>
      </w:pPr>
      <w:rPr>
        <w:rFonts w:ascii="Times New Roman" w:hAnsi="Times New Roman"/>
        <w:b w:val="0"/>
        <w:i w:val="0"/>
        <w:caps w:val="0"/>
        <w:color w:val="auto"/>
        <w:sz w:val="24"/>
        <w:u w:val="none"/>
      </w:rPr>
    </w:lvl>
    <w:lvl w:ilvl="5" w:tentative="0">
      <w:start w:val="1"/>
      <w:numFmt w:val="lowerRoman"/>
      <w:lvlText w:val="(%6)"/>
      <w:lvlJc w:val="right"/>
      <w:pPr>
        <w:tabs>
          <w:tab w:val="left" w:pos="3024"/>
        </w:tabs>
        <w:ind w:left="3024" w:hanging="216"/>
      </w:pPr>
      <w:rPr>
        <w:rFonts w:ascii="Times New Roman" w:hAnsi="Times New Roman"/>
        <w:b w:val="0"/>
        <w:i w:val="0"/>
        <w:caps w:val="0"/>
        <w:color w:val="auto"/>
        <w:sz w:val="24"/>
        <w:u w:val="none"/>
      </w:rPr>
    </w:lvl>
    <w:lvl w:ilvl="6" w:tentative="0">
      <w:start w:val="1"/>
      <w:numFmt w:val="upperLetter"/>
      <w:lvlText w:val="(%7)"/>
      <w:lvlJc w:val="left"/>
      <w:pPr>
        <w:tabs>
          <w:tab w:val="left" w:pos="3744"/>
        </w:tabs>
        <w:ind w:left="3744" w:hanging="720"/>
      </w:pPr>
      <w:rPr>
        <w:rFonts w:ascii="Times New Roman" w:hAnsi="Times New Roman"/>
        <w:b w:val="0"/>
        <w:i w:val="0"/>
        <w:caps w:val="0"/>
        <w:color w:val="auto"/>
        <w:sz w:val="24"/>
        <w:u w:val="none"/>
      </w:rPr>
    </w:lvl>
    <w:lvl w:ilvl="7" w:tentative="0">
      <w:start w:val="1"/>
      <w:numFmt w:val="upperRoman"/>
      <w:lvlText w:val="(%8)"/>
      <w:lvlJc w:val="right"/>
      <w:pPr>
        <w:tabs>
          <w:tab w:val="left" w:pos="4464"/>
        </w:tabs>
        <w:ind w:left="4464" w:hanging="216"/>
      </w:pPr>
      <w:rPr>
        <w:rFonts w:ascii="Times New Roman" w:hAnsi="Times New Roman"/>
        <w:b w:val="0"/>
        <w:i w:val="0"/>
        <w:caps w:val="0"/>
        <w:color w:val="auto"/>
        <w:sz w:val="24"/>
        <w:u w:val="none"/>
      </w:rPr>
    </w:lvl>
    <w:lvl w:ilvl="8" w:tentative="0">
      <w:start w:val="27"/>
      <w:numFmt w:val="lowerLetter"/>
      <w:lvlText w:val="(%9)"/>
      <w:lvlJc w:val="left"/>
      <w:pPr>
        <w:tabs>
          <w:tab w:val="left" w:pos="5184"/>
        </w:tabs>
        <w:ind w:left="5184" w:hanging="720"/>
      </w:pPr>
      <w:rPr>
        <w:rFonts w:ascii="Times New Roman" w:hAnsi="Times New Roman"/>
        <w:b w:val="0"/>
        <w:i w:val="0"/>
        <w:caps w:val="0"/>
        <w:color w:val="auto"/>
        <w:sz w:val="24"/>
        <w:u w:val="none"/>
      </w:rPr>
    </w:lvl>
  </w:abstractNum>
  <w:abstractNum w:abstractNumId="24">
    <w:nsid w:val="2F4E0EAC"/>
    <w:multiLevelType w:val="multilevel"/>
    <w:tmpl w:val="2F4E0EAC"/>
    <w:lvl w:ilvl="0" w:tentative="0">
      <w:start w:val="1"/>
      <w:numFmt w:val="decimal"/>
      <w:lvlText w:val="(%1)"/>
      <w:lvlJc w:val="left"/>
      <w:pPr>
        <w:tabs>
          <w:tab w:val="left" w:pos="2040"/>
        </w:tabs>
        <w:ind w:left="2040" w:hanging="420"/>
      </w:pPr>
      <w:rPr>
        <w:rFonts w:hint="eastAsia"/>
        <w:b w:val="0"/>
      </w:rPr>
    </w:lvl>
    <w:lvl w:ilvl="1" w:tentative="0">
      <w:start w:val="1"/>
      <w:numFmt w:val="lowerLetter"/>
      <w:lvlText w:val="%2)"/>
      <w:lvlJc w:val="left"/>
      <w:pPr>
        <w:tabs>
          <w:tab w:val="left" w:pos="1184"/>
        </w:tabs>
        <w:ind w:left="1184" w:hanging="420"/>
      </w:pPr>
    </w:lvl>
    <w:lvl w:ilvl="2" w:tentative="0">
      <w:start w:val="1"/>
      <w:numFmt w:val="lowerRoman"/>
      <w:lvlText w:val="%3."/>
      <w:lvlJc w:val="right"/>
      <w:pPr>
        <w:tabs>
          <w:tab w:val="left" w:pos="1604"/>
        </w:tabs>
        <w:ind w:left="1604" w:hanging="420"/>
      </w:pPr>
    </w:lvl>
    <w:lvl w:ilvl="3" w:tentative="0">
      <w:start w:val="1"/>
      <w:numFmt w:val="decimal"/>
      <w:lvlText w:val="%4."/>
      <w:lvlJc w:val="left"/>
      <w:pPr>
        <w:tabs>
          <w:tab w:val="left" w:pos="2024"/>
        </w:tabs>
        <w:ind w:left="2024" w:hanging="420"/>
      </w:pPr>
    </w:lvl>
    <w:lvl w:ilvl="4" w:tentative="0">
      <w:start w:val="1"/>
      <w:numFmt w:val="lowerLetter"/>
      <w:lvlText w:val="%5)"/>
      <w:lvlJc w:val="left"/>
      <w:pPr>
        <w:tabs>
          <w:tab w:val="left" w:pos="2444"/>
        </w:tabs>
        <w:ind w:left="2444" w:hanging="420"/>
      </w:pPr>
    </w:lvl>
    <w:lvl w:ilvl="5" w:tentative="0">
      <w:start w:val="1"/>
      <w:numFmt w:val="lowerRoman"/>
      <w:lvlText w:val="%6."/>
      <w:lvlJc w:val="right"/>
      <w:pPr>
        <w:tabs>
          <w:tab w:val="left" w:pos="2864"/>
        </w:tabs>
        <w:ind w:left="2864" w:hanging="420"/>
      </w:pPr>
    </w:lvl>
    <w:lvl w:ilvl="6" w:tentative="0">
      <w:start w:val="1"/>
      <w:numFmt w:val="decimal"/>
      <w:lvlText w:val="%7."/>
      <w:lvlJc w:val="left"/>
      <w:pPr>
        <w:tabs>
          <w:tab w:val="left" w:pos="3284"/>
        </w:tabs>
        <w:ind w:left="3284" w:hanging="420"/>
      </w:pPr>
    </w:lvl>
    <w:lvl w:ilvl="7" w:tentative="0">
      <w:start w:val="1"/>
      <w:numFmt w:val="lowerLetter"/>
      <w:lvlText w:val="%8)"/>
      <w:lvlJc w:val="left"/>
      <w:pPr>
        <w:tabs>
          <w:tab w:val="left" w:pos="3704"/>
        </w:tabs>
        <w:ind w:left="3704" w:hanging="420"/>
      </w:pPr>
    </w:lvl>
    <w:lvl w:ilvl="8" w:tentative="0">
      <w:start w:val="1"/>
      <w:numFmt w:val="lowerRoman"/>
      <w:lvlText w:val="%9."/>
      <w:lvlJc w:val="right"/>
      <w:pPr>
        <w:tabs>
          <w:tab w:val="left" w:pos="4124"/>
        </w:tabs>
        <w:ind w:left="4124" w:hanging="420"/>
      </w:pPr>
    </w:lvl>
  </w:abstractNum>
  <w:abstractNum w:abstractNumId="25">
    <w:nsid w:val="2F8425AE"/>
    <w:multiLevelType w:val="multilevel"/>
    <w:tmpl w:val="2F8425AE"/>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26">
    <w:nsid w:val="318F7724"/>
    <w:multiLevelType w:val="multilevel"/>
    <w:tmpl w:val="318F7724"/>
    <w:lvl w:ilvl="0" w:tentative="0">
      <w:start w:val="1"/>
      <w:numFmt w:val="decimal"/>
      <w:lvlText w:val="(%1)"/>
      <w:lvlJc w:val="left"/>
      <w:pPr>
        <w:tabs>
          <w:tab w:val="left" w:pos="1455"/>
        </w:tabs>
        <w:ind w:left="1455" w:hanging="375"/>
      </w:pPr>
      <w:rPr>
        <w:rFonts w:hint="eastAsia"/>
        <w:b w:val="0"/>
        <w:color w:val="auto"/>
      </w:rPr>
    </w:lvl>
    <w:lvl w:ilvl="1" w:tentative="0">
      <w:start w:val="1"/>
      <w:numFmt w:val="lowerLetter"/>
      <w:lvlText w:val="%2)"/>
      <w:lvlJc w:val="left"/>
      <w:pPr>
        <w:tabs>
          <w:tab w:val="left" w:pos="229"/>
        </w:tabs>
        <w:ind w:left="229" w:hanging="420"/>
      </w:pPr>
    </w:lvl>
    <w:lvl w:ilvl="2" w:tentative="0">
      <w:start w:val="1"/>
      <w:numFmt w:val="lowerRoman"/>
      <w:lvlText w:val="%3."/>
      <w:lvlJc w:val="right"/>
      <w:pPr>
        <w:tabs>
          <w:tab w:val="left" w:pos="649"/>
        </w:tabs>
        <w:ind w:left="649" w:hanging="420"/>
      </w:pPr>
    </w:lvl>
    <w:lvl w:ilvl="3" w:tentative="0">
      <w:start w:val="1"/>
      <w:numFmt w:val="decimal"/>
      <w:lvlText w:val="%4."/>
      <w:lvlJc w:val="left"/>
      <w:pPr>
        <w:tabs>
          <w:tab w:val="left" w:pos="1069"/>
        </w:tabs>
        <w:ind w:left="1069" w:hanging="420"/>
      </w:pPr>
    </w:lvl>
    <w:lvl w:ilvl="4" w:tentative="0">
      <w:start w:val="1"/>
      <w:numFmt w:val="lowerLetter"/>
      <w:lvlText w:val="%5)"/>
      <w:lvlJc w:val="left"/>
      <w:pPr>
        <w:tabs>
          <w:tab w:val="left" w:pos="1489"/>
        </w:tabs>
        <w:ind w:left="1489" w:hanging="420"/>
      </w:pPr>
    </w:lvl>
    <w:lvl w:ilvl="5" w:tentative="0">
      <w:start w:val="1"/>
      <w:numFmt w:val="lowerRoman"/>
      <w:lvlText w:val="%6."/>
      <w:lvlJc w:val="right"/>
      <w:pPr>
        <w:tabs>
          <w:tab w:val="left" w:pos="1909"/>
        </w:tabs>
        <w:ind w:left="1909" w:hanging="420"/>
      </w:pPr>
    </w:lvl>
    <w:lvl w:ilvl="6" w:tentative="0">
      <w:start w:val="1"/>
      <w:numFmt w:val="decimal"/>
      <w:lvlText w:val="%7."/>
      <w:lvlJc w:val="left"/>
      <w:pPr>
        <w:tabs>
          <w:tab w:val="left" w:pos="2329"/>
        </w:tabs>
        <w:ind w:left="2329" w:hanging="420"/>
      </w:pPr>
    </w:lvl>
    <w:lvl w:ilvl="7" w:tentative="0">
      <w:start w:val="1"/>
      <w:numFmt w:val="lowerLetter"/>
      <w:lvlText w:val="%8)"/>
      <w:lvlJc w:val="left"/>
      <w:pPr>
        <w:tabs>
          <w:tab w:val="left" w:pos="2749"/>
        </w:tabs>
        <w:ind w:left="2749" w:hanging="420"/>
      </w:pPr>
    </w:lvl>
    <w:lvl w:ilvl="8" w:tentative="0">
      <w:start w:val="1"/>
      <w:numFmt w:val="lowerRoman"/>
      <w:lvlText w:val="%9."/>
      <w:lvlJc w:val="right"/>
      <w:pPr>
        <w:tabs>
          <w:tab w:val="left" w:pos="3169"/>
        </w:tabs>
        <w:ind w:left="3169" w:hanging="420"/>
      </w:pPr>
    </w:lvl>
  </w:abstractNum>
  <w:abstractNum w:abstractNumId="27">
    <w:nsid w:val="35665AE1"/>
    <w:multiLevelType w:val="multilevel"/>
    <w:tmpl w:val="35665AE1"/>
    <w:lvl w:ilvl="0" w:tentative="0">
      <w:start w:val="1"/>
      <w:numFmt w:val="decimal"/>
      <w:pStyle w:val="95"/>
      <w:lvlText w:val="%1."/>
      <w:lvlJc w:val="left"/>
      <w:pPr>
        <w:tabs>
          <w:tab w:val="left" w:pos="720"/>
        </w:tabs>
        <w:ind w:left="0" w:firstLine="0"/>
      </w:pPr>
      <w:rPr>
        <w:rFonts w:ascii="Times New Roman" w:hAnsi="Times New Roman"/>
        <w:b w:val="0"/>
        <w:i w:val="0"/>
        <w:caps w:val="0"/>
        <w:color w:val="auto"/>
        <w:u w:val="none"/>
      </w:rPr>
    </w:lvl>
    <w:lvl w:ilvl="1" w:tentative="0">
      <w:start w:val="1"/>
      <w:numFmt w:val="lowerLetter"/>
      <w:pStyle w:val="96"/>
      <w:lvlText w:val="(%2)"/>
      <w:lvlJc w:val="left"/>
      <w:pPr>
        <w:tabs>
          <w:tab w:val="left" w:pos="720"/>
        </w:tabs>
        <w:ind w:left="720" w:hanging="720"/>
      </w:pPr>
      <w:rPr>
        <w:rFonts w:ascii="Times New Roman" w:hAnsi="Times New Roman"/>
        <w:b w:val="0"/>
        <w:i w:val="0"/>
        <w:caps w:val="0"/>
        <w:color w:val="auto"/>
        <w:u w:val="none"/>
      </w:rPr>
    </w:lvl>
    <w:lvl w:ilvl="2" w:tentative="0">
      <w:start w:val="1"/>
      <w:numFmt w:val="lowerRoman"/>
      <w:pStyle w:val="97"/>
      <w:lvlText w:val="(%3)"/>
      <w:lvlJc w:val="right"/>
      <w:pPr>
        <w:tabs>
          <w:tab w:val="left" w:pos="1440"/>
        </w:tabs>
        <w:ind w:left="1440" w:hanging="216"/>
      </w:pPr>
      <w:rPr>
        <w:rFonts w:ascii="Times New Roman" w:hAnsi="Times New Roman"/>
        <w:b w:val="0"/>
        <w:i w:val="0"/>
        <w:caps w:val="0"/>
        <w:color w:val="auto"/>
        <w:u w:val="none"/>
      </w:rPr>
    </w:lvl>
    <w:lvl w:ilvl="3" w:tentative="0">
      <w:start w:val="1"/>
      <w:numFmt w:val="upperLetter"/>
      <w:pStyle w:val="98"/>
      <w:lvlText w:val="(%4)"/>
      <w:lvlJc w:val="left"/>
      <w:pPr>
        <w:tabs>
          <w:tab w:val="left" w:pos="2160"/>
        </w:tabs>
        <w:ind w:left="2160" w:hanging="720"/>
      </w:pPr>
      <w:rPr>
        <w:rFonts w:ascii="Times New Roman" w:hAnsi="Times New Roman"/>
        <w:b w:val="0"/>
        <w:i w:val="0"/>
        <w:caps w:val="0"/>
        <w:color w:val="auto"/>
        <w:u w:val="none"/>
      </w:rPr>
    </w:lvl>
    <w:lvl w:ilvl="4" w:tentative="0">
      <w:start w:val="1"/>
      <w:numFmt w:val="upperRoman"/>
      <w:pStyle w:val="99"/>
      <w:lvlText w:val="(%5)"/>
      <w:lvlJc w:val="right"/>
      <w:pPr>
        <w:tabs>
          <w:tab w:val="left" w:pos="2880"/>
        </w:tabs>
        <w:ind w:left="2880" w:hanging="216"/>
      </w:pPr>
      <w:rPr>
        <w:rFonts w:ascii="Times New Roman" w:hAnsi="Times New Roman"/>
        <w:b w:val="0"/>
        <w:i w:val="0"/>
        <w:caps w:val="0"/>
        <w:color w:val="auto"/>
        <w:u w:val="none"/>
      </w:rPr>
    </w:lvl>
    <w:lvl w:ilvl="5" w:tentative="0">
      <w:start w:val="27"/>
      <w:numFmt w:val="lowerLetter"/>
      <w:pStyle w:val="100"/>
      <w:lvlText w:val="(%6)"/>
      <w:lvlJc w:val="left"/>
      <w:pPr>
        <w:tabs>
          <w:tab w:val="left" w:pos="3600"/>
        </w:tabs>
        <w:ind w:left="3600" w:hanging="720"/>
      </w:pPr>
      <w:rPr>
        <w:rFonts w:ascii="Times New Roman" w:hAnsi="Times New Roman"/>
        <w:b w:val="0"/>
        <w:i w:val="0"/>
        <w:caps w:val="0"/>
        <w:color w:val="auto"/>
        <w:u w:val="none"/>
      </w:rPr>
    </w:lvl>
    <w:lvl w:ilvl="6" w:tentative="0">
      <w:start w:val="1"/>
      <w:numFmt w:val="decimal"/>
      <w:pStyle w:val="101"/>
      <w:lvlText w:val="(%7)"/>
      <w:lvlJc w:val="left"/>
      <w:pPr>
        <w:tabs>
          <w:tab w:val="left" w:pos="4320"/>
        </w:tabs>
        <w:ind w:left="4320" w:hanging="720"/>
      </w:pPr>
      <w:rPr>
        <w:rFonts w:ascii="Times New Roman" w:hAnsi="Times New Roman"/>
        <w:b w:val="0"/>
        <w:i w:val="0"/>
        <w:caps w:val="0"/>
        <w:color w:val="auto"/>
        <w:u w:val="none"/>
      </w:rPr>
    </w:lvl>
    <w:lvl w:ilvl="7" w:tentative="0">
      <w:start w:val="1"/>
      <w:numFmt w:val="lowerRoman"/>
      <w:lvlText w:val="%8."/>
      <w:lvlJc w:val="left"/>
      <w:pPr>
        <w:tabs>
          <w:tab w:val="left" w:pos="5760"/>
        </w:tabs>
        <w:ind w:left="0" w:firstLine="5040"/>
      </w:pPr>
      <w:rPr>
        <w:rFonts w:ascii="Times New Roman" w:hAnsi="Times New Roman"/>
        <w:b w:val="0"/>
        <w:i w:val="0"/>
        <w:caps w:val="0"/>
        <w:color w:val="auto"/>
        <w:u w:val="none"/>
      </w:rPr>
    </w:lvl>
    <w:lvl w:ilvl="8" w:tentative="0">
      <w:start w:val="1"/>
      <w:numFmt w:val="decimal"/>
      <w:lvlText w:val="%9."/>
      <w:lvlJc w:val="left"/>
      <w:pPr>
        <w:tabs>
          <w:tab w:val="left" w:pos="6480"/>
        </w:tabs>
        <w:ind w:left="0" w:firstLine="5760"/>
      </w:pPr>
      <w:rPr>
        <w:rFonts w:ascii="Times New Roman" w:hAnsi="Times New Roman"/>
        <w:b w:val="0"/>
        <w:i w:val="0"/>
        <w:caps w:val="0"/>
        <w:color w:val="auto"/>
        <w:u w:val="none"/>
      </w:rPr>
    </w:lvl>
  </w:abstractNum>
  <w:abstractNum w:abstractNumId="28">
    <w:nsid w:val="3D32673B"/>
    <w:multiLevelType w:val="multilevel"/>
    <w:tmpl w:val="3D32673B"/>
    <w:lvl w:ilvl="0" w:tentative="0">
      <w:start w:val="1"/>
      <w:numFmt w:val="decimal"/>
      <w:lvlText w:val="(%1)"/>
      <w:lvlJc w:val="left"/>
      <w:pPr>
        <w:tabs>
          <w:tab w:val="left" w:pos="1635"/>
        </w:tabs>
        <w:ind w:left="1635" w:hanging="375"/>
      </w:pPr>
      <w:rPr>
        <w:rFonts w:hint="eastAsia"/>
        <w:b w:val="0"/>
        <w:color w:val="auto"/>
      </w:rPr>
    </w:lvl>
    <w:lvl w:ilvl="1" w:tentative="0">
      <w:start w:val="1"/>
      <w:numFmt w:val="lowerLetter"/>
      <w:lvlText w:val="%2)"/>
      <w:lvlJc w:val="left"/>
      <w:pPr>
        <w:tabs>
          <w:tab w:val="left" w:pos="409"/>
        </w:tabs>
        <w:ind w:left="409" w:hanging="420"/>
      </w:pPr>
    </w:lvl>
    <w:lvl w:ilvl="2" w:tentative="0">
      <w:start w:val="1"/>
      <w:numFmt w:val="lowerRoman"/>
      <w:lvlText w:val="%3."/>
      <w:lvlJc w:val="right"/>
      <w:pPr>
        <w:tabs>
          <w:tab w:val="left" w:pos="829"/>
        </w:tabs>
        <w:ind w:left="829" w:hanging="420"/>
      </w:pPr>
    </w:lvl>
    <w:lvl w:ilvl="3" w:tentative="0">
      <w:start w:val="1"/>
      <w:numFmt w:val="decimal"/>
      <w:lvlText w:val="%4."/>
      <w:lvlJc w:val="left"/>
      <w:pPr>
        <w:tabs>
          <w:tab w:val="left" w:pos="1249"/>
        </w:tabs>
        <w:ind w:left="1249" w:hanging="420"/>
      </w:pPr>
    </w:lvl>
    <w:lvl w:ilvl="4" w:tentative="0">
      <w:start w:val="1"/>
      <w:numFmt w:val="lowerLetter"/>
      <w:lvlText w:val="%5)"/>
      <w:lvlJc w:val="left"/>
      <w:pPr>
        <w:tabs>
          <w:tab w:val="left" w:pos="1669"/>
        </w:tabs>
        <w:ind w:left="1669" w:hanging="420"/>
      </w:pPr>
    </w:lvl>
    <w:lvl w:ilvl="5" w:tentative="0">
      <w:start w:val="1"/>
      <w:numFmt w:val="lowerRoman"/>
      <w:lvlText w:val="%6."/>
      <w:lvlJc w:val="right"/>
      <w:pPr>
        <w:tabs>
          <w:tab w:val="left" w:pos="2089"/>
        </w:tabs>
        <w:ind w:left="2089" w:hanging="420"/>
      </w:pPr>
    </w:lvl>
    <w:lvl w:ilvl="6" w:tentative="0">
      <w:start w:val="1"/>
      <w:numFmt w:val="decimal"/>
      <w:lvlText w:val="%7."/>
      <w:lvlJc w:val="left"/>
      <w:pPr>
        <w:tabs>
          <w:tab w:val="left" w:pos="2509"/>
        </w:tabs>
        <w:ind w:left="2509" w:hanging="420"/>
      </w:pPr>
    </w:lvl>
    <w:lvl w:ilvl="7" w:tentative="0">
      <w:start w:val="1"/>
      <w:numFmt w:val="lowerLetter"/>
      <w:lvlText w:val="%8)"/>
      <w:lvlJc w:val="left"/>
      <w:pPr>
        <w:tabs>
          <w:tab w:val="left" w:pos="2929"/>
        </w:tabs>
        <w:ind w:left="2929" w:hanging="420"/>
      </w:pPr>
    </w:lvl>
    <w:lvl w:ilvl="8" w:tentative="0">
      <w:start w:val="1"/>
      <w:numFmt w:val="lowerRoman"/>
      <w:lvlText w:val="%9."/>
      <w:lvlJc w:val="right"/>
      <w:pPr>
        <w:tabs>
          <w:tab w:val="left" w:pos="3349"/>
        </w:tabs>
        <w:ind w:left="3349" w:hanging="420"/>
      </w:pPr>
    </w:lvl>
  </w:abstractNum>
  <w:abstractNum w:abstractNumId="29">
    <w:nsid w:val="40A70A6B"/>
    <w:multiLevelType w:val="multilevel"/>
    <w:tmpl w:val="40A70A6B"/>
    <w:lvl w:ilvl="0" w:tentative="0">
      <w:start w:val="1"/>
      <w:numFmt w:val="decimal"/>
      <w:suff w:val="nothing"/>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0">
    <w:nsid w:val="4A0324D4"/>
    <w:multiLevelType w:val="multilevel"/>
    <w:tmpl w:val="4A0324D4"/>
    <w:lvl w:ilvl="0" w:tentative="0">
      <w:start w:val="1"/>
      <w:numFmt w:val="decimal"/>
      <w:lvlText w:val="(%1)"/>
      <w:lvlJc w:val="left"/>
      <w:pPr>
        <w:tabs>
          <w:tab w:val="left" w:pos="1635"/>
        </w:tabs>
        <w:ind w:left="1635" w:hanging="375"/>
      </w:pPr>
      <w:rPr>
        <w:rFonts w:hint="eastAsia"/>
        <w:b w:val="0"/>
        <w:color w:val="auto"/>
      </w:rPr>
    </w:lvl>
    <w:lvl w:ilvl="1" w:tentative="0">
      <w:start w:val="1"/>
      <w:numFmt w:val="lowerLetter"/>
      <w:lvlText w:val="%2)"/>
      <w:lvlJc w:val="left"/>
      <w:pPr>
        <w:tabs>
          <w:tab w:val="left" w:pos="409"/>
        </w:tabs>
        <w:ind w:left="409" w:hanging="420"/>
      </w:pPr>
    </w:lvl>
    <w:lvl w:ilvl="2" w:tentative="0">
      <w:start w:val="1"/>
      <w:numFmt w:val="lowerRoman"/>
      <w:lvlText w:val="%3."/>
      <w:lvlJc w:val="right"/>
      <w:pPr>
        <w:tabs>
          <w:tab w:val="left" w:pos="829"/>
        </w:tabs>
        <w:ind w:left="829" w:hanging="420"/>
      </w:pPr>
    </w:lvl>
    <w:lvl w:ilvl="3" w:tentative="0">
      <w:start w:val="1"/>
      <w:numFmt w:val="decimal"/>
      <w:lvlText w:val="%4."/>
      <w:lvlJc w:val="left"/>
      <w:pPr>
        <w:tabs>
          <w:tab w:val="left" w:pos="1249"/>
        </w:tabs>
        <w:ind w:left="1249" w:hanging="420"/>
      </w:pPr>
    </w:lvl>
    <w:lvl w:ilvl="4" w:tentative="0">
      <w:start w:val="1"/>
      <w:numFmt w:val="lowerLetter"/>
      <w:lvlText w:val="%5)"/>
      <w:lvlJc w:val="left"/>
      <w:pPr>
        <w:tabs>
          <w:tab w:val="left" w:pos="1669"/>
        </w:tabs>
        <w:ind w:left="1669" w:hanging="420"/>
      </w:pPr>
    </w:lvl>
    <w:lvl w:ilvl="5" w:tentative="0">
      <w:start w:val="1"/>
      <w:numFmt w:val="lowerRoman"/>
      <w:lvlText w:val="%6."/>
      <w:lvlJc w:val="right"/>
      <w:pPr>
        <w:tabs>
          <w:tab w:val="left" w:pos="2089"/>
        </w:tabs>
        <w:ind w:left="2089" w:hanging="420"/>
      </w:pPr>
    </w:lvl>
    <w:lvl w:ilvl="6" w:tentative="0">
      <w:start w:val="1"/>
      <w:numFmt w:val="decimal"/>
      <w:lvlText w:val="%7."/>
      <w:lvlJc w:val="left"/>
      <w:pPr>
        <w:tabs>
          <w:tab w:val="left" w:pos="2509"/>
        </w:tabs>
        <w:ind w:left="2509" w:hanging="420"/>
      </w:pPr>
    </w:lvl>
    <w:lvl w:ilvl="7" w:tentative="0">
      <w:start w:val="1"/>
      <w:numFmt w:val="lowerLetter"/>
      <w:lvlText w:val="%8)"/>
      <w:lvlJc w:val="left"/>
      <w:pPr>
        <w:tabs>
          <w:tab w:val="left" w:pos="2929"/>
        </w:tabs>
        <w:ind w:left="2929" w:hanging="420"/>
      </w:pPr>
    </w:lvl>
    <w:lvl w:ilvl="8" w:tentative="0">
      <w:start w:val="1"/>
      <w:numFmt w:val="lowerRoman"/>
      <w:lvlText w:val="%9."/>
      <w:lvlJc w:val="right"/>
      <w:pPr>
        <w:tabs>
          <w:tab w:val="left" w:pos="3349"/>
        </w:tabs>
        <w:ind w:left="3349" w:hanging="420"/>
      </w:pPr>
    </w:lvl>
  </w:abstractNum>
  <w:abstractNum w:abstractNumId="31">
    <w:nsid w:val="4C4A0105"/>
    <w:multiLevelType w:val="multilevel"/>
    <w:tmpl w:val="4C4A0105"/>
    <w:lvl w:ilvl="0" w:tentative="0">
      <w:start w:val="1"/>
      <w:numFmt w:val="decimal"/>
      <w:lvlText w:val="(%1)"/>
      <w:lvlJc w:val="left"/>
      <w:pPr>
        <w:ind w:left="1412" w:hanging="420"/>
      </w:pPr>
      <w:rPr>
        <w:rFonts w:hint="eastAsia"/>
      </w:r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32">
    <w:nsid w:val="536C2147"/>
    <w:multiLevelType w:val="multilevel"/>
    <w:tmpl w:val="536C2147"/>
    <w:lvl w:ilvl="0" w:tentative="0">
      <w:start w:val="1"/>
      <w:numFmt w:val="decimal"/>
      <w:lvlText w:val="%1."/>
      <w:lvlJc w:val="left"/>
      <w:pPr>
        <w:tabs>
          <w:tab w:val="left" w:pos="990"/>
        </w:tabs>
        <w:ind w:left="990" w:hanging="420"/>
      </w:p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abstractNum w:abstractNumId="33">
    <w:nsid w:val="54417C7B"/>
    <w:multiLevelType w:val="multilevel"/>
    <w:tmpl w:val="54417C7B"/>
    <w:lvl w:ilvl="0" w:tentative="0">
      <w:start w:val="1"/>
      <w:numFmt w:val="decimal"/>
      <w:lvlText w:val="(%1)"/>
      <w:lvlJc w:val="left"/>
      <w:pPr>
        <w:tabs>
          <w:tab w:val="left" w:pos="1635"/>
        </w:tabs>
        <w:ind w:left="1635" w:hanging="375"/>
      </w:pPr>
      <w:rPr>
        <w:rFonts w:hint="eastAsia"/>
        <w:b w:val="0"/>
        <w:color w:val="auto"/>
      </w:rPr>
    </w:lvl>
    <w:lvl w:ilvl="1" w:tentative="0">
      <w:start w:val="1"/>
      <w:numFmt w:val="lowerLetter"/>
      <w:lvlText w:val="%2)"/>
      <w:lvlJc w:val="left"/>
      <w:pPr>
        <w:tabs>
          <w:tab w:val="left" w:pos="409"/>
        </w:tabs>
        <w:ind w:left="409" w:hanging="420"/>
      </w:pPr>
    </w:lvl>
    <w:lvl w:ilvl="2" w:tentative="0">
      <w:start w:val="1"/>
      <w:numFmt w:val="lowerRoman"/>
      <w:lvlText w:val="%3."/>
      <w:lvlJc w:val="right"/>
      <w:pPr>
        <w:tabs>
          <w:tab w:val="left" w:pos="829"/>
        </w:tabs>
        <w:ind w:left="829" w:hanging="420"/>
      </w:pPr>
    </w:lvl>
    <w:lvl w:ilvl="3" w:tentative="0">
      <w:start w:val="1"/>
      <w:numFmt w:val="decimal"/>
      <w:lvlText w:val="%4."/>
      <w:lvlJc w:val="left"/>
      <w:pPr>
        <w:tabs>
          <w:tab w:val="left" w:pos="1249"/>
        </w:tabs>
        <w:ind w:left="1249" w:hanging="420"/>
      </w:pPr>
    </w:lvl>
    <w:lvl w:ilvl="4" w:tentative="0">
      <w:start w:val="1"/>
      <w:numFmt w:val="lowerLetter"/>
      <w:lvlText w:val="%5)"/>
      <w:lvlJc w:val="left"/>
      <w:pPr>
        <w:tabs>
          <w:tab w:val="left" w:pos="1669"/>
        </w:tabs>
        <w:ind w:left="1669" w:hanging="420"/>
      </w:pPr>
    </w:lvl>
    <w:lvl w:ilvl="5" w:tentative="0">
      <w:start w:val="1"/>
      <w:numFmt w:val="lowerRoman"/>
      <w:lvlText w:val="%6."/>
      <w:lvlJc w:val="right"/>
      <w:pPr>
        <w:tabs>
          <w:tab w:val="left" w:pos="2089"/>
        </w:tabs>
        <w:ind w:left="2089" w:hanging="420"/>
      </w:pPr>
    </w:lvl>
    <w:lvl w:ilvl="6" w:tentative="0">
      <w:start w:val="1"/>
      <w:numFmt w:val="decimal"/>
      <w:lvlText w:val="%7."/>
      <w:lvlJc w:val="left"/>
      <w:pPr>
        <w:tabs>
          <w:tab w:val="left" w:pos="2509"/>
        </w:tabs>
        <w:ind w:left="2509" w:hanging="420"/>
      </w:pPr>
    </w:lvl>
    <w:lvl w:ilvl="7" w:tentative="0">
      <w:start w:val="1"/>
      <w:numFmt w:val="lowerLetter"/>
      <w:lvlText w:val="%8)"/>
      <w:lvlJc w:val="left"/>
      <w:pPr>
        <w:tabs>
          <w:tab w:val="left" w:pos="2929"/>
        </w:tabs>
        <w:ind w:left="2929" w:hanging="420"/>
      </w:pPr>
    </w:lvl>
    <w:lvl w:ilvl="8" w:tentative="0">
      <w:start w:val="1"/>
      <w:numFmt w:val="lowerRoman"/>
      <w:lvlText w:val="%9."/>
      <w:lvlJc w:val="right"/>
      <w:pPr>
        <w:tabs>
          <w:tab w:val="left" w:pos="3349"/>
        </w:tabs>
        <w:ind w:left="3349" w:hanging="420"/>
      </w:pPr>
    </w:lvl>
  </w:abstractNum>
  <w:abstractNum w:abstractNumId="34">
    <w:nsid w:val="570E07EE"/>
    <w:multiLevelType w:val="multilevel"/>
    <w:tmpl w:val="570E07EE"/>
    <w:lvl w:ilvl="0" w:tentative="0">
      <w:start w:val="1"/>
      <w:numFmt w:val="decimal"/>
      <w:lvlText w:val="(%1)"/>
      <w:lvlJc w:val="left"/>
      <w:pPr>
        <w:tabs>
          <w:tab w:val="left" w:pos="1333"/>
        </w:tabs>
        <w:ind w:left="1333" w:hanging="375"/>
      </w:pPr>
      <w:rPr>
        <w:rFonts w:hint="eastAsia"/>
        <w:b w:val="0"/>
        <w:color w:val="auto"/>
      </w:rPr>
    </w:lvl>
    <w:lvl w:ilvl="1" w:tentative="0">
      <w:start w:val="1"/>
      <w:numFmt w:val="lowerLetter"/>
      <w:lvlText w:val="%2)"/>
      <w:lvlJc w:val="left"/>
      <w:pPr>
        <w:tabs>
          <w:tab w:val="left" w:pos="107"/>
        </w:tabs>
        <w:ind w:left="107" w:hanging="420"/>
      </w:pPr>
    </w:lvl>
    <w:lvl w:ilvl="2" w:tentative="0">
      <w:start w:val="1"/>
      <w:numFmt w:val="lowerRoman"/>
      <w:lvlText w:val="%3."/>
      <w:lvlJc w:val="right"/>
      <w:pPr>
        <w:tabs>
          <w:tab w:val="left" w:pos="527"/>
        </w:tabs>
        <w:ind w:left="527" w:hanging="420"/>
      </w:pPr>
    </w:lvl>
    <w:lvl w:ilvl="3" w:tentative="0">
      <w:start w:val="1"/>
      <w:numFmt w:val="decimal"/>
      <w:lvlText w:val="%4."/>
      <w:lvlJc w:val="left"/>
      <w:pPr>
        <w:tabs>
          <w:tab w:val="left" w:pos="947"/>
        </w:tabs>
        <w:ind w:left="947" w:hanging="420"/>
      </w:pPr>
    </w:lvl>
    <w:lvl w:ilvl="4" w:tentative="0">
      <w:start w:val="1"/>
      <w:numFmt w:val="lowerLetter"/>
      <w:lvlText w:val="%5)"/>
      <w:lvlJc w:val="left"/>
      <w:pPr>
        <w:tabs>
          <w:tab w:val="left" w:pos="1367"/>
        </w:tabs>
        <w:ind w:left="1367" w:hanging="420"/>
      </w:pPr>
    </w:lvl>
    <w:lvl w:ilvl="5" w:tentative="0">
      <w:start w:val="1"/>
      <w:numFmt w:val="lowerRoman"/>
      <w:lvlText w:val="%6."/>
      <w:lvlJc w:val="right"/>
      <w:pPr>
        <w:tabs>
          <w:tab w:val="left" w:pos="1787"/>
        </w:tabs>
        <w:ind w:left="1787" w:hanging="420"/>
      </w:pPr>
    </w:lvl>
    <w:lvl w:ilvl="6" w:tentative="0">
      <w:start w:val="1"/>
      <w:numFmt w:val="decimal"/>
      <w:lvlText w:val="%7."/>
      <w:lvlJc w:val="left"/>
      <w:pPr>
        <w:tabs>
          <w:tab w:val="left" w:pos="2207"/>
        </w:tabs>
        <w:ind w:left="2207" w:hanging="420"/>
      </w:pPr>
    </w:lvl>
    <w:lvl w:ilvl="7" w:tentative="0">
      <w:start w:val="1"/>
      <w:numFmt w:val="lowerLetter"/>
      <w:lvlText w:val="%8)"/>
      <w:lvlJc w:val="left"/>
      <w:pPr>
        <w:tabs>
          <w:tab w:val="left" w:pos="2627"/>
        </w:tabs>
        <w:ind w:left="2627" w:hanging="420"/>
      </w:pPr>
    </w:lvl>
    <w:lvl w:ilvl="8" w:tentative="0">
      <w:start w:val="1"/>
      <w:numFmt w:val="lowerRoman"/>
      <w:lvlText w:val="%9."/>
      <w:lvlJc w:val="right"/>
      <w:pPr>
        <w:tabs>
          <w:tab w:val="left" w:pos="3047"/>
        </w:tabs>
        <w:ind w:left="3047" w:hanging="420"/>
      </w:pPr>
    </w:lvl>
  </w:abstractNum>
  <w:abstractNum w:abstractNumId="35">
    <w:nsid w:val="593100CC"/>
    <w:multiLevelType w:val="multilevel"/>
    <w:tmpl w:val="593100CC"/>
    <w:lvl w:ilvl="0" w:tentative="0">
      <w:start w:val="1"/>
      <w:numFmt w:val="decimal"/>
      <w:lvlText w:val="(%1)"/>
      <w:lvlJc w:val="left"/>
      <w:pPr>
        <w:tabs>
          <w:tab w:val="left" w:pos="1333"/>
        </w:tabs>
        <w:ind w:left="1333" w:hanging="375"/>
      </w:pPr>
      <w:rPr>
        <w:rFonts w:hint="eastAsia"/>
        <w:b w:val="0"/>
        <w:color w:val="auto"/>
      </w:rPr>
    </w:lvl>
    <w:lvl w:ilvl="1" w:tentative="0">
      <w:start w:val="1"/>
      <w:numFmt w:val="lowerLetter"/>
      <w:lvlText w:val="%2)"/>
      <w:lvlJc w:val="left"/>
      <w:pPr>
        <w:tabs>
          <w:tab w:val="left" w:pos="107"/>
        </w:tabs>
        <w:ind w:left="107" w:hanging="420"/>
      </w:pPr>
    </w:lvl>
    <w:lvl w:ilvl="2" w:tentative="0">
      <w:start w:val="1"/>
      <w:numFmt w:val="lowerRoman"/>
      <w:lvlText w:val="%3."/>
      <w:lvlJc w:val="right"/>
      <w:pPr>
        <w:tabs>
          <w:tab w:val="left" w:pos="527"/>
        </w:tabs>
        <w:ind w:left="527" w:hanging="420"/>
      </w:pPr>
    </w:lvl>
    <w:lvl w:ilvl="3" w:tentative="0">
      <w:start w:val="1"/>
      <w:numFmt w:val="decimal"/>
      <w:lvlText w:val="%4."/>
      <w:lvlJc w:val="left"/>
      <w:pPr>
        <w:tabs>
          <w:tab w:val="left" w:pos="947"/>
        </w:tabs>
        <w:ind w:left="947" w:hanging="420"/>
      </w:pPr>
    </w:lvl>
    <w:lvl w:ilvl="4" w:tentative="0">
      <w:start w:val="1"/>
      <w:numFmt w:val="lowerLetter"/>
      <w:lvlText w:val="%5)"/>
      <w:lvlJc w:val="left"/>
      <w:pPr>
        <w:tabs>
          <w:tab w:val="left" w:pos="1367"/>
        </w:tabs>
        <w:ind w:left="1367" w:hanging="420"/>
      </w:pPr>
    </w:lvl>
    <w:lvl w:ilvl="5" w:tentative="0">
      <w:start w:val="1"/>
      <w:numFmt w:val="lowerRoman"/>
      <w:lvlText w:val="%6."/>
      <w:lvlJc w:val="right"/>
      <w:pPr>
        <w:tabs>
          <w:tab w:val="left" w:pos="1787"/>
        </w:tabs>
        <w:ind w:left="1787" w:hanging="420"/>
      </w:pPr>
    </w:lvl>
    <w:lvl w:ilvl="6" w:tentative="0">
      <w:start w:val="1"/>
      <w:numFmt w:val="decimal"/>
      <w:lvlText w:val="%7."/>
      <w:lvlJc w:val="left"/>
      <w:pPr>
        <w:tabs>
          <w:tab w:val="left" w:pos="2207"/>
        </w:tabs>
        <w:ind w:left="2207" w:hanging="420"/>
      </w:pPr>
    </w:lvl>
    <w:lvl w:ilvl="7" w:tentative="0">
      <w:start w:val="1"/>
      <w:numFmt w:val="lowerLetter"/>
      <w:lvlText w:val="%8)"/>
      <w:lvlJc w:val="left"/>
      <w:pPr>
        <w:tabs>
          <w:tab w:val="left" w:pos="2627"/>
        </w:tabs>
        <w:ind w:left="2627" w:hanging="420"/>
      </w:pPr>
    </w:lvl>
    <w:lvl w:ilvl="8" w:tentative="0">
      <w:start w:val="1"/>
      <w:numFmt w:val="lowerRoman"/>
      <w:lvlText w:val="%9."/>
      <w:lvlJc w:val="right"/>
      <w:pPr>
        <w:tabs>
          <w:tab w:val="left" w:pos="3047"/>
        </w:tabs>
        <w:ind w:left="3047" w:hanging="420"/>
      </w:pPr>
    </w:lvl>
  </w:abstractNum>
  <w:abstractNum w:abstractNumId="36">
    <w:nsid w:val="59C81F14"/>
    <w:multiLevelType w:val="multilevel"/>
    <w:tmpl w:val="59C81F14"/>
    <w:lvl w:ilvl="0" w:tentative="0">
      <w:start w:val="1"/>
      <w:numFmt w:val="decimal"/>
      <w:lvlText w:val="2.%1"/>
      <w:lvlJc w:val="left"/>
      <w:pPr>
        <w:ind w:left="840" w:hanging="420"/>
      </w:pPr>
      <w:rPr>
        <w:rFonts w:hint="eastAsia"/>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37">
    <w:nsid w:val="5A5F3C3E"/>
    <w:multiLevelType w:val="multilevel"/>
    <w:tmpl w:val="5A5F3C3E"/>
    <w:lvl w:ilvl="0" w:tentative="0">
      <w:start w:val="1"/>
      <w:numFmt w:val="decimal"/>
      <w:lvlText w:val="(%1)"/>
      <w:lvlJc w:val="left"/>
      <w:pPr>
        <w:tabs>
          <w:tab w:val="left" w:pos="1260"/>
        </w:tabs>
        <w:ind w:left="1260" w:hanging="420"/>
      </w:pPr>
      <w:rPr>
        <w:rFonts w:hint="eastAsia"/>
      </w:rPr>
    </w:lvl>
    <w:lvl w:ilvl="1" w:tentative="0">
      <w:start w:val="1"/>
      <w:numFmt w:val="lowerLetter"/>
      <w:lvlText w:val="%2)"/>
      <w:lvlJc w:val="left"/>
      <w:pPr>
        <w:tabs>
          <w:tab w:val="left" w:pos="1255"/>
        </w:tabs>
        <w:ind w:left="1255" w:hanging="420"/>
      </w:pPr>
    </w:lvl>
    <w:lvl w:ilvl="2" w:tentative="0">
      <w:start w:val="1"/>
      <w:numFmt w:val="lowerRoman"/>
      <w:lvlText w:val="%3."/>
      <w:lvlJc w:val="right"/>
      <w:pPr>
        <w:tabs>
          <w:tab w:val="left" w:pos="1675"/>
        </w:tabs>
        <w:ind w:left="1675" w:hanging="420"/>
      </w:pPr>
    </w:lvl>
    <w:lvl w:ilvl="3" w:tentative="0">
      <w:start w:val="1"/>
      <w:numFmt w:val="decimal"/>
      <w:lvlText w:val="%4."/>
      <w:lvlJc w:val="left"/>
      <w:pPr>
        <w:tabs>
          <w:tab w:val="left" w:pos="2095"/>
        </w:tabs>
        <w:ind w:left="2095" w:hanging="420"/>
      </w:pPr>
    </w:lvl>
    <w:lvl w:ilvl="4" w:tentative="0">
      <w:start w:val="1"/>
      <w:numFmt w:val="lowerLetter"/>
      <w:lvlText w:val="%5)"/>
      <w:lvlJc w:val="left"/>
      <w:pPr>
        <w:tabs>
          <w:tab w:val="left" w:pos="2515"/>
        </w:tabs>
        <w:ind w:left="2515" w:hanging="420"/>
      </w:pPr>
    </w:lvl>
    <w:lvl w:ilvl="5" w:tentative="0">
      <w:start w:val="1"/>
      <w:numFmt w:val="lowerRoman"/>
      <w:lvlText w:val="%6."/>
      <w:lvlJc w:val="right"/>
      <w:pPr>
        <w:tabs>
          <w:tab w:val="left" w:pos="2935"/>
        </w:tabs>
        <w:ind w:left="2935" w:hanging="420"/>
      </w:pPr>
    </w:lvl>
    <w:lvl w:ilvl="6" w:tentative="0">
      <w:start w:val="1"/>
      <w:numFmt w:val="decimal"/>
      <w:lvlText w:val="%7."/>
      <w:lvlJc w:val="left"/>
      <w:pPr>
        <w:tabs>
          <w:tab w:val="left" w:pos="3355"/>
        </w:tabs>
        <w:ind w:left="3355" w:hanging="420"/>
      </w:pPr>
    </w:lvl>
    <w:lvl w:ilvl="7" w:tentative="0">
      <w:start w:val="1"/>
      <w:numFmt w:val="lowerLetter"/>
      <w:lvlText w:val="%8)"/>
      <w:lvlJc w:val="left"/>
      <w:pPr>
        <w:tabs>
          <w:tab w:val="left" w:pos="3775"/>
        </w:tabs>
        <w:ind w:left="3775" w:hanging="420"/>
      </w:pPr>
    </w:lvl>
    <w:lvl w:ilvl="8" w:tentative="0">
      <w:start w:val="1"/>
      <w:numFmt w:val="lowerRoman"/>
      <w:lvlText w:val="%9."/>
      <w:lvlJc w:val="right"/>
      <w:pPr>
        <w:tabs>
          <w:tab w:val="left" w:pos="4195"/>
        </w:tabs>
        <w:ind w:left="4195" w:hanging="420"/>
      </w:pPr>
    </w:lvl>
  </w:abstractNum>
  <w:abstractNum w:abstractNumId="38">
    <w:nsid w:val="5EDD1210"/>
    <w:multiLevelType w:val="multilevel"/>
    <w:tmpl w:val="5EDD1210"/>
    <w:lvl w:ilvl="0" w:tentative="0">
      <w:start w:val="1"/>
      <w:numFmt w:val="decimal"/>
      <w:lvlText w:val="(%1)"/>
      <w:lvlJc w:val="left"/>
      <w:pPr>
        <w:tabs>
          <w:tab w:val="left" w:pos="1412"/>
        </w:tabs>
        <w:ind w:left="1412" w:hanging="420"/>
      </w:pPr>
      <w:rPr>
        <w:rFonts w:hint="eastAsia"/>
        <w:b w:val="0"/>
      </w:rPr>
    </w:lvl>
    <w:lvl w:ilvl="1" w:tentative="0">
      <w:start w:val="1"/>
      <w:numFmt w:val="lowerLetter"/>
      <w:lvlText w:val="%2)"/>
      <w:lvlJc w:val="left"/>
      <w:pPr>
        <w:tabs>
          <w:tab w:val="left" w:pos="556"/>
        </w:tabs>
        <w:ind w:left="556" w:hanging="420"/>
      </w:pPr>
    </w:lvl>
    <w:lvl w:ilvl="2" w:tentative="0">
      <w:start w:val="1"/>
      <w:numFmt w:val="lowerRoman"/>
      <w:lvlText w:val="%3."/>
      <w:lvlJc w:val="right"/>
      <w:pPr>
        <w:tabs>
          <w:tab w:val="left" w:pos="976"/>
        </w:tabs>
        <w:ind w:left="976" w:hanging="420"/>
      </w:pPr>
    </w:lvl>
    <w:lvl w:ilvl="3" w:tentative="0">
      <w:start w:val="1"/>
      <w:numFmt w:val="decimal"/>
      <w:lvlText w:val="%4."/>
      <w:lvlJc w:val="left"/>
      <w:pPr>
        <w:tabs>
          <w:tab w:val="left" w:pos="1396"/>
        </w:tabs>
        <w:ind w:left="1396" w:hanging="420"/>
      </w:pPr>
    </w:lvl>
    <w:lvl w:ilvl="4" w:tentative="0">
      <w:start w:val="1"/>
      <w:numFmt w:val="lowerLetter"/>
      <w:lvlText w:val="%5)"/>
      <w:lvlJc w:val="left"/>
      <w:pPr>
        <w:tabs>
          <w:tab w:val="left" w:pos="1816"/>
        </w:tabs>
        <w:ind w:left="1816" w:hanging="420"/>
      </w:pPr>
    </w:lvl>
    <w:lvl w:ilvl="5" w:tentative="0">
      <w:start w:val="1"/>
      <w:numFmt w:val="lowerRoman"/>
      <w:lvlText w:val="%6."/>
      <w:lvlJc w:val="right"/>
      <w:pPr>
        <w:tabs>
          <w:tab w:val="left" w:pos="2236"/>
        </w:tabs>
        <w:ind w:left="2236" w:hanging="420"/>
      </w:pPr>
    </w:lvl>
    <w:lvl w:ilvl="6" w:tentative="0">
      <w:start w:val="1"/>
      <w:numFmt w:val="decimal"/>
      <w:lvlText w:val="%7."/>
      <w:lvlJc w:val="left"/>
      <w:pPr>
        <w:tabs>
          <w:tab w:val="left" w:pos="2656"/>
        </w:tabs>
        <w:ind w:left="2656" w:hanging="420"/>
      </w:pPr>
    </w:lvl>
    <w:lvl w:ilvl="7" w:tentative="0">
      <w:start w:val="1"/>
      <w:numFmt w:val="lowerLetter"/>
      <w:lvlText w:val="%8)"/>
      <w:lvlJc w:val="left"/>
      <w:pPr>
        <w:tabs>
          <w:tab w:val="left" w:pos="3076"/>
        </w:tabs>
        <w:ind w:left="3076" w:hanging="420"/>
      </w:pPr>
    </w:lvl>
    <w:lvl w:ilvl="8" w:tentative="0">
      <w:start w:val="1"/>
      <w:numFmt w:val="lowerRoman"/>
      <w:lvlText w:val="%9."/>
      <w:lvlJc w:val="right"/>
      <w:pPr>
        <w:tabs>
          <w:tab w:val="left" w:pos="3496"/>
        </w:tabs>
        <w:ind w:left="3496" w:hanging="420"/>
      </w:pPr>
    </w:lvl>
  </w:abstractNum>
  <w:abstractNum w:abstractNumId="39">
    <w:nsid w:val="603B7249"/>
    <w:multiLevelType w:val="multilevel"/>
    <w:tmpl w:val="603B7249"/>
    <w:lvl w:ilvl="0" w:tentative="0">
      <w:start w:val="1"/>
      <w:numFmt w:val="decimal"/>
      <w:lvlText w:val="(%1)"/>
      <w:lvlJc w:val="left"/>
      <w:pPr>
        <w:ind w:left="1838" w:hanging="420"/>
      </w:pPr>
      <w:rPr>
        <w:rFonts w:hint="eastAsia"/>
      </w:rPr>
    </w:lvl>
    <w:lvl w:ilvl="1" w:tentative="0">
      <w:start w:val="1"/>
      <w:numFmt w:val="lowerLetter"/>
      <w:lvlText w:val="%2)"/>
      <w:lvlJc w:val="left"/>
      <w:pPr>
        <w:ind w:left="2258" w:hanging="420"/>
      </w:pPr>
    </w:lvl>
    <w:lvl w:ilvl="2" w:tentative="0">
      <w:start w:val="1"/>
      <w:numFmt w:val="lowerRoman"/>
      <w:lvlText w:val="%3."/>
      <w:lvlJc w:val="right"/>
      <w:pPr>
        <w:ind w:left="2678" w:hanging="420"/>
      </w:pPr>
    </w:lvl>
    <w:lvl w:ilvl="3" w:tentative="0">
      <w:start w:val="1"/>
      <w:numFmt w:val="decimal"/>
      <w:lvlText w:val="%4."/>
      <w:lvlJc w:val="left"/>
      <w:pPr>
        <w:ind w:left="3098" w:hanging="420"/>
      </w:pPr>
    </w:lvl>
    <w:lvl w:ilvl="4" w:tentative="0">
      <w:start w:val="1"/>
      <w:numFmt w:val="lowerLetter"/>
      <w:lvlText w:val="%5)"/>
      <w:lvlJc w:val="left"/>
      <w:pPr>
        <w:ind w:left="3518" w:hanging="420"/>
      </w:pPr>
    </w:lvl>
    <w:lvl w:ilvl="5" w:tentative="0">
      <w:start w:val="1"/>
      <w:numFmt w:val="lowerRoman"/>
      <w:lvlText w:val="%6."/>
      <w:lvlJc w:val="right"/>
      <w:pPr>
        <w:ind w:left="3938" w:hanging="420"/>
      </w:pPr>
    </w:lvl>
    <w:lvl w:ilvl="6" w:tentative="0">
      <w:start w:val="1"/>
      <w:numFmt w:val="decimal"/>
      <w:lvlText w:val="%7."/>
      <w:lvlJc w:val="left"/>
      <w:pPr>
        <w:ind w:left="4358" w:hanging="420"/>
      </w:pPr>
    </w:lvl>
    <w:lvl w:ilvl="7" w:tentative="0">
      <w:start w:val="1"/>
      <w:numFmt w:val="lowerLetter"/>
      <w:lvlText w:val="%8)"/>
      <w:lvlJc w:val="left"/>
      <w:pPr>
        <w:ind w:left="4778" w:hanging="420"/>
      </w:pPr>
    </w:lvl>
    <w:lvl w:ilvl="8" w:tentative="0">
      <w:start w:val="1"/>
      <w:numFmt w:val="lowerRoman"/>
      <w:lvlText w:val="%9."/>
      <w:lvlJc w:val="right"/>
      <w:pPr>
        <w:ind w:left="5198" w:hanging="420"/>
      </w:pPr>
    </w:lvl>
  </w:abstractNum>
  <w:abstractNum w:abstractNumId="40">
    <w:nsid w:val="613752D6"/>
    <w:multiLevelType w:val="multilevel"/>
    <w:tmpl w:val="613752D6"/>
    <w:lvl w:ilvl="0" w:tentative="0">
      <w:start w:val="1"/>
      <w:numFmt w:val="decimal"/>
      <w:lvlText w:val="%1"/>
      <w:lvlJc w:val="left"/>
      <w:pPr>
        <w:tabs>
          <w:tab w:val="left" w:pos="840"/>
        </w:tabs>
        <w:ind w:left="840" w:hanging="420"/>
      </w:pPr>
      <w:rPr>
        <w:rFonts w:hint="eastAsia"/>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41">
    <w:nsid w:val="697B5539"/>
    <w:multiLevelType w:val="multilevel"/>
    <w:tmpl w:val="697B5539"/>
    <w:lvl w:ilvl="0" w:tentative="0">
      <w:start w:val="1"/>
      <w:numFmt w:val="decimal"/>
      <w:lvlText w:val="(%1)"/>
      <w:lvlJc w:val="left"/>
      <w:pPr>
        <w:tabs>
          <w:tab w:val="left" w:pos="1333"/>
        </w:tabs>
        <w:ind w:left="1333" w:hanging="375"/>
      </w:pPr>
      <w:rPr>
        <w:rFonts w:hint="eastAsia"/>
        <w:b w:val="0"/>
        <w:color w:val="auto"/>
      </w:rPr>
    </w:lvl>
    <w:lvl w:ilvl="1" w:tentative="0">
      <w:start w:val="1"/>
      <w:numFmt w:val="lowerLetter"/>
      <w:lvlText w:val="%2)"/>
      <w:lvlJc w:val="left"/>
      <w:pPr>
        <w:tabs>
          <w:tab w:val="left" w:pos="107"/>
        </w:tabs>
        <w:ind w:left="107" w:hanging="420"/>
      </w:pPr>
    </w:lvl>
    <w:lvl w:ilvl="2" w:tentative="0">
      <w:start w:val="1"/>
      <w:numFmt w:val="lowerRoman"/>
      <w:lvlText w:val="%3."/>
      <w:lvlJc w:val="right"/>
      <w:pPr>
        <w:tabs>
          <w:tab w:val="left" w:pos="527"/>
        </w:tabs>
        <w:ind w:left="527" w:hanging="420"/>
      </w:pPr>
    </w:lvl>
    <w:lvl w:ilvl="3" w:tentative="0">
      <w:start w:val="1"/>
      <w:numFmt w:val="decimal"/>
      <w:lvlText w:val="%4."/>
      <w:lvlJc w:val="left"/>
      <w:pPr>
        <w:tabs>
          <w:tab w:val="left" w:pos="947"/>
        </w:tabs>
        <w:ind w:left="947" w:hanging="420"/>
      </w:pPr>
    </w:lvl>
    <w:lvl w:ilvl="4" w:tentative="0">
      <w:start w:val="1"/>
      <w:numFmt w:val="lowerLetter"/>
      <w:lvlText w:val="%5)"/>
      <w:lvlJc w:val="left"/>
      <w:pPr>
        <w:tabs>
          <w:tab w:val="left" w:pos="1367"/>
        </w:tabs>
        <w:ind w:left="1367" w:hanging="420"/>
      </w:pPr>
    </w:lvl>
    <w:lvl w:ilvl="5" w:tentative="0">
      <w:start w:val="1"/>
      <w:numFmt w:val="lowerRoman"/>
      <w:lvlText w:val="%6."/>
      <w:lvlJc w:val="right"/>
      <w:pPr>
        <w:tabs>
          <w:tab w:val="left" w:pos="1787"/>
        </w:tabs>
        <w:ind w:left="1787" w:hanging="420"/>
      </w:pPr>
    </w:lvl>
    <w:lvl w:ilvl="6" w:tentative="0">
      <w:start w:val="1"/>
      <w:numFmt w:val="decimal"/>
      <w:lvlText w:val="%7."/>
      <w:lvlJc w:val="left"/>
      <w:pPr>
        <w:tabs>
          <w:tab w:val="left" w:pos="2207"/>
        </w:tabs>
        <w:ind w:left="2207" w:hanging="420"/>
      </w:pPr>
    </w:lvl>
    <w:lvl w:ilvl="7" w:tentative="0">
      <w:start w:val="1"/>
      <w:numFmt w:val="lowerLetter"/>
      <w:lvlText w:val="%8)"/>
      <w:lvlJc w:val="left"/>
      <w:pPr>
        <w:tabs>
          <w:tab w:val="left" w:pos="2627"/>
        </w:tabs>
        <w:ind w:left="2627" w:hanging="420"/>
      </w:pPr>
    </w:lvl>
    <w:lvl w:ilvl="8" w:tentative="0">
      <w:start w:val="1"/>
      <w:numFmt w:val="lowerRoman"/>
      <w:lvlText w:val="%9."/>
      <w:lvlJc w:val="right"/>
      <w:pPr>
        <w:tabs>
          <w:tab w:val="left" w:pos="3047"/>
        </w:tabs>
        <w:ind w:left="3047" w:hanging="420"/>
      </w:pPr>
    </w:lvl>
  </w:abstractNum>
  <w:abstractNum w:abstractNumId="42">
    <w:nsid w:val="69E53806"/>
    <w:multiLevelType w:val="multilevel"/>
    <w:tmpl w:val="69E53806"/>
    <w:lvl w:ilvl="0" w:tentative="0">
      <w:start w:val="1"/>
      <w:numFmt w:val="decimal"/>
      <w:lvlText w:val="(%1)"/>
      <w:lvlJc w:val="left"/>
      <w:pPr>
        <w:ind w:left="2100" w:hanging="420"/>
      </w:pPr>
      <w:rPr>
        <w:rFonts w:hint="eastAsia"/>
        <w:lang w:val="en-US"/>
      </w:rPr>
    </w:lvl>
    <w:lvl w:ilvl="1" w:tentative="0">
      <w:start w:val="1"/>
      <w:numFmt w:val="lowerLetter"/>
      <w:lvlText w:val="%2)"/>
      <w:lvlJc w:val="left"/>
      <w:pPr>
        <w:ind w:left="2520" w:hanging="420"/>
      </w:pPr>
      <w:rPr>
        <w:rFonts w:hint="eastAsia"/>
      </w:rPr>
    </w:lvl>
    <w:lvl w:ilvl="2" w:tentative="0">
      <w:start w:val="1"/>
      <w:numFmt w:val="lowerRoman"/>
      <w:lvlText w:val="%3."/>
      <w:lvlJc w:val="right"/>
      <w:pPr>
        <w:ind w:left="2940" w:hanging="420"/>
      </w:pPr>
      <w:rPr>
        <w:rFonts w:hint="eastAsia"/>
      </w:rPr>
    </w:lvl>
    <w:lvl w:ilvl="3" w:tentative="0">
      <w:start w:val="1"/>
      <w:numFmt w:val="decimal"/>
      <w:lvlText w:val="%4."/>
      <w:lvlJc w:val="left"/>
      <w:pPr>
        <w:ind w:left="3360" w:hanging="420"/>
      </w:pPr>
      <w:rPr>
        <w:rFonts w:hint="eastAsia"/>
      </w:rPr>
    </w:lvl>
    <w:lvl w:ilvl="4" w:tentative="0">
      <w:start w:val="1"/>
      <w:numFmt w:val="lowerLetter"/>
      <w:lvlText w:val="%5)"/>
      <w:lvlJc w:val="left"/>
      <w:pPr>
        <w:ind w:left="3780" w:hanging="420"/>
      </w:pPr>
      <w:rPr>
        <w:rFonts w:hint="eastAsia"/>
      </w:rPr>
    </w:lvl>
    <w:lvl w:ilvl="5" w:tentative="0">
      <w:start w:val="1"/>
      <w:numFmt w:val="lowerRoman"/>
      <w:lvlText w:val="%6."/>
      <w:lvlJc w:val="right"/>
      <w:pPr>
        <w:ind w:left="4200" w:hanging="420"/>
      </w:pPr>
      <w:rPr>
        <w:rFonts w:hint="eastAsia"/>
      </w:rPr>
    </w:lvl>
    <w:lvl w:ilvl="6" w:tentative="0">
      <w:start w:val="1"/>
      <w:numFmt w:val="decimal"/>
      <w:lvlText w:val="%7."/>
      <w:lvlJc w:val="left"/>
      <w:pPr>
        <w:ind w:left="4620" w:hanging="420"/>
      </w:pPr>
      <w:rPr>
        <w:rFonts w:hint="eastAsia"/>
      </w:rPr>
    </w:lvl>
    <w:lvl w:ilvl="7" w:tentative="0">
      <w:start w:val="1"/>
      <w:numFmt w:val="lowerLetter"/>
      <w:lvlText w:val="%8)"/>
      <w:lvlJc w:val="left"/>
      <w:pPr>
        <w:ind w:left="5040" w:hanging="420"/>
      </w:pPr>
      <w:rPr>
        <w:rFonts w:hint="eastAsia"/>
      </w:rPr>
    </w:lvl>
    <w:lvl w:ilvl="8" w:tentative="0">
      <w:start w:val="1"/>
      <w:numFmt w:val="lowerRoman"/>
      <w:lvlText w:val="%9."/>
      <w:lvlJc w:val="right"/>
      <w:pPr>
        <w:ind w:left="5460" w:hanging="420"/>
      </w:pPr>
      <w:rPr>
        <w:rFonts w:hint="eastAsia"/>
      </w:rPr>
    </w:lvl>
  </w:abstractNum>
  <w:abstractNum w:abstractNumId="43">
    <w:nsid w:val="6B5E4B43"/>
    <w:multiLevelType w:val="multilevel"/>
    <w:tmpl w:val="6B5E4B43"/>
    <w:lvl w:ilvl="0" w:tentative="0">
      <w:start w:val="1"/>
      <w:numFmt w:val="decimal"/>
      <w:pStyle w:val="48"/>
      <w:lvlText w:val="%1."/>
      <w:lvlJc w:val="left"/>
      <w:pPr>
        <w:tabs>
          <w:tab w:val="left" w:pos="720"/>
        </w:tabs>
        <w:ind w:left="0" w:firstLine="0"/>
      </w:pPr>
      <w:rPr>
        <w:rFonts w:ascii="Times New Roman" w:hAnsi="Times New Roman"/>
        <w:b/>
        <w:i w:val="0"/>
        <w:caps w:val="0"/>
        <w:color w:val="auto"/>
        <w:u w:val="none"/>
      </w:rPr>
    </w:lvl>
    <w:lvl w:ilvl="1" w:tentative="0">
      <w:start w:val="1"/>
      <w:numFmt w:val="decimal"/>
      <w:pStyle w:val="49"/>
      <w:lvlText w:val="%1.%2"/>
      <w:lvlJc w:val="left"/>
      <w:pPr>
        <w:tabs>
          <w:tab w:val="left" w:pos="720"/>
        </w:tabs>
        <w:ind w:left="0" w:firstLine="0"/>
      </w:pPr>
      <w:rPr>
        <w:rFonts w:ascii="Times New Roman" w:hAnsi="Times New Roman"/>
        <w:b w:val="0"/>
        <w:i w:val="0"/>
        <w:caps w:val="0"/>
        <w:color w:val="auto"/>
        <w:u w:val="none"/>
      </w:rPr>
    </w:lvl>
    <w:lvl w:ilvl="2" w:tentative="0">
      <w:start w:val="1"/>
      <w:numFmt w:val="decimal"/>
      <w:lvlText w:val="(%3)"/>
      <w:lvlJc w:val="left"/>
      <w:pPr>
        <w:tabs>
          <w:tab w:val="left" w:pos="720"/>
        </w:tabs>
        <w:ind w:left="720" w:hanging="720"/>
      </w:pPr>
      <w:rPr>
        <w:rFonts w:hint="eastAsia"/>
        <w:b w:val="0"/>
        <w:i w:val="0"/>
        <w:caps w:val="0"/>
        <w:color w:val="auto"/>
        <w:u w:val="none"/>
      </w:rPr>
    </w:lvl>
    <w:lvl w:ilvl="3" w:tentative="0">
      <w:start w:val="1"/>
      <w:numFmt w:val="decimal"/>
      <w:lvlText w:val="(%4)"/>
      <w:lvlJc w:val="left"/>
      <w:pPr>
        <w:tabs>
          <w:tab w:val="left" w:pos="1440"/>
        </w:tabs>
        <w:ind w:left="1440" w:hanging="216"/>
      </w:pPr>
      <w:rPr>
        <w:rFonts w:hint="eastAsia"/>
        <w:b w:val="0"/>
        <w:i w:val="0"/>
        <w:caps w:val="0"/>
        <w:color w:val="auto"/>
        <w:u w:val="none"/>
      </w:rPr>
    </w:lvl>
    <w:lvl w:ilvl="4" w:tentative="0">
      <w:start w:val="1"/>
      <w:numFmt w:val="upperLetter"/>
      <w:pStyle w:val="52"/>
      <w:lvlText w:val="(%5)"/>
      <w:lvlJc w:val="left"/>
      <w:pPr>
        <w:tabs>
          <w:tab w:val="left" w:pos="2160"/>
        </w:tabs>
        <w:ind w:left="2160" w:hanging="720"/>
      </w:pPr>
      <w:rPr>
        <w:rFonts w:ascii="Times New Roman" w:hAnsi="Times New Roman"/>
        <w:b w:val="0"/>
        <w:i w:val="0"/>
        <w:caps w:val="0"/>
        <w:color w:val="auto"/>
        <w:u w:val="none"/>
      </w:rPr>
    </w:lvl>
    <w:lvl w:ilvl="5" w:tentative="0">
      <w:start w:val="1"/>
      <w:numFmt w:val="upperRoman"/>
      <w:pStyle w:val="53"/>
      <w:lvlText w:val="(%6)"/>
      <w:lvlJc w:val="right"/>
      <w:pPr>
        <w:tabs>
          <w:tab w:val="left" w:pos="2880"/>
        </w:tabs>
        <w:ind w:left="2880" w:hanging="216"/>
      </w:pPr>
      <w:rPr>
        <w:rFonts w:ascii="Times New Roman" w:hAnsi="Times New Roman"/>
        <w:b w:val="0"/>
        <w:i w:val="0"/>
        <w:caps w:val="0"/>
        <w:color w:val="auto"/>
        <w:u w:val="none"/>
      </w:rPr>
    </w:lvl>
    <w:lvl w:ilvl="6" w:tentative="0">
      <w:start w:val="27"/>
      <w:numFmt w:val="lowerLetter"/>
      <w:pStyle w:val="54"/>
      <w:lvlText w:val="(%7)"/>
      <w:lvlJc w:val="left"/>
      <w:pPr>
        <w:tabs>
          <w:tab w:val="left" w:pos="3600"/>
        </w:tabs>
        <w:ind w:left="3600" w:hanging="720"/>
      </w:pPr>
      <w:rPr>
        <w:rFonts w:ascii="Times New Roman" w:hAnsi="Times New Roman"/>
        <w:b w:val="0"/>
        <w:i w:val="0"/>
        <w:caps w:val="0"/>
        <w:color w:val="auto"/>
        <w:u w:val="none"/>
      </w:rPr>
    </w:lvl>
    <w:lvl w:ilvl="7" w:tentative="0">
      <w:start w:val="1"/>
      <w:numFmt w:val="decimal"/>
      <w:pStyle w:val="55"/>
      <w:lvlText w:val="(%8)"/>
      <w:lvlJc w:val="left"/>
      <w:pPr>
        <w:tabs>
          <w:tab w:val="left" w:pos="4320"/>
        </w:tabs>
        <w:ind w:left="4320" w:hanging="720"/>
      </w:pPr>
      <w:rPr>
        <w:rFonts w:ascii="Times New Roman" w:hAnsi="Times New Roman"/>
        <w:b w:val="0"/>
        <w:i w:val="0"/>
        <w:caps w:val="0"/>
        <w:color w:val="auto"/>
        <w:u w:val="none"/>
      </w:rPr>
    </w:lvl>
    <w:lvl w:ilvl="8" w:tentative="0">
      <w:start w:val="1"/>
      <w:numFmt w:val="lowerRoman"/>
      <w:lvlText w:val="%9)"/>
      <w:lvlJc w:val="left"/>
      <w:pPr>
        <w:tabs>
          <w:tab w:val="left" w:pos="5760"/>
        </w:tabs>
        <w:ind w:left="5760" w:hanging="720"/>
      </w:pPr>
      <w:rPr>
        <w:rFonts w:ascii="Times New Roman" w:hAnsi="Times New Roman"/>
        <w:b w:val="0"/>
        <w:i w:val="0"/>
        <w:caps w:val="0"/>
        <w:color w:val="auto"/>
        <w:u w:val="none"/>
      </w:rPr>
    </w:lvl>
  </w:abstractNum>
  <w:abstractNum w:abstractNumId="44">
    <w:nsid w:val="78924AD1"/>
    <w:multiLevelType w:val="multilevel"/>
    <w:tmpl w:val="78924AD1"/>
    <w:lvl w:ilvl="0" w:tentative="0">
      <w:start w:val="1"/>
      <w:numFmt w:val="decimal"/>
      <w:lvlText w:val="(%1)"/>
      <w:lvlJc w:val="left"/>
      <w:pPr>
        <w:tabs>
          <w:tab w:val="left" w:pos="1635"/>
        </w:tabs>
        <w:ind w:left="1635" w:hanging="375"/>
      </w:pPr>
      <w:rPr>
        <w:rFonts w:hint="eastAsia"/>
        <w:b w:val="0"/>
        <w:color w:val="auto"/>
      </w:rPr>
    </w:lvl>
    <w:lvl w:ilvl="1" w:tentative="0">
      <w:start w:val="1"/>
      <w:numFmt w:val="lowerLetter"/>
      <w:lvlText w:val="%2)"/>
      <w:lvlJc w:val="left"/>
      <w:pPr>
        <w:tabs>
          <w:tab w:val="left" w:pos="409"/>
        </w:tabs>
        <w:ind w:left="409" w:hanging="420"/>
      </w:pPr>
    </w:lvl>
    <w:lvl w:ilvl="2" w:tentative="0">
      <w:start w:val="1"/>
      <w:numFmt w:val="lowerRoman"/>
      <w:lvlText w:val="%3."/>
      <w:lvlJc w:val="right"/>
      <w:pPr>
        <w:tabs>
          <w:tab w:val="left" w:pos="829"/>
        </w:tabs>
        <w:ind w:left="829" w:hanging="420"/>
      </w:pPr>
    </w:lvl>
    <w:lvl w:ilvl="3" w:tentative="0">
      <w:start w:val="1"/>
      <w:numFmt w:val="decimal"/>
      <w:lvlText w:val="%4."/>
      <w:lvlJc w:val="left"/>
      <w:pPr>
        <w:tabs>
          <w:tab w:val="left" w:pos="1249"/>
        </w:tabs>
        <w:ind w:left="1249" w:hanging="420"/>
      </w:pPr>
    </w:lvl>
    <w:lvl w:ilvl="4" w:tentative="0">
      <w:start w:val="1"/>
      <w:numFmt w:val="lowerLetter"/>
      <w:lvlText w:val="%5)"/>
      <w:lvlJc w:val="left"/>
      <w:pPr>
        <w:tabs>
          <w:tab w:val="left" w:pos="1669"/>
        </w:tabs>
        <w:ind w:left="1669" w:hanging="420"/>
      </w:pPr>
    </w:lvl>
    <w:lvl w:ilvl="5" w:tentative="0">
      <w:start w:val="1"/>
      <w:numFmt w:val="lowerRoman"/>
      <w:lvlText w:val="%6."/>
      <w:lvlJc w:val="right"/>
      <w:pPr>
        <w:tabs>
          <w:tab w:val="left" w:pos="2089"/>
        </w:tabs>
        <w:ind w:left="2089" w:hanging="420"/>
      </w:pPr>
    </w:lvl>
    <w:lvl w:ilvl="6" w:tentative="0">
      <w:start w:val="1"/>
      <w:numFmt w:val="decimal"/>
      <w:lvlText w:val="%7."/>
      <w:lvlJc w:val="left"/>
      <w:pPr>
        <w:tabs>
          <w:tab w:val="left" w:pos="2509"/>
        </w:tabs>
        <w:ind w:left="2509" w:hanging="420"/>
      </w:pPr>
    </w:lvl>
    <w:lvl w:ilvl="7" w:tentative="0">
      <w:start w:val="1"/>
      <w:numFmt w:val="lowerLetter"/>
      <w:lvlText w:val="%8)"/>
      <w:lvlJc w:val="left"/>
      <w:pPr>
        <w:tabs>
          <w:tab w:val="left" w:pos="2929"/>
        </w:tabs>
        <w:ind w:left="2929" w:hanging="420"/>
      </w:pPr>
    </w:lvl>
    <w:lvl w:ilvl="8" w:tentative="0">
      <w:start w:val="1"/>
      <w:numFmt w:val="lowerRoman"/>
      <w:lvlText w:val="%9."/>
      <w:lvlJc w:val="right"/>
      <w:pPr>
        <w:tabs>
          <w:tab w:val="left" w:pos="3349"/>
        </w:tabs>
        <w:ind w:left="3349" w:hanging="420"/>
      </w:pPr>
    </w:lvl>
  </w:abstractNum>
  <w:abstractNum w:abstractNumId="45">
    <w:nsid w:val="7B6F15B0"/>
    <w:multiLevelType w:val="multilevel"/>
    <w:tmpl w:val="7B6F15B0"/>
    <w:lvl w:ilvl="0" w:tentative="0">
      <w:start w:val="1"/>
      <w:numFmt w:val="decimal"/>
      <w:pStyle w:val="61"/>
      <w:suff w:val="nothing"/>
      <w:lvlText w:val="Schedule %1 "/>
      <w:lvlJc w:val="left"/>
      <w:pPr>
        <w:ind w:left="0" w:firstLine="0"/>
      </w:pPr>
      <w:rPr>
        <w:rFonts w:ascii="Times New Roman" w:hAnsi="Times New Roman"/>
        <w:b/>
        <w:i w:val="0"/>
        <w:caps/>
        <w:smallCaps w:val="0"/>
        <w:color w:val="auto"/>
        <w:sz w:val="24"/>
        <w:u w:val="none"/>
      </w:rPr>
    </w:lvl>
    <w:lvl w:ilvl="1" w:tentative="0">
      <w:start w:val="1"/>
      <w:numFmt w:val="upperLetter"/>
      <w:pStyle w:val="62"/>
      <w:suff w:val="space"/>
      <w:lvlText w:val="Part %2 "/>
      <w:lvlJc w:val="left"/>
      <w:pPr>
        <w:tabs>
          <w:tab w:val="left" w:pos="0"/>
        </w:tabs>
        <w:ind w:left="0" w:firstLine="0"/>
      </w:pPr>
      <w:rPr>
        <w:rFonts w:ascii="Times New Roman" w:hAnsi="Times New Roman"/>
        <w:b/>
        <w:i w:val="0"/>
        <w:caps w:val="0"/>
        <w:color w:val="auto"/>
        <w:sz w:val="24"/>
        <w:u w:val="none"/>
      </w:rPr>
    </w:lvl>
    <w:lvl w:ilvl="2" w:tentative="0">
      <w:start w:val="1"/>
      <w:numFmt w:val="decimal"/>
      <w:pStyle w:val="63"/>
      <w:lvlText w:val="%3."/>
      <w:lvlJc w:val="left"/>
      <w:pPr>
        <w:tabs>
          <w:tab w:val="left" w:pos="720"/>
        </w:tabs>
        <w:ind w:left="0" w:firstLine="0"/>
      </w:pPr>
      <w:rPr>
        <w:rFonts w:ascii="Times New Roman" w:hAnsi="Times New Roman"/>
        <w:b/>
        <w:i w:val="0"/>
        <w:caps w:val="0"/>
        <w:color w:val="auto"/>
        <w:sz w:val="24"/>
        <w:u w:val="none"/>
      </w:rPr>
    </w:lvl>
    <w:lvl w:ilvl="3" w:tentative="0">
      <w:start w:val="1"/>
      <w:numFmt w:val="decimal"/>
      <w:pStyle w:val="64"/>
      <w:lvlText w:val="%4."/>
      <w:lvlJc w:val="left"/>
      <w:pPr>
        <w:tabs>
          <w:tab w:val="left" w:pos="720"/>
        </w:tabs>
        <w:ind w:left="0" w:firstLine="0"/>
      </w:pPr>
      <w:rPr>
        <w:rFonts w:ascii="Times New Roman" w:hAnsi="Times New Roman"/>
        <w:b w:val="0"/>
        <w:i w:val="0"/>
        <w:caps w:val="0"/>
        <w:color w:val="auto"/>
        <w:sz w:val="24"/>
        <w:u w:val="none"/>
      </w:rPr>
    </w:lvl>
    <w:lvl w:ilvl="4" w:tentative="0">
      <w:start w:val="1"/>
      <w:numFmt w:val="decimal"/>
      <w:pStyle w:val="65"/>
      <w:lvlText w:val="%3.%5"/>
      <w:lvlJc w:val="left"/>
      <w:pPr>
        <w:tabs>
          <w:tab w:val="left" w:pos="720"/>
        </w:tabs>
        <w:ind w:left="0" w:firstLine="0"/>
      </w:pPr>
      <w:rPr>
        <w:rFonts w:ascii="Times New Roman" w:hAnsi="Times New Roman"/>
        <w:b w:val="0"/>
        <w:i w:val="0"/>
        <w:caps w:val="0"/>
        <w:color w:val="auto"/>
        <w:sz w:val="24"/>
        <w:u w:val="none"/>
      </w:rPr>
    </w:lvl>
    <w:lvl w:ilvl="5" w:tentative="0">
      <w:start w:val="1"/>
      <w:numFmt w:val="lowerLetter"/>
      <w:pStyle w:val="66"/>
      <w:lvlText w:val="(%6)"/>
      <w:lvlJc w:val="left"/>
      <w:pPr>
        <w:tabs>
          <w:tab w:val="left" w:pos="720"/>
        </w:tabs>
        <w:ind w:left="720" w:hanging="720"/>
      </w:pPr>
      <w:rPr>
        <w:rFonts w:ascii="Times New Roman" w:hAnsi="Times New Roman"/>
        <w:b w:val="0"/>
        <w:i w:val="0"/>
        <w:caps w:val="0"/>
        <w:color w:val="auto"/>
        <w:sz w:val="24"/>
        <w:u w:val="none"/>
      </w:rPr>
    </w:lvl>
    <w:lvl w:ilvl="6" w:tentative="0">
      <w:start w:val="1"/>
      <w:numFmt w:val="lowerRoman"/>
      <w:pStyle w:val="67"/>
      <w:lvlText w:val="(%7)"/>
      <w:lvlJc w:val="right"/>
      <w:pPr>
        <w:tabs>
          <w:tab w:val="left" w:pos="1440"/>
        </w:tabs>
        <w:ind w:left="1440" w:hanging="216"/>
      </w:pPr>
      <w:rPr>
        <w:rFonts w:ascii="Times New Roman" w:hAnsi="Times New Roman"/>
        <w:b w:val="0"/>
        <w:i w:val="0"/>
        <w:caps w:val="0"/>
        <w:color w:val="auto"/>
        <w:sz w:val="24"/>
        <w:u w:val="none"/>
      </w:rPr>
    </w:lvl>
    <w:lvl w:ilvl="7" w:tentative="0">
      <w:start w:val="1"/>
      <w:numFmt w:val="upperLetter"/>
      <w:pStyle w:val="68"/>
      <w:lvlText w:val="(%8)"/>
      <w:lvlJc w:val="left"/>
      <w:pPr>
        <w:tabs>
          <w:tab w:val="left" w:pos="2160"/>
        </w:tabs>
        <w:ind w:left="2160" w:hanging="720"/>
      </w:pPr>
      <w:rPr>
        <w:rFonts w:ascii="Times New Roman" w:hAnsi="Times New Roman"/>
        <w:b w:val="0"/>
        <w:i w:val="0"/>
        <w:caps w:val="0"/>
        <w:color w:val="auto"/>
        <w:sz w:val="24"/>
        <w:u w:val="none"/>
      </w:rPr>
    </w:lvl>
    <w:lvl w:ilvl="8" w:tentative="0">
      <w:start w:val="1"/>
      <w:numFmt w:val="upperRoman"/>
      <w:pStyle w:val="69"/>
      <w:lvlText w:val="(%9)"/>
      <w:lvlJc w:val="right"/>
      <w:pPr>
        <w:tabs>
          <w:tab w:val="left" w:pos="2880"/>
        </w:tabs>
        <w:ind w:left="2880" w:hanging="216"/>
      </w:pPr>
      <w:rPr>
        <w:rFonts w:ascii="Times New Roman" w:hAnsi="Times New Roman"/>
        <w:b w:val="0"/>
        <w:i w:val="0"/>
        <w:caps w:val="0"/>
        <w:color w:val="auto"/>
        <w:sz w:val="24"/>
        <w:u w:val="none"/>
      </w:rPr>
    </w:lvl>
  </w:abstractNum>
  <w:abstractNum w:abstractNumId="46">
    <w:nsid w:val="7D0878D8"/>
    <w:multiLevelType w:val="multilevel"/>
    <w:tmpl w:val="7D0878D8"/>
    <w:lvl w:ilvl="0" w:tentative="0">
      <w:start w:val="1"/>
      <w:numFmt w:val="decimal"/>
      <w:lvlText w:val="(%1)"/>
      <w:lvlJc w:val="left"/>
      <w:pPr>
        <w:tabs>
          <w:tab w:val="left" w:pos="1333"/>
        </w:tabs>
        <w:ind w:left="1333" w:hanging="375"/>
      </w:pPr>
      <w:rPr>
        <w:rFonts w:hint="eastAsia"/>
        <w:b w:val="0"/>
        <w:color w:val="auto"/>
      </w:rPr>
    </w:lvl>
    <w:lvl w:ilvl="1" w:tentative="0">
      <w:start w:val="1"/>
      <w:numFmt w:val="lowerLetter"/>
      <w:lvlText w:val="%2)"/>
      <w:lvlJc w:val="left"/>
      <w:pPr>
        <w:tabs>
          <w:tab w:val="left" w:pos="107"/>
        </w:tabs>
        <w:ind w:left="107" w:hanging="420"/>
      </w:pPr>
    </w:lvl>
    <w:lvl w:ilvl="2" w:tentative="0">
      <w:start w:val="1"/>
      <w:numFmt w:val="lowerRoman"/>
      <w:lvlText w:val="%3."/>
      <w:lvlJc w:val="right"/>
      <w:pPr>
        <w:tabs>
          <w:tab w:val="left" w:pos="527"/>
        </w:tabs>
        <w:ind w:left="527" w:hanging="420"/>
      </w:pPr>
    </w:lvl>
    <w:lvl w:ilvl="3" w:tentative="0">
      <w:start w:val="1"/>
      <w:numFmt w:val="decimal"/>
      <w:lvlText w:val="%4."/>
      <w:lvlJc w:val="left"/>
      <w:pPr>
        <w:tabs>
          <w:tab w:val="left" w:pos="947"/>
        </w:tabs>
        <w:ind w:left="947" w:hanging="420"/>
      </w:pPr>
    </w:lvl>
    <w:lvl w:ilvl="4" w:tentative="0">
      <w:start w:val="1"/>
      <w:numFmt w:val="lowerLetter"/>
      <w:lvlText w:val="%5)"/>
      <w:lvlJc w:val="left"/>
      <w:pPr>
        <w:tabs>
          <w:tab w:val="left" w:pos="1367"/>
        </w:tabs>
        <w:ind w:left="1367" w:hanging="420"/>
      </w:pPr>
    </w:lvl>
    <w:lvl w:ilvl="5" w:tentative="0">
      <w:start w:val="1"/>
      <w:numFmt w:val="lowerRoman"/>
      <w:lvlText w:val="%6."/>
      <w:lvlJc w:val="right"/>
      <w:pPr>
        <w:tabs>
          <w:tab w:val="left" w:pos="1787"/>
        </w:tabs>
        <w:ind w:left="1787" w:hanging="420"/>
      </w:pPr>
    </w:lvl>
    <w:lvl w:ilvl="6" w:tentative="0">
      <w:start w:val="1"/>
      <w:numFmt w:val="decimal"/>
      <w:lvlText w:val="%7."/>
      <w:lvlJc w:val="left"/>
      <w:pPr>
        <w:tabs>
          <w:tab w:val="left" w:pos="2207"/>
        </w:tabs>
        <w:ind w:left="2207" w:hanging="420"/>
      </w:pPr>
    </w:lvl>
    <w:lvl w:ilvl="7" w:tentative="0">
      <w:start w:val="1"/>
      <w:numFmt w:val="lowerLetter"/>
      <w:lvlText w:val="%8)"/>
      <w:lvlJc w:val="left"/>
      <w:pPr>
        <w:tabs>
          <w:tab w:val="left" w:pos="2627"/>
        </w:tabs>
        <w:ind w:left="2627" w:hanging="420"/>
      </w:pPr>
    </w:lvl>
    <w:lvl w:ilvl="8" w:tentative="0">
      <w:start w:val="1"/>
      <w:numFmt w:val="lowerRoman"/>
      <w:lvlText w:val="%9."/>
      <w:lvlJc w:val="right"/>
      <w:pPr>
        <w:tabs>
          <w:tab w:val="left" w:pos="3047"/>
        </w:tabs>
        <w:ind w:left="3047" w:hanging="420"/>
      </w:pPr>
    </w:lvl>
  </w:abstractNum>
  <w:abstractNum w:abstractNumId="47">
    <w:nsid w:val="7DFD1F4E"/>
    <w:multiLevelType w:val="multilevel"/>
    <w:tmpl w:val="7DFD1F4E"/>
    <w:lvl w:ilvl="0" w:tentative="0">
      <w:start w:val="1"/>
      <w:numFmt w:val="decimal"/>
      <w:lvlText w:val="(%1)"/>
      <w:lvlJc w:val="left"/>
      <w:pPr>
        <w:tabs>
          <w:tab w:val="left" w:pos="1635"/>
        </w:tabs>
        <w:ind w:left="1635" w:hanging="375"/>
      </w:pPr>
      <w:rPr>
        <w:rFonts w:hint="eastAsia"/>
        <w:b w:val="0"/>
        <w:color w:val="auto"/>
      </w:rPr>
    </w:lvl>
    <w:lvl w:ilvl="1" w:tentative="0">
      <w:start w:val="1"/>
      <w:numFmt w:val="lowerLetter"/>
      <w:lvlText w:val="%2)"/>
      <w:lvlJc w:val="left"/>
      <w:pPr>
        <w:tabs>
          <w:tab w:val="left" w:pos="409"/>
        </w:tabs>
        <w:ind w:left="409" w:hanging="420"/>
      </w:pPr>
    </w:lvl>
    <w:lvl w:ilvl="2" w:tentative="0">
      <w:start w:val="1"/>
      <w:numFmt w:val="lowerRoman"/>
      <w:lvlText w:val="%3."/>
      <w:lvlJc w:val="right"/>
      <w:pPr>
        <w:tabs>
          <w:tab w:val="left" w:pos="829"/>
        </w:tabs>
        <w:ind w:left="829" w:hanging="420"/>
      </w:pPr>
    </w:lvl>
    <w:lvl w:ilvl="3" w:tentative="0">
      <w:start w:val="1"/>
      <w:numFmt w:val="decimal"/>
      <w:lvlText w:val="%4."/>
      <w:lvlJc w:val="left"/>
      <w:pPr>
        <w:tabs>
          <w:tab w:val="left" w:pos="1249"/>
        </w:tabs>
        <w:ind w:left="1249" w:hanging="420"/>
      </w:pPr>
    </w:lvl>
    <w:lvl w:ilvl="4" w:tentative="0">
      <w:start w:val="1"/>
      <w:numFmt w:val="lowerLetter"/>
      <w:lvlText w:val="%5)"/>
      <w:lvlJc w:val="left"/>
      <w:pPr>
        <w:tabs>
          <w:tab w:val="left" w:pos="1669"/>
        </w:tabs>
        <w:ind w:left="1669" w:hanging="420"/>
      </w:pPr>
    </w:lvl>
    <w:lvl w:ilvl="5" w:tentative="0">
      <w:start w:val="1"/>
      <w:numFmt w:val="lowerRoman"/>
      <w:lvlText w:val="%6."/>
      <w:lvlJc w:val="right"/>
      <w:pPr>
        <w:tabs>
          <w:tab w:val="left" w:pos="2089"/>
        </w:tabs>
        <w:ind w:left="2089" w:hanging="420"/>
      </w:pPr>
    </w:lvl>
    <w:lvl w:ilvl="6" w:tentative="0">
      <w:start w:val="1"/>
      <w:numFmt w:val="decimal"/>
      <w:lvlText w:val="%7."/>
      <w:lvlJc w:val="left"/>
      <w:pPr>
        <w:tabs>
          <w:tab w:val="left" w:pos="2509"/>
        </w:tabs>
        <w:ind w:left="2509" w:hanging="420"/>
      </w:pPr>
    </w:lvl>
    <w:lvl w:ilvl="7" w:tentative="0">
      <w:start w:val="1"/>
      <w:numFmt w:val="lowerLetter"/>
      <w:lvlText w:val="%8)"/>
      <w:lvlJc w:val="left"/>
      <w:pPr>
        <w:tabs>
          <w:tab w:val="left" w:pos="2929"/>
        </w:tabs>
        <w:ind w:left="2929" w:hanging="420"/>
      </w:pPr>
    </w:lvl>
    <w:lvl w:ilvl="8" w:tentative="0">
      <w:start w:val="1"/>
      <w:numFmt w:val="lowerRoman"/>
      <w:lvlText w:val="%9."/>
      <w:lvlJc w:val="right"/>
      <w:pPr>
        <w:tabs>
          <w:tab w:val="left" w:pos="3349"/>
        </w:tabs>
        <w:ind w:left="3349" w:hanging="420"/>
      </w:pPr>
    </w:lvl>
  </w:abstractNum>
  <w:num w:numId="1">
    <w:abstractNumId w:val="43"/>
  </w:num>
  <w:num w:numId="2">
    <w:abstractNumId w:val="45"/>
  </w:num>
  <w:num w:numId="3">
    <w:abstractNumId w:val="20"/>
  </w:num>
  <w:num w:numId="4">
    <w:abstractNumId w:val="23"/>
  </w:num>
  <w:num w:numId="5">
    <w:abstractNumId w:val="22"/>
  </w:num>
  <w:num w:numId="6">
    <w:abstractNumId w:val="27"/>
  </w:num>
  <w:num w:numId="7">
    <w:abstractNumId w:val="25"/>
  </w:num>
  <w:num w:numId="8">
    <w:abstractNumId w:val="17"/>
  </w:num>
  <w:num w:numId="9">
    <w:abstractNumId w:val="3"/>
  </w:num>
  <w:num w:numId="10">
    <w:abstractNumId w:val="42"/>
  </w:num>
  <w:num w:numId="11">
    <w:abstractNumId w:val="0"/>
  </w:num>
  <w:num w:numId="12">
    <w:abstractNumId w:val="31"/>
  </w:num>
  <w:num w:numId="13">
    <w:abstractNumId w:val="24"/>
  </w:num>
  <w:num w:numId="14">
    <w:abstractNumId w:val="6"/>
  </w:num>
  <w:num w:numId="15">
    <w:abstractNumId w:val="11"/>
  </w:num>
  <w:num w:numId="16">
    <w:abstractNumId w:val="12"/>
  </w:num>
  <w:num w:numId="17">
    <w:abstractNumId w:val="21"/>
  </w:num>
  <w:num w:numId="18">
    <w:abstractNumId w:val="26"/>
  </w:num>
  <w:num w:numId="19">
    <w:abstractNumId w:val="14"/>
  </w:num>
  <w:num w:numId="20">
    <w:abstractNumId w:val="13"/>
  </w:num>
  <w:num w:numId="21">
    <w:abstractNumId w:val="47"/>
  </w:num>
  <w:num w:numId="22">
    <w:abstractNumId w:val="16"/>
  </w:num>
  <w:num w:numId="23">
    <w:abstractNumId w:val="28"/>
  </w:num>
  <w:num w:numId="24">
    <w:abstractNumId w:val="33"/>
  </w:num>
  <w:num w:numId="25">
    <w:abstractNumId w:val="18"/>
  </w:num>
  <w:num w:numId="26">
    <w:abstractNumId w:val="44"/>
  </w:num>
  <w:num w:numId="27">
    <w:abstractNumId w:val="8"/>
  </w:num>
  <w:num w:numId="28">
    <w:abstractNumId w:val="10"/>
  </w:num>
  <w:num w:numId="29">
    <w:abstractNumId w:val="5"/>
  </w:num>
  <w:num w:numId="30">
    <w:abstractNumId w:val="41"/>
  </w:num>
  <w:num w:numId="31">
    <w:abstractNumId w:val="46"/>
  </w:num>
  <w:num w:numId="32">
    <w:abstractNumId w:val="15"/>
  </w:num>
  <w:num w:numId="33">
    <w:abstractNumId w:val="34"/>
  </w:num>
  <w:num w:numId="34">
    <w:abstractNumId w:val="35"/>
  </w:num>
  <w:num w:numId="35">
    <w:abstractNumId w:val="19"/>
  </w:num>
  <w:num w:numId="36">
    <w:abstractNumId w:val="30"/>
  </w:num>
  <w:num w:numId="37">
    <w:abstractNumId w:val="38"/>
  </w:num>
  <w:num w:numId="38">
    <w:abstractNumId w:val="4"/>
  </w:num>
  <w:num w:numId="39">
    <w:abstractNumId w:val="9"/>
  </w:num>
  <w:num w:numId="40">
    <w:abstractNumId w:val="1"/>
  </w:num>
  <w:num w:numId="41">
    <w:abstractNumId w:val="39"/>
  </w:num>
  <w:num w:numId="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abstractNumId w:val="37"/>
  </w:num>
  <w:num w:numId="44">
    <w:abstractNumId w:val="2"/>
  </w:num>
  <w:num w:numId="45">
    <w:abstractNumId w:val="32"/>
  </w:num>
  <w:num w:numId="46">
    <w:abstractNumId w:val="40"/>
  </w:num>
  <w:num w:numId="47">
    <w:abstractNumId w:val="7"/>
  </w:num>
  <w:num w:numId="48">
    <w:abstractNumId w:val="36"/>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0"/>
  <w:displayVerticalDrawingGridEvery w:val="2"/>
  <w:characterSpacingControl w:val="doNotCompress"/>
  <w:footnotePr>
    <w:footnote w:id="2"/>
    <w:footnote w:id="3"/>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A8C"/>
    <w:rsid w:val="00000152"/>
    <w:rsid w:val="000001F1"/>
    <w:rsid w:val="00000A4C"/>
    <w:rsid w:val="00000CAB"/>
    <w:rsid w:val="00000DD1"/>
    <w:rsid w:val="00001983"/>
    <w:rsid w:val="00001A4F"/>
    <w:rsid w:val="00001CC9"/>
    <w:rsid w:val="000026EB"/>
    <w:rsid w:val="000028FB"/>
    <w:rsid w:val="00002F86"/>
    <w:rsid w:val="0000453A"/>
    <w:rsid w:val="000047B6"/>
    <w:rsid w:val="00004F48"/>
    <w:rsid w:val="00005070"/>
    <w:rsid w:val="00006632"/>
    <w:rsid w:val="00006D15"/>
    <w:rsid w:val="00006E45"/>
    <w:rsid w:val="000074F0"/>
    <w:rsid w:val="000075D6"/>
    <w:rsid w:val="00010164"/>
    <w:rsid w:val="0001078E"/>
    <w:rsid w:val="000107FE"/>
    <w:rsid w:val="00011710"/>
    <w:rsid w:val="000117FB"/>
    <w:rsid w:val="00011A0F"/>
    <w:rsid w:val="00011A70"/>
    <w:rsid w:val="00011DB9"/>
    <w:rsid w:val="0001229E"/>
    <w:rsid w:val="000124AB"/>
    <w:rsid w:val="00012500"/>
    <w:rsid w:val="00012506"/>
    <w:rsid w:val="00012FA8"/>
    <w:rsid w:val="00013B23"/>
    <w:rsid w:val="00013B63"/>
    <w:rsid w:val="00013C3A"/>
    <w:rsid w:val="000153E1"/>
    <w:rsid w:val="00015A75"/>
    <w:rsid w:val="00016898"/>
    <w:rsid w:val="00016D27"/>
    <w:rsid w:val="00016E88"/>
    <w:rsid w:val="000176EC"/>
    <w:rsid w:val="00020104"/>
    <w:rsid w:val="0002026D"/>
    <w:rsid w:val="00020E79"/>
    <w:rsid w:val="0002132E"/>
    <w:rsid w:val="00021358"/>
    <w:rsid w:val="0002150B"/>
    <w:rsid w:val="00021A97"/>
    <w:rsid w:val="00021F42"/>
    <w:rsid w:val="000227B7"/>
    <w:rsid w:val="000228CF"/>
    <w:rsid w:val="000230A7"/>
    <w:rsid w:val="000232A3"/>
    <w:rsid w:val="00023BD0"/>
    <w:rsid w:val="00023FCD"/>
    <w:rsid w:val="0002498A"/>
    <w:rsid w:val="00024A87"/>
    <w:rsid w:val="00024EED"/>
    <w:rsid w:val="00025290"/>
    <w:rsid w:val="00025577"/>
    <w:rsid w:val="000259C6"/>
    <w:rsid w:val="00025E93"/>
    <w:rsid w:val="00026702"/>
    <w:rsid w:val="0002673D"/>
    <w:rsid w:val="000267D6"/>
    <w:rsid w:val="00026986"/>
    <w:rsid w:val="00026E64"/>
    <w:rsid w:val="00026F47"/>
    <w:rsid w:val="00027123"/>
    <w:rsid w:val="0002737B"/>
    <w:rsid w:val="000273BC"/>
    <w:rsid w:val="00027818"/>
    <w:rsid w:val="0002784B"/>
    <w:rsid w:val="00027A70"/>
    <w:rsid w:val="0003018F"/>
    <w:rsid w:val="000303B7"/>
    <w:rsid w:val="000304AC"/>
    <w:rsid w:val="00030C0A"/>
    <w:rsid w:val="00030D09"/>
    <w:rsid w:val="000316AB"/>
    <w:rsid w:val="0003175A"/>
    <w:rsid w:val="00031880"/>
    <w:rsid w:val="000320BB"/>
    <w:rsid w:val="00032386"/>
    <w:rsid w:val="00032403"/>
    <w:rsid w:val="00032561"/>
    <w:rsid w:val="0003263C"/>
    <w:rsid w:val="00032C8D"/>
    <w:rsid w:val="00033236"/>
    <w:rsid w:val="000334E8"/>
    <w:rsid w:val="000338B4"/>
    <w:rsid w:val="000342B7"/>
    <w:rsid w:val="00034805"/>
    <w:rsid w:val="000349DA"/>
    <w:rsid w:val="00035126"/>
    <w:rsid w:val="00035807"/>
    <w:rsid w:val="0003626D"/>
    <w:rsid w:val="00036307"/>
    <w:rsid w:val="000364E0"/>
    <w:rsid w:val="00036542"/>
    <w:rsid w:val="0003708E"/>
    <w:rsid w:val="0003736E"/>
    <w:rsid w:val="000376D0"/>
    <w:rsid w:val="000377FC"/>
    <w:rsid w:val="00037C22"/>
    <w:rsid w:val="00040088"/>
    <w:rsid w:val="000407A3"/>
    <w:rsid w:val="00040C6E"/>
    <w:rsid w:val="0004241B"/>
    <w:rsid w:val="000425DB"/>
    <w:rsid w:val="0004349D"/>
    <w:rsid w:val="000441FE"/>
    <w:rsid w:val="00044B4C"/>
    <w:rsid w:val="000453E3"/>
    <w:rsid w:val="000458A5"/>
    <w:rsid w:val="00046446"/>
    <w:rsid w:val="000466D6"/>
    <w:rsid w:val="00046837"/>
    <w:rsid w:val="000469CB"/>
    <w:rsid w:val="00046E20"/>
    <w:rsid w:val="0004779E"/>
    <w:rsid w:val="000478C3"/>
    <w:rsid w:val="000478C4"/>
    <w:rsid w:val="00047EF6"/>
    <w:rsid w:val="00051CBE"/>
    <w:rsid w:val="0005258A"/>
    <w:rsid w:val="00052986"/>
    <w:rsid w:val="00053EC4"/>
    <w:rsid w:val="00054726"/>
    <w:rsid w:val="00054F05"/>
    <w:rsid w:val="00054FFF"/>
    <w:rsid w:val="0005523A"/>
    <w:rsid w:val="00055537"/>
    <w:rsid w:val="000556A1"/>
    <w:rsid w:val="00055A60"/>
    <w:rsid w:val="00055D20"/>
    <w:rsid w:val="0005750A"/>
    <w:rsid w:val="00057D50"/>
    <w:rsid w:val="00057F50"/>
    <w:rsid w:val="00060509"/>
    <w:rsid w:val="00060BCA"/>
    <w:rsid w:val="0006102E"/>
    <w:rsid w:val="0006114F"/>
    <w:rsid w:val="0006202D"/>
    <w:rsid w:val="00062045"/>
    <w:rsid w:val="00062DEF"/>
    <w:rsid w:val="000635F5"/>
    <w:rsid w:val="00063E9B"/>
    <w:rsid w:val="00064336"/>
    <w:rsid w:val="000658C0"/>
    <w:rsid w:val="00066C44"/>
    <w:rsid w:val="00066F8D"/>
    <w:rsid w:val="00067671"/>
    <w:rsid w:val="00067CC3"/>
    <w:rsid w:val="00070483"/>
    <w:rsid w:val="000712A0"/>
    <w:rsid w:val="000712A1"/>
    <w:rsid w:val="00071D9E"/>
    <w:rsid w:val="00071F5E"/>
    <w:rsid w:val="000726A4"/>
    <w:rsid w:val="00074F3E"/>
    <w:rsid w:val="0007551B"/>
    <w:rsid w:val="00075BB7"/>
    <w:rsid w:val="000767DC"/>
    <w:rsid w:val="00076B3C"/>
    <w:rsid w:val="00076F73"/>
    <w:rsid w:val="0007712E"/>
    <w:rsid w:val="000810B7"/>
    <w:rsid w:val="00081371"/>
    <w:rsid w:val="000816A8"/>
    <w:rsid w:val="00081C77"/>
    <w:rsid w:val="00082EB0"/>
    <w:rsid w:val="00082ECD"/>
    <w:rsid w:val="000842EA"/>
    <w:rsid w:val="0008436C"/>
    <w:rsid w:val="00084564"/>
    <w:rsid w:val="00084929"/>
    <w:rsid w:val="00084EEE"/>
    <w:rsid w:val="000858BF"/>
    <w:rsid w:val="00086967"/>
    <w:rsid w:val="0008726C"/>
    <w:rsid w:val="000878E9"/>
    <w:rsid w:val="00087FE7"/>
    <w:rsid w:val="0009006E"/>
    <w:rsid w:val="00090DE6"/>
    <w:rsid w:val="000911AA"/>
    <w:rsid w:val="000914CE"/>
    <w:rsid w:val="00091539"/>
    <w:rsid w:val="00091AC8"/>
    <w:rsid w:val="00091E85"/>
    <w:rsid w:val="000926FD"/>
    <w:rsid w:val="0009282B"/>
    <w:rsid w:val="00092A82"/>
    <w:rsid w:val="00092B0D"/>
    <w:rsid w:val="00093229"/>
    <w:rsid w:val="00093B49"/>
    <w:rsid w:val="00094835"/>
    <w:rsid w:val="00094CA2"/>
    <w:rsid w:val="0009549F"/>
    <w:rsid w:val="000959CB"/>
    <w:rsid w:val="00097193"/>
    <w:rsid w:val="000973D7"/>
    <w:rsid w:val="00097BE3"/>
    <w:rsid w:val="000A0215"/>
    <w:rsid w:val="000A10EC"/>
    <w:rsid w:val="000A1E99"/>
    <w:rsid w:val="000A26FE"/>
    <w:rsid w:val="000A37A1"/>
    <w:rsid w:val="000A3CBC"/>
    <w:rsid w:val="000A4073"/>
    <w:rsid w:val="000A46C9"/>
    <w:rsid w:val="000A54BC"/>
    <w:rsid w:val="000A5674"/>
    <w:rsid w:val="000A5A51"/>
    <w:rsid w:val="000A63CF"/>
    <w:rsid w:val="000A7EC2"/>
    <w:rsid w:val="000B0043"/>
    <w:rsid w:val="000B0225"/>
    <w:rsid w:val="000B0236"/>
    <w:rsid w:val="000B037B"/>
    <w:rsid w:val="000B03A5"/>
    <w:rsid w:val="000B07D1"/>
    <w:rsid w:val="000B0B01"/>
    <w:rsid w:val="000B104B"/>
    <w:rsid w:val="000B14CF"/>
    <w:rsid w:val="000B33F5"/>
    <w:rsid w:val="000B3420"/>
    <w:rsid w:val="000B3431"/>
    <w:rsid w:val="000B372D"/>
    <w:rsid w:val="000B38DF"/>
    <w:rsid w:val="000B3AB1"/>
    <w:rsid w:val="000B4D11"/>
    <w:rsid w:val="000B5066"/>
    <w:rsid w:val="000B52A1"/>
    <w:rsid w:val="000B540A"/>
    <w:rsid w:val="000B58AF"/>
    <w:rsid w:val="000B6CC5"/>
    <w:rsid w:val="000B7238"/>
    <w:rsid w:val="000B758B"/>
    <w:rsid w:val="000B77A8"/>
    <w:rsid w:val="000B7B9D"/>
    <w:rsid w:val="000C0315"/>
    <w:rsid w:val="000C0748"/>
    <w:rsid w:val="000C0CDA"/>
    <w:rsid w:val="000C1419"/>
    <w:rsid w:val="000C19C2"/>
    <w:rsid w:val="000C2223"/>
    <w:rsid w:val="000C2784"/>
    <w:rsid w:val="000C27F1"/>
    <w:rsid w:val="000C2A69"/>
    <w:rsid w:val="000C2DA8"/>
    <w:rsid w:val="000C309A"/>
    <w:rsid w:val="000C367C"/>
    <w:rsid w:val="000C3736"/>
    <w:rsid w:val="000C37DC"/>
    <w:rsid w:val="000C38F0"/>
    <w:rsid w:val="000C3FD2"/>
    <w:rsid w:val="000C416E"/>
    <w:rsid w:val="000C42A3"/>
    <w:rsid w:val="000C4B29"/>
    <w:rsid w:val="000C52F2"/>
    <w:rsid w:val="000C5345"/>
    <w:rsid w:val="000C56AC"/>
    <w:rsid w:val="000C637D"/>
    <w:rsid w:val="000C6DF3"/>
    <w:rsid w:val="000C750A"/>
    <w:rsid w:val="000C7525"/>
    <w:rsid w:val="000C7A1E"/>
    <w:rsid w:val="000D05E2"/>
    <w:rsid w:val="000D19D6"/>
    <w:rsid w:val="000D1A1F"/>
    <w:rsid w:val="000D27EC"/>
    <w:rsid w:val="000D29B0"/>
    <w:rsid w:val="000D29D4"/>
    <w:rsid w:val="000D383B"/>
    <w:rsid w:val="000D3CA5"/>
    <w:rsid w:val="000D4B00"/>
    <w:rsid w:val="000D51D5"/>
    <w:rsid w:val="000D523D"/>
    <w:rsid w:val="000D57DE"/>
    <w:rsid w:val="000D69A2"/>
    <w:rsid w:val="000E036F"/>
    <w:rsid w:val="000E06BF"/>
    <w:rsid w:val="000E0831"/>
    <w:rsid w:val="000E0CF3"/>
    <w:rsid w:val="000E1275"/>
    <w:rsid w:val="000E15B8"/>
    <w:rsid w:val="000E17B5"/>
    <w:rsid w:val="000E1A74"/>
    <w:rsid w:val="000E2228"/>
    <w:rsid w:val="000E2234"/>
    <w:rsid w:val="000E2BD0"/>
    <w:rsid w:val="000E34FF"/>
    <w:rsid w:val="000E35E6"/>
    <w:rsid w:val="000E3632"/>
    <w:rsid w:val="000E40A7"/>
    <w:rsid w:val="000E4392"/>
    <w:rsid w:val="000E5292"/>
    <w:rsid w:val="000E5BAE"/>
    <w:rsid w:val="000E6117"/>
    <w:rsid w:val="000E64DD"/>
    <w:rsid w:val="000E6C11"/>
    <w:rsid w:val="000E7287"/>
    <w:rsid w:val="000F0C86"/>
    <w:rsid w:val="000F1232"/>
    <w:rsid w:val="000F1400"/>
    <w:rsid w:val="000F21FC"/>
    <w:rsid w:val="000F25CA"/>
    <w:rsid w:val="000F2B99"/>
    <w:rsid w:val="000F35E1"/>
    <w:rsid w:val="000F5D0F"/>
    <w:rsid w:val="000F7E6C"/>
    <w:rsid w:val="00100B19"/>
    <w:rsid w:val="0010149B"/>
    <w:rsid w:val="00101987"/>
    <w:rsid w:val="001027B5"/>
    <w:rsid w:val="001029F0"/>
    <w:rsid w:val="00102A84"/>
    <w:rsid w:val="00102D26"/>
    <w:rsid w:val="00102D44"/>
    <w:rsid w:val="00102E33"/>
    <w:rsid w:val="001038E8"/>
    <w:rsid w:val="00103EB2"/>
    <w:rsid w:val="00104466"/>
    <w:rsid w:val="00104D5C"/>
    <w:rsid w:val="00104F62"/>
    <w:rsid w:val="00105113"/>
    <w:rsid w:val="001052E3"/>
    <w:rsid w:val="00105DFD"/>
    <w:rsid w:val="00105E5F"/>
    <w:rsid w:val="00106973"/>
    <w:rsid w:val="00106AC1"/>
    <w:rsid w:val="00107110"/>
    <w:rsid w:val="00107911"/>
    <w:rsid w:val="00107A02"/>
    <w:rsid w:val="00110684"/>
    <w:rsid w:val="00111259"/>
    <w:rsid w:val="00111A72"/>
    <w:rsid w:val="0011236A"/>
    <w:rsid w:val="00113219"/>
    <w:rsid w:val="001138FC"/>
    <w:rsid w:val="00113BC1"/>
    <w:rsid w:val="00114845"/>
    <w:rsid w:val="001148B9"/>
    <w:rsid w:val="0011520D"/>
    <w:rsid w:val="0011611C"/>
    <w:rsid w:val="00116474"/>
    <w:rsid w:val="00117517"/>
    <w:rsid w:val="001176B5"/>
    <w:rsid w:val="00117C61"/>
    <w:rsid w:val="00120858"/>
    <w:rsid w:val="00120A34"/>
    <w:rsid w:val="00120ACC"/>
    <w:rsid w:val="00120B76"/>
    <w:rsid w:val="00120E5E"/>
    <w:rsid w:val="00121694"/>
    <w:rsid w:val="001217EE"/>
    <w:rsid w:val="00121B56"/>
    <w:rsid w:val="0012212A"/>
    <w:rsid w:val="0012280F"/>
    <w:rsid w:val="00122A7E"/>
    <w:rsid w:val="00122AE3"/>
    <w:rsid w:val="00123554"/>
    <w:rsid w:val="001235F2"/>
    <w:rsid w:val="00123C67"/>
    <w:rsid w:val="00123E36"/>
    <w:rsid w:val="00123E4F"/>
    <w:rsid w:val="00123F25"/>
    <w:rsid w:val="0012425E"/>
    <w:rsid w:val="00124A37"/>
    <w:rsid w:val="00124A76"/>
    <w:rsid w:val="00124E97"/>
    <w:rsid w:val="00124F75"/>
    <w:rsid w:val="00125183"/>
    <w:rsid w:val="00125365"/>
    <w:rsid w:val="00125432"/>
    <w:rsid w:val="00125DC0"/>
    <w:rsid w:val="001263A0"/>
    <w:rsid w:val="00126E46"/>
    <w:rsid w:val="00127AB0"/>
    <w:rsid w:val="00127FB1"/>
    <w:rsid w:val="0013015D"/>
    <w:rsid w:val="00130BF0"/>
    <w:rsid w:val="00131646"/>
    <w:rsid w:val="001316AE"/>
    <w:rsid w:val="00131AA7"/>
    <w:rsid w:val="00131CEA"/>
    <w:rsid w:val="00131D13"/>
    <w:rsid w:val="00132308"/>
    <w:rsid w:val="0013242D"/>
    <w:rsid w:val="001326B9"/>
    <w:rsid w:val="00132A0D"/>
    <w:rsid w:val="00132C5A"/>
    <w:rsid w:val="00132D85"/>
    <w:rsid w:val="00132F51"/>
    <w:rsid w:val="00133261"/>
    <w:rsid w:val="001340F5"/>
    <w:rsid w:val="001342F4"/>
    <w:rsid w:val="00134D7B"/>
    <w:rsid w:val="00135112"/>
    <w:rsid w:val="001360BA"/>
    <w:rsid w:val="00136899"/>
    <w:rsid w:val="00136EA0"/>
    <w:rsid w:val="001370D9"/>
    <w:rsid w:val="00137150"/>
    <w:rsid w:val="00137859"/>
    <w:rsid w:val="0014072D"/>
    <w:rsid w:val="0014108D"/>
    <w:rsid w:val="0014112D"/>
    <w:rsid w:val="0014113A"/>
    <w:rsid w:val="00141499"/>
    <w:rsid w:val="001414EE"/>
    <w:rsid w:val="00142B9F"/>
    <w:rsid w:val="001431BF"/>
    <w:rsid w:val="00143E24"/>
    <w:rsid w:val="0014406C"/>
    <w:rsid w:val="001446D4"/>
    <w:rsid w:val="001448D0"/>
    <w:rsid w:val="00144980"/>
    <w:rsid w:val="00144ACE"/>
    <w:rsid w:val="001451EA"/>
    <w:rsid w:val="00147E94"/>
    <w:rsid w:val="001509EB"/>
    <w:rsid w:val="001510C6"/>
    <w:rsid w:val="00151466"/>
    <w:rsid w:val="001514A4"/>
    <w:rsid w:val="00151744"/>
    <w:rsid w:val="001524C9"/>
    <w:rsid w:val="001535A8"/>
    <w:rsid w:val="0015435C"/>
    <w:rsid w:val="00154363"/>
    <w:rsid w:val="0015442B"/>
    <w:rsid w:val="00154A9B"/>
    <w:rsid w:val="00154ABF"/>
    <w:rsid w:val="00154C94"/>
    <w:rsid w:val="00154F76"/>
    <w:rsid w:val="001553FF"/>
    <w:rsid w:val="0015570D"/>
    <w:rsid w:val="00155FCE"/>
    <w:rsid w:val="0015611D"/>
    <w:rsid w:val="0015665A"/>
    <w:rsid w:val="0015692C"/>
    <w:rsid w:val="0015722D"/>
    <w:rsid w:val="0015783C"/>
    <w:rsid w:val="00160204"/>
    <w:rsid w:val="00160743"/>
    <w:rsid w:val="00160773"/>
    <w:rsid w:val="00160F4E"/>
    <w:rsid w:val="0016110C"/>
    <w:rsid w:val="001611ED"/>
    <w:rsid w:val="001612F1"/>
    <w:rsid w:val="001615E9"/>
    <w:rsid w:val="00161826"/>
    <w:rsid w:val="00161B6E"/>
    <w:rsid w:val="00161DDB"/>
    <w:rsid w:val="00161EF0"/>
    <w:rsid w:val="00162250"/>
    <w:rsid w:val="00162C55"/>
    <w:rsid w:val="00163DDC"/>
    <w:rsid w:val="00164061"/>
    <w:rsid w:val="00164FD7"/>
    <w:rsid w:val="00165260"/>
    <w:rsid w:val="0016620D"/>
    <w:rsid w:val="00166BE1"/>
    <w:rsid w:val="00166D4A"/>
    <w:rsid w:val="001672D5"/>
    <w:rsid w:val="00170BB6"/>
    <w:rsid w:val="00171233"/>
    <w:rsid w:val="0017171F"/>
    <w:rsid w:val="00172773"/>
    <w:rsid w:val="00172927"/>
    <w:rsid w:val="00172B5B"/>
    <w:rsid w:val="00172E0B"/>
    <w:rsid w:val="0017323B"/>
    <w:rsid w:val="001739D3"/>
    <w:rsid w:val="00174D34"/>
    <w:rsid w:val="001750C3"/>
    <w:rsid w:val="001752A1"/>
    <w:rsid w:val="0017661A"/>
    <w:rsid w:val="00176D40"/>
    <w:rsid w:val="001773E6"/>
    <w:rsid w:val="001777CE"/>
    <w:rsid w:val="00177817"/>
    <w:rsid w:val="00177AD4"/>
    <w:rsid w:val="00177FBB"/>
    <w:rsid w:val="00180066"/>
    <w:rsid w:val="00181002"/>
    <w:rsid w:val="00182357"/>
    <w:rsid w:val="0018278B"/>
    <w:rsid w:val="00182AF7"/>
    <w:rsid w:val="00183494"/>
    <w:rsid w:val="00184F85"/>
    <w:rsid w:val="001855C6"/>
    <w:rsid w:val="001855CD"/>
    <w:rsid w:val="001859B5"/>
    <w:rsid w:val="00185D15"/>
    <w:rsid w:val="00185F48"/>
    <w:rsid w:val="00186186"/>
    <w:rsid w:val="001875F4"/>
    <w:rsid w:val="001904E1"/>
    <w:rsid w:val="00190706"/>
    <w:rsid w:val="0019072A"/>
    <w:rsid w:val="00190982"/>
    <w:rsid w:val="00190F5E"/>
    <w:rsid w:val="0019157C"/>
    <w:rsid w:val="00192C78"/>
    <w:rsid w:val="00192E15"/>
    <w:rsid w:val="00192E43"/>
    <w:rsid w:val="00193112"/>
    <w:rsid w:val="0019311C"/>
    <w:rsid w:val="0019336B"/>
    <w:rsid w:val="00193425"/>
    <w:rsid w:val="00193683"/>
    <w:rsid w:val="001940D4"/>
    <w:rsid w:val="0019416F"/>
    <w:rsid w:val="0019426B"/>
    <w:rsid w:val="0019429C"/>
    <w:rsid w:val="00194541"/>
    <w:rsid w:val="001947F2"/>
    <w:rsid w:val="00194A08"/>
    <w:rsid w:val="00195A2B"/>
    <w:rsid w:val="00196475"/>
    <w:rsid w:val="00196854"/>
    <w:rsid w:val="00197030"/>
    <w:rsid w:val="001970A2"/>
    <w:rsid w:val="001972F8"/>
    <w:rsid w:val="00197413"/>
    <w:rsid w:val="00197695"/>
    <w:rsid w:val="00197A18"/>
    <w:rsid w:val="001A0085"/>
    <w:rsid w:val="001A099C"/>
    <w:rsid w:val="001A0B84"/>
    <w:rsid w:val="001A163B"/>
    <w:rsid w:val="001A18BD"/>
    <w:rsid w:val="001A1F54"/>
    <w:rsid w:val="001A2408"/>
    <w:rsid w:val="001A2BAA"/>
    <w:rsid w:val="001A390E"/>
    <w:rsid w:val="001A4110"/>
    <w:rsid w:val="001A4C79"/>
    <w:rsid w:val="001A58E8"/>
    <w:rsid w:val="001A59CD"/>
    <w:rsid w:val="001A61B6"/>
    <w:rsid w:val="001A64BF"/>
    <w:rsid w:val="001A6B70"/>
    <w:rsid w:val="001A6CDD"/>
    <w:rsid w:val="001A7698"/>
    <w:rsid w:val="001A78C9"/>
    <w:rsid w:val="001A7CCC"/>
    <w:rsid w:val="001A7F65"/>
    <w:rsid w:val="001B0354"/>
    <w:rsid w:val="001B03CD"/>
    <w:rsid w:val="001B1085"/>
    <w:rsid w:val="001B1594"/>
    <w:rsid w:val="001B1F7F"/>
    <w:rsid w:val="001B2CE4"/>
    <w:rsid w:val="001B4078"/>
    <w:rsid w:val="001B4785"/>
    <w:rsid w:val="001B47BC"/>
    <w:rsid w:val="001B48F3"/>
    <w:rsid w:val="001B4F2D"/>
    <w:rsid w:val="001B515C"/>
    <w:rsid w:val="001B5CAD"/>
    <w:rsid w:val="001B5DCE"/>
    <w:rsid w:val="001B661D"/>
    <w:rsid w:val="001B6FB3"/>
    <w:rsid w:val="001B701F"/>
    <w:rsid w:val="001B70BA"/>
    <w:rsid w:val="001B762D"/>
    <w:rsid w:val="001B7E4C"/>
    <w:rsid w:val="001C0A29"/>
    <w:rsid w:val="001C0B6B"/>
    <w:rsid w:val="001C0BA0"/>
    <w:rsid w:val="001C1A84"/>
    <w:rsid w:val="001C2278"/>
    <w:rsid w:val="001C2339"/>
    <w:rsid w:val="001C250A"/>
    <w:rsid w:val="001C2587"/>
    <w:rsid w:val="001C2BC6"/>
    <w:rsid w:val="001C2F01"/>
    <w:rsid w:val="001C395E"/>
    <w:rsid w:val="001C39F8"/>
    <w:rsid w:val="001C41C7"/>
    <w:rsid w:val="001C4360"/>
    <w:rsid w:val="001C49DF"/>
    <w:rsid w:val="001C4DFD"/>
    <w:rsid w:val="001C5474"/>
    <w:rsid w:val="001C5DD6"/>
    <w:rsid w:val="001C6B1A"/>
    <w:rsid w:val="001C7584"/>
    <w:rsid w:val="001C7C97"/>
    <w:rsid w:val="001D08DB"/>
    <w:rsid w:val="001D13DF"/>
    <w:rsid w:val="001D1505"/>
    <w:rsid w:val="001D16CA"/>
    <w:rsid w:val="001D1A16"/>
    <w:rsid w:val="001D294A"/>
    <w:rsid w:val="001D2A76"/>
    <w:rsid w:val="001D2AEC"/>
    <w:rsid w:val="001D320A"/>
    <w:rsid w:val="001D3379"/>
    <w:rsid w:val="001D4029"/>
    <w:rsid w:val="001D473B"/>
    <w:rsid w:val="001D4AD0"/>
    <w:rsid w:val="001D4B00"/>
    <w:rsid w:val="001D4D7D"/>
    <w:rsid w:val="001D5266"/>
    <w:rsid w:val="001D53BA"/>
    <w:rsid w:val="001D552F"/>
    <w:rsid w:val="001D61A5"/>
    <w:rsid w:val="001D63D9"/>
    <w:rsid w:val="001D67E0"/>
    <w:rsid w:val="001D7555"/>
    <w:rsid w:val="001D7589"/>
    <w:rsid w:val="001D7CAF"/>
    <w:rsid w:val="001E0F31"/>
    <w:rsid w:val="001E172C"/>
    <w:rsid w:val="001E1CE6"/>
    <w:rsid w:val="001E1D71"/>
    <w:rsid w:val="001E203C"/>
    <w:rsid w:val="001E216C"/>
    <w:rsid w:val="001E2254"/>
    <w:rsid w:val="001E2471"/>
    <w:rsid w:val="001E249C"/>
    <w:rsid w:val="001E27EB"/>
    <w:rsid w:val="001E2835"/>
    <w:rsid w:val="001E3066"/>
    <w:rsid w:val="001E3607"/>
    <w:rsid w:val="001E38E0"/>
    <w:rsid w:val="001E3FB7"/>
    <w:rsid w:val="001E3FB9"/>
    <w:rsid w:val="001E4AF3"/>
    <w:rsid w:val="001E4D2A"/>
    <w:rsid w:val="001E5557"/>
    <w:rsid w:val="001E5BC7"/>
    <w:rsid w:val="001E5C1F"/>
    <w:rsid w:val="001E5CD9"/>
    <w:rsid w:val="001E5F47"/>
    <w:rsid w:val="001E6B80"/>
    <w:rsid w:val="001E75A5"/>
    <w:rsid w:val="001E7641"/>
    <w:rsid w:val="001F0162"/>
    <w:rsid w:val="001F04ED"/>
    <w:rsid w:val="001F0935"/>
    <w:rsid w:val="001F12B2"/>
    <w:rsid w:val="001F1314"/>
    <w:rsid w:val="001F18B3"/>
    <w:rsid w:val="001F1993"/>
    <w:rsid w:val="001F2050"/>
    <w:rsid w:val="001F28D7"/>
    <w:rsid w:val="001F2E98"/>
    <w:rsid w:val="001F32F4"/>
    <w:rsid w:val="001F34D1"/>
    <w:rsid w:val="001F3FDD"/>
    <w:rsid w:val="001F3FF2"/>
    <w:rsid w:val="001F4558"/>
    <w:rsid w:val="001F4F7A"/>
    <w:rsid w:val="001F5039"/>
    <w:rsid w:val="001F5138"/>
    <w:rsid w:val="001F5796"/>
    <w:rsid w:val="001F5E32"/>
    <w:rsid w:val="001F6061"/>
    <w:rsid w:val="001F608F"/>
    <w:rsid w:val="001F60E9"/>
    <w:rsid w:val="001F60EB"/>
    <w:rsid w:val="001F6253"/>
    <w:rsid w:val="001F6AE9"/>
    <w:rsid w:val="001F79FD"/>
    <w:rsid w:val="001F7DE3"/>
    <w:rsid w:val="0020079F"/>
    <w:rsid w:val="00200F57"/>
    <w:rsid w:val="00201220"/>
    <w:rsid w:val="00201C0C"/>
    <w:rsid w:val="0020313A"/>
    <w:rsid w:val="00203B02"/>
    <w:rsid w:val="002068CA"/>
    <w:rsid w:val="00206E2E"/>
    <w:rsid w:val="00206E30"/>
    <w:rsid w:val="0020703F"/>
    <w:rsid w:val="002070C7"/>
    <w:rsid w:val="00207610"/>
    <w:rsid w:val="002079A4"/>
    <w:rsid w:val="00207AD7"/>
    <w:rsid w:val="002106DA"/>
    <w:rsid w:val="00210983"/>
    <w:rsid w:val="00211F9D"/>
    <w:rsid w:val="00212289"/>
    <w:rsid w:val="00212501"/>
    <w:rsid w:val="0021347F"/>
    <w:rsid w:val="00213B2B"/>
    <w:rsid w:val="00213F37"/>
    <w:rsid w:val="0021477E"/>
    <w:rsid w:val="00214798"/>
    <w:rsid w:val="00214AB3"/>
    <w:rsid w:val="00215050"/>
    <w:rsid w:val="00215C36"/>
    <w:rsid w:val="00216EDF"/>
    <w:rsid w:val="00217397"/>
    <w:rsid w:val="00217418"/>
    <w:rsid w:val="002175F7"/>
    <w:rsid w:val="00217F57"/>
    <w:rsid w:val="00220328"/>
    <w:rsid w:val="0022096D"/>
    <w:rsid w:val="00220A27"/>
    <w:rsid w:val="00220A80"/>
    <w:rsid w:val="0022182F"/>
    <w:rsid w:val="00221E6A"/>
    <w:rsid w:val="00221F37"/>
    <w:rsid w:val="00222A27"/>
    <w:rsid w:val="00222B10"/>
    <w:rsid w:val="0022347F"/>
    <w:rsid w:val="00223F85"/>
    <w:rsid w:val="00223F8A"/>
    <w:rsid w:val="00225539"/>
    <w:rsid w:val="00225DDC"/>
    <w:rsid w:val="00226110"/>
    <w:rsid w:val="00226427"/>
    <w:rsid w:val="002266AE"/>
    <w:rsid w:val="00226808"/>
    <w:rsid w:val="002279B3"/>
    <w:rsid w:val="00227DCE"/>
    <w:rsid w:val="002323D3"/>
    <w:rsid w:val="002339FA"/>
    <w:rsid w:val="00233EB0"/>
    <w:rsid w:val="0023446D"/>
    <w:rsid w:val="0023463B"/>
    <w:rsid w:val="002349BE"/>
    <w:rsid w:val="002352DD"/>
    <w:rsid w:val="0023530A"/>
    <w:rsid w:val="0023546A"/>
    <w:rsid w:val="00235927"/>
    <w:rsid w:val="00236FF8"/>
    <w:rsid w:val="002371C2"/>
    <w:rsid w:val="00237AC5"/>
    <w:rsid w:val="00237D9F"/>
    <w:rsid w:val="00240386"/>
    <w:rsid w:val="00240C78"/>
    <w:rsid w:val="002415E1"/>
    <w:rsid w:val="00241BA2"/>
    <w:rsid w:val="00242B31"/>
    <w:rsid w:val="00244202"/>
    <w:rsid w:val="00244C4C"/>
    <w:rsid w:val="0024547A"/>
    <w:rsid w:val="00245923"/>
    <w:rsid w:val="00245BC2"/>
    <w:rsid w:val="00245BF9"/>
    <w:rsid w:val="00245D7E"/>
    <w:rsid w:val="0024661A"/>
    <w:rsid w:val="00247D6D"/>
    <w:rsid w:val="002507CA"/>
    <w:rsid w:val="00250F97"/>
    <w:rsid w:val="00251573"/>
    <w:rsid w:val="00251698"/>
    <w:rsid w:val="00251A37"/>
    <w:rsid w:val="00251DB0"/>
    <w:rsid w:val="00252BFC"/>
    <w:rsid w:val="00252CC2"/>
    <w:rsid w:val="0025314B"/>
    <w:rsid w:val="00253855"/>
    <w:rsid w:val="0025434E"/>
    <w:rsid w:val="00255BCC"/>
    <w:rsid w:val="00257352"/>
    <w:rsid w:val="00257863"/>
    <w:rsid w:val="002600B8"/>
    <w:rsid w:val="002606E9"/>
    <w:rsid w:val="002607E3"/>
    <w:rsid w:val="002611C3"/>
    <w:rsid w:val="00261703"/>
    <w:rsid w:val="00261B6A"/>
    <w:rsid w:val="00261BC5"/>
    <w:rsid w:val="00261DAB"/>
    <w:rsid w:val="0026207B"/>
    <w:rsid w:val="0026231A"/>
    <w:rsid w:val="002629D4"/>
    <w:rsid w:val="00262BA4"/>
    <w:rsid w:val="00262C89"/>
    <w:rsid w:val="002632A0"/>
    <w:rsid w:val="00263324"/>
    <w:rsid w:val="0026339A"/>
    <w:rsid w:val="0026394D"/>
    <w:rsid w:val="00264D13"/>
    <w:rsid w:val="00264D49"/>
    <w:rsid w:val="00265FF5"/>
    <w:rsid w:val="00266096"/>
    <w:rsid w:val="002661BF"/>
    <w:rsid w:val="00267769"/>
    <w:rsid w:val="00267815"/>
    <w:rsid w:val="00267866"/>
    <w:rsid w:val="002700E5"/>
    <w:rsid w:val="00270AE2"/>
    <w:rsid w:val="00270C12"/>
    <w:rsid w:val="00270D3A"/>
    <w:rsid w:val="00271CE9"/>
    <w:rsid w:val="00271CED"/>
    <w:rsid w:val="0027208D"/>
    <w:rsid w:val="00272842"/>
    <w:rsid w:val="002728D1"/>
    <w:rsid w:val="00272F72"/>
    <w:rsid w:val="0027327A"/>
    <w:rsid w:val="0027354A"/>
    <w:rsid w:val="00273F19"/>
    <w:rsid w:val="002741EA"/>
    <w:rsid w:val="002741F9"/>
    <w:rsid w:val="00274B68"/>
    <w:rsid w:val="002751E1"/>
    <w:rsid w:val="00275293"/>
    <w:rsid w:val="00275428"/>
    <w:rsid w:val="0027552D"/>
    <w:rsid w:val="00275592"/>
    <w:rsid w:val="00275832"/>
    <w:rsid w:val="00275961"/>
    <w:rsid w:val="00275B11"/>
    <w:rsid w:val="00275EAC"/>
    <w:rsid w:val="00276209"/>
    <w:rsid w:val="00276665"/>
    <w:rsid w:val="0027667E"/>
    <w:rsid w:val="0027794E"/>
    <w:rsid w:val="0028010C"/>
    <w:rsid w:val="00283238"/>
    <w:rsid w:val="00283E78"/>
    <w:rsid w:val="002845FE"/>
    <w:rsid w:val="00285106"/>
    <w:rsid w:val="002853DC"/>
    <w:rsid w:val="002854AE"/>
    <w:rsid w:val="00285551"/>
    <w:rsid w:val="002862F8"/>
    <w:rsid w:val="002866F0"/>
    <w:rsid w:val="00287142"/>
    <w:rsid w:val="002871D5"/>
    <w:rsid w:val="0028774B"/>
    <w:rsid w:val="00287928"/>
    <w:rsid w:val="00287B26"/>
    <w:rsid w:val="002900B3"/>
    <w:rsid w:val="002900FA"/>
    <w:rsid w:val="00290439"/>
    <w:rsid w:val="00290591"/>
    <w:rsid w:val="00291036"/>
    <w:rsid w:val="002910CA"/>
    <w:rsid w:val="00291D71"/>
    <w:rsid w:val="00291F8C"/>
    <w:rsid w:val="00292311"/>
    <w:rsid w:val="00292864"/>
    <w:rsid w:val="00292C0F"/>
    <w:rsid w:val="002930D3"/>
    <w:rsid w:val="002932C3"/>
    <w:rsid w:val="002941AA"/>
    <w:rsid w:val="00294666"/>
    <w:rsid w:val="00294B8B"/>
    <w:rsid w:val="00294DD7"/>
    <w:rsid w:val="00295064"/>
    <w:rsid w:val="002953CD"/>
    <w:rsid w:val="002958CB"/>
    <w:rsid w:val="0029635C"/>
    <w:rsid w:val="002967E1"/>
    <w:rsid w:val="00296971"/>
    <w:rsid w:val="0029785F"/>
    <w:rsid w:val="00297CA1"/>
    <w:rsid w:val="002A0209"/>
    <w:rsid w:val="002A12DE"/>
    <w:rsid w:val="002A16FE"/>
    <w:rsid w:val="002A1A46"/>
    <w:rsid w:val="002A1B97"/>
    <w:rsid w:val="002A2CC7"/>
    <w:rsid w:val="002A2FD6"/>
    <w:rsid w:val="002A334C"/>
    <w:rsid w:val="002A3C88"/>
    <w:rsid w:val="002A476C"/>
    <w:rsid w:val="002A5822"/>
    <w:rsid w:val="002A5A2C"/>
    <w:rsid w:val="002A5B60"/>
    <w:rsid w:val="002A66D7"/>
    <w:rsid w:val="002A6BF9"/>
    <w:rsid w:val="002A6F00"/>
    <w:rsid w:val="002B024E"/>
    <w:rsid w:val="002B02D2"/>
    <w:rsid w:val="002B11A3"/>
    <w:rsid w:val="002B11DE"/>
    <w:rsid w:val="002B1227"/>
    <w:rsid w:val="002B251E"/>
    <w:rsid w:val="002B2558"/>
    <w:rsid w:val="002B26EB"/>
    <w:rsid w:val="002B2A05"/>
    <w:rsid w:val="002B2BA1"/>
    <w:rsid w:val="002B3306"/>
    <w:rsid w:val="002B4894"/>
    <w:rsid w:val="002B4953"/>
    <w:rsid w:val="002B4A70"/>
    <w:rsid w:val="002B4B47"/>
    <w:rsid w:val="002B4E0A"/>
    <w:rsid w:val="002B4FA4"/>
    <w:rsid w:val="002B5F11"/>
    <w:rsid w:val="002B5F3C"/>
    <w:rsid w:val="002B6210"/>
    <w:rsid w:val="002B6700"/>
    <w:rsid w:val="002B6BDF"/>
    <w:rsid w:val="002B7354"/>
    <w:rsid w:val="002B7BC7"/>
    <w:rsid w:val="002B7F59"/>
    <w:rsid w:val="002C037D"/>
    <w:rsid w:val="002C07EC"/>
    <w:rsid w:val="002C0867"/>
    <w:rsid w:val="002C1C2A"/>
    <w:rsid w:val="002C1FC9"/>
    <w:rsid w:val="002C2678"/>
    <w:rsid w:val="002C292C"/>
    <w:rsid w:val="002C2D5D"/>
    <w:rsid w:val="002C37A0"/>
    <w:rsid w:val="002C3EA5"/>
    <w:rsid w:val="002C4136"/>
    <w:rsid w:val="002C44C4"/>
    <w:rsid w:val="002C4E43"/>
    <w:rsid w:val="002C5BC1"/>
    <w:rsid w:val="002C5D01"/>
    <w:rsid w:val="002C65DC"/>
    <w:rsid w:val="002C6CC0"/>
    <w:rsid w:val="002C6DD4"/>
    <w:rsid w:val="002D06DE"/>
    <w:rsid w:val="002D0B42"/>
    <w:rsid w:val="002D1BCB"/>
    <w:rsid w:val="002D208D"/>
    <w:rsid w:val="002D2112"/>
    <w:rsid w:val="002D2442"/>
    <w:rsid w:val="002D25DA"/>
    <w:rsid w:val="002D2752"/>
    <w:rsid w:val="002D29B7"/>
    <w:rsid w:val="002D2EC9"/>
    <w:rsid w:val="002D33FA"/>
    <w:rsid w:val="002D3522"/>
    <w:rsid w:val="002D37C4"/>
    <w:rsid w:val="002D3CBD"/>
    <w:rsid w:val="002D3FF0"/>
    <w:rsid w:val="002D40F5"/>
    <w:rsid w:val="002D488D"/>
    <w:rsid w:val="002D4951"/>
    <w:rsid w:val="002D5624"/>
    <w:rsid w:val="002D5676"/>
    <w:rsid w:val="002D5F58"/>
    <w:rsid w:val="002D644B"/>
    <w:rsid w:val="002D670C"/>
    <w:rsid w:val="002D6E30"/>
    <w:rsid w:val="002D7AEF"/>
    <w:rsid w:val="002E07E5"/>
    <w:rsid w:val="002E1E17"/>
    <w:rsid w:val="002E37EE"/>
    <w:rsid w:val="002E3859"/>
    <w:rsid w:val="002E3CFF"/>
    <w:rsid w:val="002E42F8"/>
    <w:rsid w:val="002E45A2"/>
    <w:rsid w:val="002E4AF7"/>
    <w:rsid w:val="002E5A04"/>
    <w:rsid w:val="002E67AA"/>
    <w:rsid w:val="002E6D3F"/>
    <w:rsid w:val="002E785B"/>
    <w:rsid w:val="002E7EAE"/>
    <w:rsid w:val="002F054E"/>
    <w:rsid w:val="002F0A57"/>
    <w:rsid w:val="002F1040"/>
    <w:rsid w:val="002F25E9"/>
    <w:rsid w:val="002F283F"/>
    <w:rsid w:val="002F2C8F"/>
    <w:rsid w:val="002F2F05"/>
    <w:rsid w:val="002F328D"/>
    <w:rsid w:val="002F396A"/>
    <w:rsid w:val="002F39AE"/>
    <w:rsid w:val="002F3AE7"/>
    <w:rsid w:val="002F40CC"/>
    <w:rsid w:val="002F5D9C"/>
    <w:rsid w:val="002F5DFB"/>
    <w:rsid w:val="002F6190"/>
    <w:rsid w:val="002F7661"/>
    <w:rsid w:val="003001C8"/>
    <w:rsid w:val="00300C0A"/>
    <w:rsid w:val="00301071"/>
    <w:rsid w:val="00301EA0"/>
    <w:rsid w:val="003022BB"/>
    <w:rsid w:val="00302397"/>
    <w:rsid w:val="0030290A"/>
    <w:rsid w:val="00302DF0"/>
    <w:rsid w:val="00303A71"/>
    <w:rsid w:val="003041F1"/>
    <w:rsid w:val="003044C6"/>
    <w:rsid w:val="0030475A"/>
    <w:rsid w:val="00304949"/>
    <w:rsid w:val="00304B00"/>
    <w:rsid w:val="003056F6"/>
    <w:rsid w:val="003058C7"/>
    <w:rsid w:val="0030608A"/>
    <w:rsid w:val="00306286"/>
    <w:rsid w:val="0030635A"/>
    <w:rsid w:val="00306D07"/>
    <w:rsid w:val="00307790"/>
    <w:rsid w:val="00307D0B"/>
    <w:rsid w:val="00310989"/>
    <w:rsid w:val="0031198B"/>
    <w:rsid w:val="00311CA1"/>
    <w:rsid w:val="00311E21"/>
    <w:rsid w:val="00312A10"/>
    <w:rsid w:val="00312B5F"/>
    <w:rsid w:val="00312EE9"/>
    <w:rsid w:val="0031340F"/>
    <w:rsid w:val="00313489"/>
    <w:rsid w:val="0031394A"/>
    <w:rsid w:val="0031445B"/>
    <w:rsid w:val="00314749"/>
    <w:rsid w:val="00314D1F"/>
    <w:rsid w:val="003154EE"/>
    <w:rsid w:val="00315FB2"/>
    <w:rsid w:val="00316151"/>
    <w:rsid w:val="00316746"/>
    <w:rsid w:val="00316C71"/>
    <w:rsid w:val="003174A1"/>
    <w:rsid w:val="003179D4"/>
    <w:rsid w:val="00317EB9"/>
    <w:rsid w:val="00317F6E"/>
    <w:rsid w:val="003206A5"/>
    <w:rsid w:val="0032093E"/>
    <w:rsid w:val="00320BA7"/>
    <w:rsid w:val="003218E3"/>
    <w:rsid w:val="00322692"/>
    <w:rsid w:val="0032280F"/>
    <w:rsid w:val="00322956"/>
    <w:rsid w:val="00322FE0"/>
    <w:rsid w:val="00323847"/>
    <w:rsid w:val="00323C84"/>
    <w:rsid w:val="00324016"/>
    <w:rsid w:val="00324262"/>
    <w:rsid w:val="0032437A"/>
    <w:rsid w:val="0032478D"/>
    <w:rsid w:val="00324E51"/>
    <w:rsid w:val="00325CD4"/>
    <w:rsid w:val="00325D5C"/>
    <w:rsid w:val="003261EF"/>
    <w:rsid w:val="00326609"/>
    <w:rsid w:val="00326925"/>
    <w:rsid w:val="00326E47"/>
    <w:rsid w:val="00327730"/>
    <w:rsid w:val="0033082E"/>
    <w:rsid w:val="00330F52"/>
    <w:rsid w:val="00331C47"/>
    <w:rsid w:val="00331CD1"/>
    <w:rsid w:val="003327E1"/>
    <w:rsid w:val="00332A3F"/>
    <w:rsid w:val="00332CC0"/>
    <w:rsid w:val="00332E4D"/>
    <w:rsid w:val="0033330E"/>
    <w:rsid w:val="00333546"/>
    <w:rsid w:val="003339B1"/>
    <w:rsid w:val="00333DEF"/>
    <w:rsid w:val="003356D8"/>
    <w:rsid w:val="00336AAD"/>
    <w:rsid w:val="00336D3E"/>
    <w:rsid w:val="0033767E"/>
    <w:rsid w:val="00337AD4"/>
    <w:rsid w:val="003405A6"/>
    <w:rsid w:val="003408A9"/>
    <w:rsid w:val="00341EDE"/>
    <w:rsid w:val="00342B6B"/>
    <w:rsid w:val="003430A4"/>
    <w:rsid w:val="0034311F"/>
    <w:rsid w:val="00343381"/>
    <w:rsid w:val="00344765"/>
    <w:rsid w:val="00345481"/>
    <w:rsid w:val="00346866"/>
    <w:rsid w:val="00346A5E"/>
    <w:rsid w:val="00346F55"/>
    <w:rsid w:val="00347672"/>
    <w:rsid w:val="003478FA"/>
    <w:rsid w:val="00350016"/>
    <w:rsid w:val="00350351"/>
    <w:rsid w:val="00350501"/>
    <w:rsid w:val="003507A1"/>
    <w:rsid w:val="00350D0A"/>
    <w:rsid w:val="00351FF3"/>
    <w:rsid w:val="003520BD"/>
    <w:rsid w:val="00352793"/>
    <w:rsid w:val="00352AAD"/>
    <w:rsid w:val="003531BA"/>
    <w:rsid w:val="00353637"/>
    <w:rsid w:val="00353806"/>
    <w:rsid w:val="00354319"/>
    <w:rsid w:val="0035546B"/>
    <w:rsid w:val="00355597"/>
    <w:rsid w:val="00355D6D"/>
    <w:rsid w:val="00355F61"/>
    <w:rsid w:val="00356890"/>
    <w:rsid w:val="003569E5"/>
    <w:rsid w:val="00357830"/>
    <w:rsid w:val="003579CC"/>
    <w:rsid w:val="00360495"/>
    <w:rsid w:val="00360C9E"/>
    <w:rsid w:val="003625E6"/>
    <w:rsid w:val="00362C86"/>
    <w:rsid w:val="00362FCB"/>
    <w:rsid w:val="003633BA"/>
    <w:rsid w:val="00364829"/>
    <w:rsid w:val="003649CD"/>
    <w:rsid w:val="00365A73"/>
    <w:rsid w:val="00365EAD"/>
    <w:rsid w:val="003661B4"/>
    <w:rsid w:val="003667DA"/>
    <w:rsid w:val="00366930"/>
    <w:rsid w:val="00367DA7"/>
    <w:rsid w:val="00370282"/>
    <w:rsid w:val="00370D78"/>
    <w:rsid w:val="00371E84"/>
    <w:rsid w:val="0037349D"/>
    <w:rsid w:val="00374546"/>
    <w:rsid w:val="00374561"/>
    <w:rsid w:val="00374ABF"/>
    <w:rsid w:val="00374B53"/>
    <w:rsid w:val="00375102"/>
    <w:rsid w:val="003752A4"/>
    <w:rsid w:val="00375E87"/>
    <w:rsid w:val="003760CB"/>
    <w:rsid w:val="00376263"/>
    <w:rsid w:val="003763D7"/>
    <w:rsid w:val="0037715C"/>
    <w:rsid w:val="0037751F"/>
    <w:rsid w:val="003776C6"/>
    <w:rsid w:val="00377B90"/>
    <w:rsid w:val="00380392"/>
    <w:rsid w:val="003803AC"/>
    <w:rsid w:val="00380AA6"/>
    <w:rsid w:val="003817D1"/>
    <w:rsid w:val="003817FF"/>
    <w:rsid w:val="00381D6D"/>
    <w:rsid w:val="00381DC0"/>
    <w:rsid w:val="003822FC"/>
    <w:rsid w:val="00382917"/>
    <w:rsid w:val="00382C42"/>
    <w:rsid w:val="00382EED"/>
    <w:rsid w:val="003830A4"/>
    <w:rsid w:val="00383347"/>
    <w:rsid w:val="003849D1"/>
    <w:rsid w:val="00385043"/>
    <w:rsid w:val="0038509D"/>
    <w:rsid w:val="003853F6"/>
    <w:rsid w:val="003856BB"/>
    <w:rsid w:val="003860C4"/>
    <w:rsid w:val="0038688A"/>
    <w:rsid w:val="0038702F"/>
    <w:rsid w:val="00387073"/>
    <w:rsid w:val="00387729"/>
    <w:rsid w:val="00390374"/>
    <w:rsid w:val="003903FE"/>
    <w:rsid w:val="00390A5E"/>
    <w:rsid w:val="00390DF6"/>
    <w:rsid w:val="0039118B"/>
    <w:rsid w:val="003913BD"/>
    <w:rsid w:val="0039152B"/>
    <w:rsid w:val="003915D4"/>
    <w:rsid w:val="0039188A"/>
    <w:rsid w:val="00391FCD"/>
    <w:rsid w:val="00392168"/>
    <w:rsid w:val="003925CD"/>
    <w:rsid w:val="00392F96"/>
    <w:rsid w:val="00393167"/>
    <w:rsid w:val="00394712"/>
    <w:rsid w:val="00394BC7"/>
    <w:rsid w:val="0039509B"/>
    <w:rsid w:val="00395731"/>
    <w:rsid w:val="0039702A"/>
    <w:rsid w:val="003975D5"/>
    <w:rsid w:val="00397AC1"/>
    <w:rsid w:val="003A0004"/>
    <w:rsid w:val="003A0355"/>
    <w:rsid w:val="003A041B"/>
    <w:rsid w:val="003A1C36"/>
    <w:rsid w:val="003A211D"/>
    <w:rsid w:val="003A24C8"/>
    <w:rsid w:val="003A2D89"/>
    <w:rsid w:val="003A30DC"/>
    <w:rsid w:val="003A42D1"/>
    <w:rsid w:val="003A47E8"/>
    <w:rsid w:val="003A5277"/>
    <w:rsid w:val="003A5D6C"/>
    <w:rsid w:val="003A5FCA"/>
    <w:rsid w:val="003A61BB"/>
    <w:rsid w:val="003A6CD9"/>
    <w:rsid w:val="003A6DB6"/>
    <w:rsid w:val="003B037C"/>
    <w:rsid w:val="003B0775"/>
    <w:rsid w:val="003B15E4"/>
    <w:rsid w:val="003B1919"/>
    <w:rsid w:val="003B191D"/>
    <w:rsid w:val="003B1A6E"/>
    <w:rsid w:val="003B1F10"/>
    <w:rsid w:val="003B208C"/>
    <w:rsid w:val="003B356D"/>
    <w:rsid w:val="003B361C"/>
    <w:rsid w:val="003B3B56"/>
    <w:rsid w:val="003B3C6B"/>
    <w:rsid w:val="003B43A7"/>
    <w:rsid w:val="003B4892"/>
    <w:rsid w:val="003B49DA"/>
    <w:rsid w:val="003B49F0"/>
    <w:rsid w:val="003B4CAE"/>
    <w:rsid w:val="003B586F"/>
    <w:rsid w:val="003B5FD5"/>
    <w:rsid w:val="003B6E37"/>
    <w:rsid w:val="003B7113"/>
    <w:rsid w:val="003B7215"/>
    <w:rsid w:val="003B726B"/>
    <w:rsid w:val="003B733E"/>
    <w:rsid w:val="003B74D2"/>
    <w:rsid w:val="003B7613"/>
    <w:rsid w:val="003B76B8"/>
    <w:rsid w:val="003B7955"/>
    <w:rsid w:val="003C050C"/>
    <w:rsid w:val="003C0568"/>
    <w:rsid w:val="003C0E97"/>
    <w:rsid w:val="003C1207"/>
    <w:rsid w:val="003C18A4"/>
    <w:rsid w:val="003C1B07"/>
    <w:rsid w:val="003C1C2C"/>
    <w:rsid w:val="003C1C3F"/>
    <w:rsid w:val="003C2060"/>
    <w:rsid w:val="003C20EB"/>
    <w:rsid w:val="003C2A03"/>
    <w:rsid w:val="003C2AA4"/>
    <w:rsid w:val="003C2EB6"/>
    <w:rsid w:val="003C38EF"/>
    <w:rsid w:val="003C3E2B"/>
    <w:rsid w:val="003C4F0A"/>
    <w:rsid w:val="003C78C1"/>
    <w:rsid w:val="003C7CB0"/>
    <w:rsid w:val="003D0456"/>
    <w:rsid w:val="003D0C25"/>
    <w:rsid w:val="003D1829"/>
    <w:rsid w:val="003D1A1E"/>
    <w:rsid w:val="003D1EC7"/>
    <w:rsid w:val="003D2370"/>
    <w:rsid w:val="003D23B9"/>
    <w:rsid w:val="003D23D8"/>
    <w:rsid w:val="003D23F3"/>
    <w:rsid w:val="003D2436"/>
    <w:rsid w:val="003D2E80"/>
    <w:rsid w:val="003D35A4"/>
    <w:rsid w:val="003D3CBE"/>
    <w:rsid w:val="003D3D73"/>
    <w:rsid w:val="003D5028"/>
    <w:rsid w:val="003D540A"/>
    <w:rsid w:val="003D5F4E"/>
    <w:rsid w:val="003D657B"/>
    <w:rsid w:val="003D7723"/>
    <w:rsid w:val="003D7768"/>
    <w:rsid w:val="003D7FF9"/>
    <w:rsid w:val="003E0AB4"/>
    <w:rsid w:val="003E0FCC"/>
    <w:rsid w:val="003E1094"/>
    <w:rsid w:val="003E1B16"/>
    <w:rsid w:val="003E21C0"/>
    <w:rsid w:val="003E2A07"/>
    <w:rsid w:val="003E2CB0"/>
    <w:rsid w:val="003E36BB"/>
    <w:rsid w:val="003E37B1"/>
    <w:rsid w:val="003E4430"/>
    <w:rsid w:val="003E44B4"/>
    <w:rsid w:val="003E49FC"/>
    <w:rsid w:val="003E4EB1"/>
    <w:rsid w:val="003E5037"/>
    <w:rsid w:val="003E50B7"/>
    <w:rsid w:val="003E5915"/>
    <w:rsid w:val="003E5C64"/>
    <w:rsid w:val="003E5D44"/>
    <w:rsid w:val="003E6093"/>
    <w:rsid w:val="003E60F7"/>
    <w:rsid w:val="003E6103"/>
    <w:rsid w:val="003E627F"/>
    <w:rsid w:val="003E712A"/>
    <w:rsid w:val="003F0106"/>
    <w:rsid w:val="003F0A6D"/>
    <w:rsid w:val="003F0C23"/>
    <w:rsid w:val="003F0D80"/>
    <w:rsid w:val="003F14A2"/>
    <w:rsid w:val="003F1764"/>
    <w:rsid w:val="003F19AC"/>
    <w:rsid w:val="003F1A6F"/>
    <w:rsid w:val="003F1AAD"/>
    <w:rsid w:val="003F1DBD"/>
    <w:rsid w:val="003F1E66"/>
    <w:rsid w:val="003F2332"/>
    <w:rsid w:val="003F246F"/>
    <w:rsid w:val="003F2E56"/>
    <w:rsid w:val="003F2F8C"/>
    <w:rsid w:val="003F3111"/>
    <w:rsid w:val="003F36AC"/>
    <w:rsid w:val="003F3A0F"/>
    <w:rsid w:val="003F3D9A"/>
    <w:rsid w:val="003F4190"/>
    <w:rsid w:val="003F498A"/>
    <w:rsid w:val="003F4C4E"/>
    <w:rsid w:val="003F5686"/>
    <w:rsid w:val="003F56B8"/>
    <w:rsid w:val="003F6130"/>
    <w:rsid w:val="003F6A17"/>
    <w:rsid w:val="003F6C0B"/>
    <w:rsid w:val="003F7336"/>
    <w:rsid w:val="003F7F8F"/>
    <w:rsid w:val="00400243"/>
    <w:rsid w:val="004004B7"/>
    <w:rsid w:val="004007AF"/>
    <w:rsid w:val="00401101"/>
    <w:rsid w:val="00401DE2"/>
    <w:rsid w:val="00402ABB"/>
    <w:rsid w:val="0040307E"/>
    <w:rsid w:val="00403509"/>
    <w:rsid w:val="00404777"/>
    <w:rsid w:val="00405EE5"/>
    <w:rsid w:val="00406016"/>
    <w:rsid w:val="00406477"/>
    <w:rsid w:val="00407199"/>
    <w:rsid w:val="00407676"/>
    <w:rsid w:val="0040795E"/>
    <w:rsid w:val="00407A69"/>
    <w:rsid w:val="00407B76"/>
    <w:rsid w:val="004106F4"/>
    <w:rsid w:val="00411A01"/>
    <w:rsid w:val="00411D90"/>
    <w:rsid w:val="00411E0F"/>
    <w:rsid w:val="00412059"/>
    <w:rsid w:val="0041219A"/>
    <w:rsid w:val="00412A2E"/>
    <w:rsid w:val="00412E68"/>
    <w:rsid w:val="00413029"/>
    <w:rsid w:val="004130F0"/>
    <w:rsid w:val="0041369B"/>
    <w:rsid w:val="00413C72"/>
    <w:rsid w:val="00413D61"/>
    <w:rsid w:val="0041416B"/>
    <w:rsid w:val="00414D81"/>
    <w:rsid w:val="00415274"/>
    <w:rsid w:val="00415690"/>
    <w:rsid w:val="004159DB"/>
    <w:rsid w:val="00415EF3"/>
    <w:rsid w:val="004162B5"/>
    <w:rsid w:val="004174FC"/>
    <w:rsid w:val="00417538"/>
    <w:rsid w:val="00417945"/>
    <w:rsid w:val="00417AE4"/>
    <w:rsid w:val="00417DEB"/>
    <w:rsid w:val="004217FE"/>
    <w:rsid w:val="004219A5"/>
    <w:rsid w:val="00421BBB"/>
    <w:rsid w:val="004227F2"/>
    <w:rsid w:val="00422CA8"/>
    <w:rsid w:val="004233BC"/>
    <w:rsid w:val="00424019"/>
    <w:rsid w:val="00424847"/>
    <w:rsid w:val="00424AD3"/>
    <w:rsid w:val="00424B2E"/>
    <w:rsid w:val="004250DD"/>
    <w:rsid w:val="004258FC"/>
    <w:rsid w:val="00425D85"/>
    <w:rsid w:val="00426566"/>
    <w:rsid w:val="004268ED"/>
    <w:rsid w:val="0042740A"/>
    <w:rsid w:val="00430D36"/>
    <w:rsid w:val="004322C5"/>
    <w:rsid w:val="0043279A"/>
    <w:rsid w:val="00432B4E"/>
    <w:rsid w:val="00432F65"/>
    <w:rsid w:val="004330FE"/>
    <w:rsid w:val="004335AB"/>
    <w:rsid w:val="00433673"/>
    <w:rsid w:val="00434071"/>
    <w:rsid w:val="004343F4"/>
    <w:rsid w:val="00434FDE"/>
    <w:rsid w:val="00435A4F"/>
    <w:rsid w:val="00435A6F"/>
    <w:rsid w:val="00436E53"/>
    <w:rsid w:val="00437420"/>
    <w:rsid w:val="004377A4"/>
    <w:rsid w:val="0043781F"/>
    <w:rsid w:val="0044077C"/>
    <w:rsid w:val="00440FD8"/>
    <w:rsid w:val="00441609"/>
    <w:rsid w:val="0044171F"/>
    <w:rsid w:val="00441914"/>
    <w:rsid w:val="00441E83"/>
    <w:rsid w:val="004421E2"/>
    <w:rsid w:val="00442357"/>
    <w:rsid w:val="00442418"/>
    <w:rsid w:val="00442A8D"/>
    <w:rsid w:val="00442C42"/>
    <w:rsid w:val="00443A56"/>
    <w:rsid w:val="00443B39"/>
    <w:rsid w:val="004440FF"/>
    <w:rsid w:val="0044476A"/>
    <w:rsid w:val="0044658C"/>
    <w:rsid w:val="0044674D"/>
    <w:rsid w:val="004467EB"/>
    <w:rsid w:val="00446895"/>
    <w:rsid w:val="0044711D"/>
    <w:rsid w:val="00447266"/>
    <w:rsid w:val="004477EE"/>
    <w:rsid w:val="00447B7D"/>
    <w:rsid w:val="00450049"/>
    <w:rsid w:val="00453619"/>
    <w:rsid w:val="00453B73"/>
    <w:rsid w:val="00453FCC"/>
    <w:rsid w:val="00454E22"/>
    <w:rsid w:val="00454E80"/>
    <w:rsid w:val="00455042"/>
    <w:rsid w:val="004557CA"/>
    <w:rsid w:val="00455BF8"/>
    <w:rsid w:val="00455C77"/>
    <w:rsid w:val="004564C5"/>
    <w:rsid w:val="00456674"/>
    <w:rsid w:val="00456E7B"/>
    <w:rsid w:val="00457364"/>
    <w:rsid w:val="0045750A"/>
    <w:rsid w:val="00457AE2"/>
    <w:rsid w:val="00457B39"/>
    <w:rsid w:val="00460872"/>
    <w:rsid w:val="00460910"/>
    <w:rsid w:val="004615B5"/>
    <w:rsid w:val="004617F3"/>
    <w:rsid w:val="00461CE9"/>
    <w:rsid w:val="00461D41"/>
    <w:rsid w:val="00461E72"/>
    <w:rsid w:val="00462415"/>
    <w:rsid w:val="00462904"/>
    <w:rsid w:val="004642DB"/>
    <w:rsid w:val="00464769"/>
    <w:rsid w:val="00465165"/>
    <w:rsid w:val="0046531B"/>
    <w:rsid w:val="0046553A"/>
    <w:rsid w:val="00465776"/>
    <w:rsid w:val="004669A7"/>
    <w:rsid w:val="00467063"/>
    <w:rsid w:val="00467853"/>
    <w:rsid w:val="00467994"/>
    <w:rsid w:val="00467B02"/>
    <w:rsid w:val="00470C32"/>
    <w:rsid w:val="00470D9C"/>
    <w:rsid w:val="004717BF"/>
    <w:rsid w:val="00471D00"/>
    <w:rsid w:val="00471F42"/>
    <w:rsid w:val="00472F1B"/>
    <w:rsid w:val="004734ED"/>
    <w:rsid w:val="00473558"/>
    <w:rsid w:val="00474461"/>
    <w:rsid w:val="00474A5B"/>
    <w:rsid w:val="00476230"/>
    <w:rsid w:val="0047627F"/>
    <w:rsid w:val="00476433"/>
    <w:rsid w:val="004765BD"/>
    <w:rsid w:val="00476BA3"/>
    <w:rsid w:val="00476C6C"/>
    <w:rsid w:val="00477072"/>
    <w:rsid w:val="0047731D"/>
    <w:rsid w:val="00477F42"/>
    <w:rsid w:val="00480139"/>
    <w:rsid w:val="0048036E"/>
    <w:rsid w:val="00480374"/>
    <w:rsid w:val="0048151A"/>
    <w:rsid w:val="0048259E"/>
    <w:rsid w:val="00482D7D"/>
    <w:rsid w:val="00483533"/>
    <w:rsid w:val="00483F74"/>
    <w:rsid w:val="00484413"/>
    <w:rsid w:val="00484534"/>
    <w:rsid w:val="00484606"/>
    <w:rsid w:val="00484E61"/>
    <w:rsid w:val="00485387"/>
    <w:rsid w:val="00485E0E"/>
    <w:rsid w:val="004864FC"/>
    <w:rsid w:val="00486C1C"/>
    <w:rsid w:val="0048704C"/>
    <w:rsid w:val="00487259"/>
    <w:rsid w:val="00487D13"/>
    <w:rsid w:val="00487FF2"/>
    <w:rsid w:val="0049008E"/>
    <w:rsid w:val="00491C02"/>
    <w:rsid w:val="004942AE"/>
    <w:rsid w:val="00494E37"/>
    <w:rsid w:val="00495104"/>
    <w:rsid w:val="0049520A"/>
    <w:rsid w:val="004960A0"/>
    <w:rsid w:val="00497033"/>
    <w:rsid w:val="0049727E"/>
    <w:rsid w:val="00497ABC"/>
    <w:rsid w:val="00497AC4"/>
    <w:rsid w:val="00497DA7"/>
    <w:rsid w:val="00497DDC"/>
    <w:rsid w:val="004A002E"/>
    <w:rsid w:val="004A0857"/>
    <w:rsid w:val="004A1071"/>
    <w:rsid w:val="004A121E"/>
    <w:rsid w:val="004A1D84"/>
    <w:rsid w:val="004A23DC"/>
    <w:rsid w:val="004A24B9"/>
    <w:rsid w:val="004A2816"/>
    <w:rsid w:val="004A2A12"/>
    <w:rsid w:val="004A2A37"/>
    <w:rsid w:val="004A2A71"/>
    <w:rsid w:val="004A2BFF"/>
    <w:rsid w:val="004A2CCE"/>
    <w:rsid w:val="004A327B"/>
    <w:rsid w:val="004A35CD"/>
    <w:rsid w:val="004A36F0"/>
    <w:rsid w:val="004A373A"/>
    <w:rsid w:val="004A3C3E"/>
    <w:rsid w:val="004A3D22"/>
    <w:rsid w:val="004A47FE"/>
    <w:rsid w:val="004A4B8A"/>
    <w:rsid w:val="004A4D4A"/>
    <w:rsid w:val="004A5906"/>
    <w:rsid w:val="004A6850"/>
    <w:rsid w:val="004A6BC8"/>
    <w:rsid w:val="004A7D70"/>
    <w:rsid w:val="004A7ED7"/>
    <w:rsid w:val="004B0EC2"/>
    <w:rsid w:val="004B1100"/>
    <w:rsid w:val="004B1109"/>
    <w:rsid w:val="004B1C68"/>
    <w:rsid w:val="004B2BCF"/>
    <w:rsid w:val="004B2F4B"/>
    <w:rsid w:val="004B4128"/>
    <w:rsid w:val="004B4570"/>
    <w:rsid w:val="004B45DC"/>
    <w:rsid w:val="004B5322"/>
    <w:rsid w:val="004B53FB"/>
    <w:rsid w:val="004B5C1A"/>
    <w:rsid w:val="004B6C4F"/>
    <w:rsid w:val="004B6C52"/>
    <w:rsid w:val="004C02E7"/>
    <w:rsid w:val="004C0D5D"/>
    <w:rsid w:val="004C1168"/>
    <w:rsid w:val="004C13B9"/>
    <w:rsid w:val="004C154C"/>
    <w:rsid w:val="004C23BD"/>
    <w:rsid w:val="004C2C1F"/>
    <w:rsid w:val="004C3488"/>
    <w:rsid w:val="004C36AF"/>
    <w:rsid w:val="004C3B1F"/>
    <w:rsid w:val="004C3BC3"/>
    <w:rsid w:val="004C483C"/>
    <w:rsid w:val="004C500B"/>
    <w:rsid w:val="004C5017"/>
    <w:rsid w:val="004C51F4"/>
    <w:rsid w:val="004C54EE"/>
    <w:rsid w:val="004C65F1"/>
    <w:rsid w:val="004C6696"/>
    <w:rsid w:val="004C675D"/>
    <w:rsid w:val="004C6DE2"/>
    <w:rsid w:val="004C763F"/>
    <w:rsid w:val="004C7B8E"/>
    <w:rsid w:val="004D0737"/>
    <w:rsid w:val="004D3026"/>
    <w:rsid w:val="004D30A7"/>
    <w:rsid w:val="004D3212"/>
    <w:rsid w:val="004D34ED"/>
    <w:rsid w:val="004D3C72"/>
    <w:rsid w:val="004D403B"/>
    <w:rsid w:val="004D44C7"/>
    <w:rsid w:val="004D5238"/>
    <w:rsid w:val="004D5464"/>
    <w:rsid w:val="004D555B"/>
    <w:rsid w:val="004D624B"/>
    <w:rsid w:val="004D6FA9"/>
    <w:rsid w:val="004D7698"/>
    <w:rsid w:val="004D7978"/>
    <w:rsid w:val="004E00AA"/>
    <w:rsid w:val="004E00B9"/>
    <w:rsid w:val="004E0437"/>
    <w:rsid w:val="004E100B"/>
    <w:rsid w:val="004E12B5"/>
    <w:rsid w:val="004E178A"/>
    <w:rsid w:val="004E1A64"/>
    <w:rsid w:val="004E1E18"/>
    <w:rsid w:val="004E286C"/>
    <w:rsid w:val="004E2975"/>
    <w:rsid w:val="004E2EDA"/>
    <w:rsid w:val="004E3531"/>
    <w:rsid w:val="004E41CA"/>
    <w:rsid w:val="004E509C"/>
    <w:rsid w:val="004E51B8"/>
    <w:rsid w:val="004E5215"/>
    <w:rsid w:val="004E5EE4"/>
    <w:rsid w:val="004E6BE9"/>
    <w:rsid w:val="004E6E88"/>
    <w:rsid w:val="004E7448"/>
    <w:rsid w:val="004E758A"/>
    <w:rsid w:val="004E7A2E"/>
    <w:rsid w:val="004F047E"/>
    <w:rsid w:val="004F0674"/>
    <w:rsid w:val="004F0FB3"/>
    <w:rsid w:val="004F10B3"/>
    <w:rsid w:val="004F1600"/>
    <w:rsid w:val="004F1B8C"/>
    <w:rsid w:val="004F3761"/>
    <w:rsid w:val="004F3F21"/>
    <w:rsid w:val="004F40C2"/>
    <w:rsid w:val="004F43F0"/>
    <w:rsid w:val="004F469D"/>
    <w:rsid w:val="004F528F"/>
    <w:rsid w:val="004F52E2"/>
    <w:rsid w:val="004F596A"/>
    <w:rsid w:val="004F5B6B"/>
    <w:rsid w:val="004F6607"/>
    <w:rsid w:val="004F691C"/>
    <w:rsid w:val="004F6C97"/>
    <w:rsid w:val="004F7BEB"/>
    <w:rsid w:val="0050113E"/>
    <w:rsid w:val="00501334"/>
    <w:rsid w:val="0050133A"/>
    <w:rsid w:val="00501430"/>
    <w:rsid w:val="00501C82"/>
    <w:rsid w:val="00502626"/>
    <w:rsid w:val="005035C2"/>
    <w:rsid w:val="0050387E"/>
    <w:rsid w:val="005056AE"/>
    <w:rsid w:val="00505A1F"/>
    <w:rsid w:val="005068CC"/>
    <w:rsid w:val="00506C63"/>
    <w:rsid w:val="0050737C"/>
    <w:rsid w:val="005075DC"/>
    <w:rsid w:val="005079FA"/>
    <w:rsid w:val="005105F4"/>
    <w:rsid w:val="00510C1D"/>
    <w:rsid w:val="00511242"/>
    <w:rsid w:val="0051140E"/>
    <w:rsid w:val="0051262C"/>
    <w:rsid w:val="005128C3"/>
    <w:rsid w:val="00512D65"/>
    <w:rsid w:val="00512F07"/>
    <w:rsid w:val="005135FD"/>
    <w:rsid w:val="00513D16"/>
    <w:rsid w:val="005143D1"/>
    <w:rsid w:val="005168DE"/>
    <w:rsid w:val="00516AEF"/>
    <w:rsid w:val="00520645"/>
    <w:rsid w:val="005211BC"/>
    <w:rsid w:val="00521600"/>
    <w:rsid w:val="00522978"/>
    <w:rsid w:val="00522A0A"/>
    <w:rsid w:val="00522B41"/>
    <w:rsid w:val="00522B67"/>
    <w:rsid w:val="005230DF"/>
    <w:rsid w:val="00523430"/>
    <w:rsid w:val="00523BA0"/>
    <w:rsid w:val="00523D41"/>
    <w:rsid w:val="005270ED"/>
    <w:rsid w:val="00527AC0"/>
    <w:rsid w:val="00527CFF"/>
    <w:rsid w:val="00527D51"/>
    <w:rsid w:val="0053039E"/>
    <w:rsid w:val="0053068C"/>
    <w:rsid w:val="00531049"/>
    <w:rsid w:val="00531B01"/>
    <w:rsid w:val="00531CD5"/>
    <w:rsid w:val="00531ED8"/>
    <w:rsid w:val="00532787"/>
    <w:rsid w:val="0053361B"/>
    <w:rsid w:val="00533B1B"/>
    <w:rsid w:val="005348E4"/>
    <w:rsid w:val="00534E8C"/>
    <w:rsid w:val="0053546A"/>
    <w:rsid w:val="00535532"/>
    <w:rsid w:val="005356F9"/>
    <w:rsid w:val="00535800"/>
    <w:rsid w:val="00535E4E"/>
    <w:rsid w:val="00535F95"/>
    <w:rsid w:val="00536373"/>
    <w:rsid w:val="005369AE"/>
    <w:rsid w:val="00536A2E"/>
    <w:rsid w:val="00536B8B"/>
    <w:rsid w:val="00536C67"/>
    <w:rsid w:val="00536F13"/>
    <w:rsid w:val="0053742D"/>
    <w:rsid w:val="00537FC4"/>
    <w:rsid w:val="00540028"/>
    <w:rsid w:val="0054112A"/>
    <w:rsid w:val="00541223"/>
    <w:rsid w:val="005412CC"/>
    <w:rsid w:val="00541679"/>
    <w:rsid w:val="005418A9"/>
    <w:rsid w:val="00542199"/>
    <w:rsid w:val="00542201"/>
    <w:rsid w:val="005424A9"/>
    <w:rsid w:val="005429F5"/>
    <w:rsid w:val="00543092"/>
    <w:rsid w:val="005434DC"/>
    <w:rsid w:val="00543527"/>
    <w:rsid w:val="00544287"/>
    <w:rsid w:val="00544517"/>
    <w:rsid w:val="005445F5"/>
    <w:rsid w:val="00544701"/>
    <w:rsid w:val="00546082"/>
    <w:rsid w:val="005467D5"/>
    <w:rsid w:val="005470C7"/>
    <w:rsid w:val="0054735E"/>
    <w:rsid w:val="0054783C"/>
    <w:rsid w:val="005501CA"/>
    <w:rsid w:val="005501E4"/>
    <w:rsid w:val="00551270"/>
    <w:rsid w:val="005518D1"/>
    <w:rsid w:val="00552362"/>
    <w:rsid w:val="00552536"/>
    <w:rsid w:val="00552DE6"/>
    <w:rsid w:val="005532C7"/>
    <w:rsid w:val="00553466"/>
    <w:rsid w:val="00553655"/>
    <w:rsid w:val="00554A78"/>
    <w:rsid w:val="00555CF5"/>
    <w:rsid w:val="0055717E"/>
    <w:rsid w:val="005573BD"/>
    <w:rsid w:val="00557763"/>
    <w:rsid w:val="0056025B"/>
    <w:rsid w:val="00560944"/>
    <w:rsid w:val="00560A7A"/>
    <w:rsid w:val="00560E74"/>
    <w:rsid w:val="00560F00"/>
    <w:rsid w:val="00561DD3"/>
    <w:rsid w:val="005621CA"/>
    <w:rsid w:val="00562269"/>
    <w:rsid w:val="0056255D"/>
    <w:rsid w:val="00563042"/>
    <w:rsid w:val="005645A2"/>
    <w:rsid w:val="005649AD"/>
    <w:rsid w:val="00565CA1"/>
    <w:rsid w:val="00565EE8"/>
    <w:rsid w:val="0056608A"/>
    <w:rsid w:val="0056628B"/>
    <w:rsid w:val="00566491"/>
    <w:rsid w:val="00566C79"/>
    <w:rsid w:val="0057039D"/>
    <w:rsid w:val="00570C96"/>
    <w:rsid w:val="005710E1"/>
    <w:rsid w:val="005714C1"/>
    <w:rsid w:val="00571C46"/>
    <w:rsid w:val="00571DFF"/>
    <w:rsid w:val="005722C0"/>
    <w:rsid w:val="005736F5"/>
    <w:rsid w:val="005736F7"/>
    <w:rsid w:val="005737DD"/>
    <w:rsid w:val="00573CB0"/>
    <w:rsid w:val="00574538"/>
    <w:rsid w:val="005745AB"/>
    <w:rsid w:val="005747BC"/>
    <w:rsid w:val="00574CAF"/>
    <w:rsid w:val="00575A19"/>
    <w:rsid w:val="00575A42"/>
    <w:rsid w:val="00575D65"/>
    <w:rsid w:val="00576460"/>
    <w:rsid w:val="005764F0"/>
    <w:rsid w:val="0057669A"/>
    <w:rsid w:val="00576C91"/>
    <w:rsid w:val="00577207"/>
    <w:rsid w:val="00577534"/>
    <w:rsid w:val="005804DB"/>
    <w:rsid w:val="00580662"/>
    <w:rsid w:val="00580CC9"/>
    <w:rsid w:val="00580CE3"/>
    <w:rsid w:val="00581685"/>
    <w:rsid w:val="00581A28"/>
    <w:rsid w:val="00581C1E"/>
    <w:rsid w:val="0058206D"/>
    <w:rsid w:val="005829EF"/>
    <w:rsid w:val="00582A65"/>
    <w:rsid w:val="00582A8B"/>
    <w:rsid w:val="005830F6"/>
    <w:rsid w:val="00583201"/>
    <w:rsid w:val="005836E5"/>
    <w:rsid w:val="005846F9"/>
    <w:rsid w:val="00584F1D"/>
    <w:rsid w:val="0058562A"/>
    <w:rsid w:val="0058592C"/>
    <w:rsid w:val="0058676B"/>
    <w:rsid w:val="00586926"/>
    <w:rsid w:val="005874D4"/>
    <w:rsid w:val="00587601"/>
    <w:rsid w:val="00587856"/>
    <w:rsid w:val="00587E55"/>
    <w:rsid w:val="00590083"/>
    <w:rsid w:val="00590A18"/>
    <w:rsid w:val="00590C0F"/>
    <w:rsid w:val="00590ED9"/>
    <w:rsid w:val="0059105C"/>
    <w:rsid w:val="005914E8"/>
    <w:rsid w:val="00592071"/>
    <w:rsid w:val="005931BB"/>
    <w:rsid w:val="00594178"/>
    <w:rsid w:val="005945FD"/>
    <w:rsid w:val="00594E67"/>
    <w:rsid w:val="005951F5"/>
    <w:rsid w:val="00595513"/>
    <w:rsid w:val="00595531"/>
    <w:rsid w:val="00595536"/>
    <w:rsid w:val="0059559B"/>
    <w:rsid w:val="005957CB"/>
    <w:rsid w:val="00595E25"/>
    <w:rsid w:val="00595E5A"/>
    <w:rsid w:val="005962F1"/>
    <w:rsid w:val="005963A7"/>
    <w:rsid w:val="0059674E"/>
    <w:rsid w:val="00596BC6"/>
    <w:rsid w:val="00596F17"/>
    <w:rsid w:val="00596FD7"/>
    <w:rsid w:val="00597684"/>
    <w:rsid w:val="00597E84"/>
    <w:rsid w:val="005A0D88"/>
    <w:rsid w:val="005A102E"/>
    <w:rsid w:val="005A11E2"/>
    <w:rsid w:val="005A24B6"/>
    <w:rsid w:val="005A256A"/>
    <w:rsid w:val="005A2B19"/>
    <w:rsid w:val="005A2B38"/>
    <w:rsid w:val="005A2E28"/>
    <w:rsid w:val="005A36AE"/>
    <w:rsid w:val="005A3C3A"/>
    <w:rsid w:val="005A3ED9"/>
    <w:rsid w:val="005A3FC0"/>
    <w:rsid w:val="005A41C3"/>
    <w:rsid w:val="005A4324"/>
    <w:rsid w:val="005A51C1"/>
    <w:rsid w:val="005A539E"/>
    <w:rsid w:val="005A5DE8"/>
    <w:rsid w:val="005A6340"/>
    <w:rsid w:val="005A6639"/>
    <w:rsid w:val="005A6664"/>
    <w:rsid w:val="005A6A82"/>
    <w:rsid w:val="005A6EC2"/>
    <w:rsid w:val="005A7A3F"/>
    <w:rsid w:val="005B0256"/>
    <w:rsid w:val="005B05C5"/>
    <w:rsid w:val="005B0CDA"/>
    <w:rsid w:val="005B0D67"/>
    <w:rsid w:val="005B10FB"/>
    <w:rsid w:val="005B122B"/>
    <w:rsid w:val="005B18EC"/>
    <w:rsid w:val="005B1A48"/>
    <w:rsid w:val="005B1C7C"/>
    <w:rsid w:val="005B2236"/>
    <w:rsid w:val="005B25C2"/>
    <w:rsid w:val="005B2B24"/>
    <w:rsid w:val="005B2DDE"/>
    <w:rsid w:val="005B3306"/>
    <w:rsid w:val="005B37A9"/>
    <w:rsid w:val="005B37DA"/>
    <w:rsid w:val="005B4189"/>
    <w:rsid w:val="005B4288"/>
    <w:rsid w:val="005B472B"/>
    <w:rsid w:val="005B4D12"/>
    <w:rsid w:val="005B4EE5"/>
    <w:rsid w:val="005B53E0"/>
    <w:rsid w:val="005B5CCB"/>
    <w:rsid w:val="005B5EA6"/>
    <w:rsid w:val="005B60DE"/>
    <w:rsid w:val="005B652F"/>
    <w:rsid w:val="005B6D06"/>
    <w:rsid w:val="005B7077"/>
    <w:rsid w:val="005B7D62"/>
    <w:rsid w:val="005C02A3"/>
    <w:rsid w:val="005C0593"/>
    <w:rsid w:val="005C0A3B"/>
    <w:rsid w:val="005C0E6B"/>
    <w:rsid w:val="005C13F4"/>
    <w:rsid w:val="005C1F32"/>
    <w:rsid w:val="005C2071"/>
    <w:rsid w:val="005C286B"/>
    <w:rsid w:val="005C2B3C"/>
    <w:rsid w:val="005C34C2"/>
    <w:rsid w:val="005C3866"/>
    <w:rsid w:val="005C3A4D"/>
    <w:rsid w:val="005C3E21"/>
    <w:rsid w:val="005C3E5E"/>
    <w:rsid w:val="005C401C"/>
    <w:rsid w:val="005C45C7"/>
    <w:rsid w:val="005C5217"/>
    <w:rsid w:val="005C5623"/>
    <w:rsid w:val="005C6236"/>
    <w:rsid w:val="005C70F7"/>
    <w:rsid w:val="005D0550"/>
    <w:rsid w:val="005D05F3"/>
    <w:rsid w:val="005D06B8"/>
    <w:rsid w:val="005D0AF1"/>
    <w:rsid w:val="005D0D4B"/>
    <w:rsid w:val="005D1714"/>
    <w:rsid w:val="005D1817"/>
    <w:rsid w:val="005D1AA7"/>
    <w:rsid w:val="005D24E5"/>
    <w:rsid w:val="005D2CD5"/>
    <w:rsid w:val="005D301A"/>
    <w:rsid w:val="005D3314"/>
    <w:rsid w:val="005D35A1"/>
    <w:rsid w:val="005D3C14"/>
    <w:rsid w:val="005D4456"/>
    <w:rsid w:val="005D4744"/>
    <w:rsid w:val="005D480D"/>
    <w:rsid w:val="005D5040"/>
    <w:rsid w:val="005D50A1"/>
    <w:rsid w:val="005D51C6"/>
    <w:rsid w:val="005D532F"/>
    <w:rsid w:val="005D53C9"/>
    <w:rsid w:val="005D589D"/>
    <w:rsid w:val="005D6222"/>
    <w:rsid w:val="005D64C5"/>
    <w:rsid w:val="005D66FF"/>
    <w:rsid w:val="005D696E"/>
    <w:rsid w:val="005D6B09"/>
    <w:rsid w:val="005D6EEE"/>
    <w:rsid w:val="005D70F7"/>
    <w:rsid w:val="005D74C7"/>
    <w:rsid w:val="005D7A7D"/>
    <w:rsid w:val="005E017B"/>
    <w:rsid w:val="005E097A"/>
    <w:rsid w:val="005E1177"/>
    <w:rsid w:val="005E11B7"/>
    <w:rsid w:val="005E14B8"/>
    <w:rsid w:val="005E17CF"/>
    <w:rsid w:val="005E1848"/>
    <w:rsid w:val="005E2346"/>
    <w:rsid w:val="005E24DD"/>
    <w:rsid w:val="005E26DD"/>
    <w:rsid w:val="005E298D"/>
    <w:rsid w:val="005E3C60"/>
    <w:rsid w:val="005E545E"/>
    <w:rsid w:val="005E6173"/>
    <w:rsid w:val="005E6BBA"/>
    <w:rsid w:val="005E734A"/>
    <w:rsid w:val="005E7A93"/>
    <w:rsid w:val="005F03FD"/>
    <w:rsid w:val="005F04BA"/>
    <w:rsid w:val="005F0596"/>
    <w:rsid w:val="005F05F0"/>
    <w:rsid w:val="005F063A"/>
    <w:rsid w:val="005F0E69"/>
    <w:rsid w:val="005F10C5"/>
    <w:rsid w:val="005F1753"/>
    <w:rsid w:val="005F2940"/>
    <w:rsid w:val="005F2A0E"/>
    <w:rsid w:val="005F2CAF"/>
    <w:rsid w:val="005F2EEE"/>
    <w:rsid w:val="005F2F4C"/>
    <w:rsid w:val="005F3F4E"/>
    <w:rsid w:val="005F4F7A"/>
    <w:rsid w:val="005F554E"/>
    <w:rsid w:val="005F633B"/>
    <w:rsid w:val="005F6AAE"/>
    <w:rsid w:val="005F7008"/>
    <w:rsid w:val="005F736D"/>
    <w:rsid w:val="005F76FD"/>
    <w:rsid w:val="005F777D"/>
    <w:rsid w:val="005F7A4C"/>
    <w:rsid w:val="005F7D29"/>
    <w:rsid w:val="005F7E07"/>
    <w:rsid w:val="00600329"/>
    <w:rsid w:val="00600757"/>
    <w:rsid w:val="00600BA2"/>
    <w:rsid w:val="00600C6D"/>
    <w:rsid w:val="00601633"/>
    <w:rsid w:val="00601B91"/>
    <w:rsid w:val="00601FB5"/>
    <w:rsid w:val="0060205F"/>
    <w:rsid w:val="0060208D"/>
    <w:rsid w:val="006020CA"/>
    <w:rsid w:val="00602AFF"/>
    <w:rsid w:val="00602B52"/>
    <w:rsid w:val="00603049"/>
    <w:rsid w:val="00603106"/>
    <w:rsid w:val="0060334F"/>
    <w:rsid w:val="006039A5"/>
    <w:rsid w:val="00603CCE"/>
    <w:rsid w:val="006042F9"/>
    <w:rsid w:val="006046AA"/>
    <w:rsid w:val="00604EA9"/>
    <w:rsid w:val="00605A08"/>
    <w:rsid w:val="00605FE6"/>
    <w:rsid w:val="00606228"/>
    <w:rsid w:val="006066CC"/>
    <w:rsid w:val="00606E51"/>
    <w:rsid w:val="00607210"/>
    <w:rsid w:val="00607391"/>
    <w:rsid w:val="00607DC6"/>
    <w:rsid w:val="00607E6B"/>
    <w:rsid w:val="006101D2"/>
    <w:rsid w:val="006102C3"/>
    <w:rsid w:val="00610AEC"/>
    <w:rsid w:val="00610E3F"/>
    <w:rsid w:val="00610EE7"/>
    <w:rsid w:val="006110CC"/>
    <w:rsid w:val="0061119F"/>
    <w:rsid w:val="006111A8"/>
    <w:rsid w:val="00611948"/>
    <w:rsid w:val="00611BA1"/>
    <w:rsid w:val="00611BC5"/>
    <w:rsid w:val="00612BB3"/>
    <w:rsid w:val="00612BBF"/>
    <w:rsid w:val="00613601"/>
    <w:rsid w:val="00613EA3"/>
    <w:rsid w:val="00614465"/>
    <w:rsid w:val="006148ED"/>
    <w:rsid w:val="00614A93"/>
    <w:rsid w:val="00614BFC"/>
    <w:rsid w:val="00614FC8"/>
    <w:rsid w:val="0061541C"/>
    <w:rsid w:val="00615681"/>
    <w:rsid w:val="00615853"/>
    <w:rsid w:val="00615F47"/>
    <w:rsid w:val="006168FB"/>
    <w:rsid w:val="00616A9C"/>
    <w:rsid w:val="00616EC3"/>
    <w:rsid w:val="00616EEA"/>
    <w:rsid w:val="00616FC0"/>
    <w:rsid w:val="00617B60"/>
    <w:rsid w:val="00617F92"/>
    <w:rsid w:val="006209A1"/>
    <w:rsid w:val="0062160B"/>
    <w:rsid w:val="00621AAE"/>
    <w:rsid w:val="00621B43"/>
    <w:rsid w:val="00621BD1"/>
    <w:rsid w:val="00621D11"/>
    <w:rsid w:val="00621FEA"/>
    <w:rsid w:val="00622027"/>
    <w:rsid w:val="00622253"/>
    <w:rsid w:val="0062232F"/>
    <w:rsid w:val="00622C02"/>
    <w:rsid w:val="006240C4"/>
    <w:rsid w:val="006243E3"/>
    <w:rsid w:val="00624898"/>
    <w:rsid w:val="00624F43"/>
    <w:rsid w:val="0062521D"/>
    <w:rsid w:val="00625764"/>
    <w:rsid w:val="00625849"/>
    <w:rsid w:val="00625AA2"/>
    <w:rsid w:val="00626505"/>
    <w:rsid w:val="0063049F"/>
    <w:rsid w:val="00630AEC"/>
    <w:rsid w:val="00631598"/>
    <w:rsid w:val="00631ED2"/>
    <w:rsid w:val="00632B82"/>
    <w:rsid w:val="00632BEF"/>
    <w:rsid w:val="00633C03"/>
    <w:rsid w:val="00633C81"/>
    <w:rsid w:val="00635047"/>
    <w:rsid w:val="00635A71"/>
    <w:rsid w:val="00635B00"/>
    <w:rsid w:val="00635E9C"/>
    <w:rsid w:val="00636064"/>
    <w:rsid w:val="00636577"/>
    <w:rsid w:val="0063793A"/>
    <w:rsid w:val="0063797A"/>
    <w:rsid w:val="0064047D"/>
    <w:rsid w:val="00640AC0"/>
    <w:rsid w:val="00640BB4"/>
    <w:rsid w:val="00640FFB"/>
    <w:rsid w:val="0064177D"/>
    <w:rsid w:val="00641A9D"/>
    <w:rsid w:val="00641F07"/>
    <w:rsid w:val="00642D58"/>
    <w:rsid w:val="006436CB"/>
    <w:rsid w:val="00643B1F"/>
    <w:rsid w:val="00643E71"/>
    <w:rsid w:val="0064437A"/>
    <w:rsid w:val="006449B1"/>
    <w:rsid w:val="00644D92"/>
    <w:rsid w:val="00644E0C"/>
    <w:rsid w:val="006455C5"/>
    <w:rsid w:val="00645C8B"/>
    <w:rsid w:val="00646138"/>
    <w:rsid w:val="0064651C"/>
    <w:rsid w:val="00646FFE"/>
    <w:rsid w:val="006473B5"/>
    <w:rsid w:val="006473D4"/>
    <w:rsid w:val="006475C0"/>
    <w:rsid w:val="00647654"/>
    <w:rsid w:val="00647EC1"/>
    <w:rsid w:val="0065037F"/>
    <w:rsid w:val="00650AE7"/>
    <w:rsid w:val="00651028"/>
    <w:rsid w:val="00651225"/>
    <w:rsid w:val="00651A85"/>
    <w:rsid w:val="00651DD4"/>
    <w:rsid w:val="00652683"/>
    <w:rsid w:val="00652764"/>
    <w:rsid w:val="00652CD9"/>
    <w:rsid w:val="00653201"/>
    <w:rsid w:val="00653710"/>
    <w:rsid w:val="0065389D"/>
    <w:rsid w:val="00653DA5"/>
    <w:rsid w:val="006542FA"/>
    <w:rsid w:val="00655854"/>
    <w:rsid w:val="00655C57"/>
    <w:rsid w:val="006561CA"/>
    <w:rsid w:val="0065628D"/>
    <w:rsid w:val="00656EA4"/>
    <w:rsid w:val="0066004D"/>
    <w:rsid w:val="006607E5"/>
    <w:rsid w:val="00660B8E"/>
    <w:rsid w:val="00660E66"/>
    <w:rsid w:val="00661090"/>
    <w:rsid w:val="006610CB"/>
    <w:rsid w:val="00661938"/>
    <w:rsid w:val="006621A5"/>
    <w:rsid w:val="006627FD"/>
    <w:rsid w:val="00662908"/>
    <w:rsid w:val="006637C6"/>
    <w:rsid w:val="00664064"/>
    <w:rsid w:val="00664213"/>
    <w:rsid w:val="0066473B"/>
    <w:rsid w:val="00664FC6"/>
    <w:rsid w:val="006654D9"/>
    <w:rsid w:val="006659CA"/>
    <w:rsid w:val="00665D73"/>
    <w:rsid w:val="00665E2A"/>
    <w:rsid w:val="006662A0"/>
    <w:rsid w:val="006662BC"/>
    <w:rsid w:val="00667844"/>
    <w:rsid w:val="00667906"/>
    <w:rsid w:val="00667EF8"/>
    <w:rsid w:val="00670123"/>
    <w:rsid w:val="0067020A"/>
    <w:rsid w:val="00670346"/>
    <w:rsid w:val="006703AF"/>
    <w:rsid w:val="00670657"/>
    <w:rsid w:val="00670952"/>
    <w:rsid w:val="00670AA9"/>
    <w:rsid w:val="00671726"/>
    <w:rsid w:val="00671942"/>
    <w:rsid w:val="00671A66"/>
    <w:rsid w:val="00671BE1"/>
    <w:rsid w:val="00671FC4"/>
    <w:rsid w:val="0067264B"/>
    <w:rsid w:val="00672D0F"/>
    <w:rsid w:val="00672DD5"/>
    <w:rsid w:val="00673385"/>
    <w:rsid w:val="006734A3"/>
    <w:rsid w:val="00673D18"/>
    <w:rsid w:val="00674238"/>
    <w:rsid w:val="006746A2"/>
    <w:rsid w:val="00674A07"/>
    <w:rsid w:val="006752E1"/>
    <w:rsid w:val="00675EC1"/>
    <w:rsid w:val="0067690F"/>
    <w:rsid w:val="00676D2B"/>
    <w:rsid w:val="00676F56"/>
    <w:rsid w:val="0067718E"/>
    <w:rsid w:val="00677340"/>
    <w:rsid w:val="00677A8F"/>
    <w:rsid w:val="00677E38"/>
    <w:rsid w:val="00680437"/>
    <w:rsid w:val="00680958"/>
    <w:rsid w:val="00680A4D"/>
    <w:rsid w:val="00680ED8"/>
    <w:rsid w:val="006819B6"/>
    <w:rsid w:val="00682FC4"/>
    <w:rsid w:val="00683661"/>
    <w:rsid w:val="00683ACC"/>
    <w:rsid w:val="00683D92"/>
    <w:rsid w:val="00684FDE"/>
    <w:rsid w:val="00685026"/>
    <w:rsid w:val="00685483"/>
    <w:rsid w:val="00685938"/>
    <w:rsid w:val="0068599B"/>
    <w:rsid w:val="00685BBE"/>
    <w:rsid w:val="00686ADD"/>
    <w:rsid w:val="00686BB2"/>
    <w:rsid w:val="00687136"/>
    <w:rsid w:val="00687902"/>
    <w:rsid w:val="00687979"/>
    <w:rsid w:val="00687A83"/>
    <w:rsid w:val="006902E1"/>
    <w:rsid w:val="006907C6"/>
    <w:rsid w:val="00690946"/>
    <w:rsid w:val="00690E3D"/>
    <w:rsid w:val="00690FCB"/>
    <w:rsid w:val="0069117F"/>
    <w:rsid w:val="00691D11"/>
    <w:rsid w:val="00692084"/>
    <w:rsid w:val="0069259F"/>
    <w:rsid w:val="006929AC"/>
    <w:rsid w:val="00693020"/>
    <w:rsid w:val="00693227"/>
    <w:rsid w:val="00693FE5"/>
    <w:rsid w:val="006945CC"/>
    <w:rsid w:val="00694B77"/>
    <w:rsid w:val="00694E22"/>
    <w:rsid w:val="00695AF8"/>
    <w:rsid w:val="00695EB7"/>
    <w:rsid w:val="00697304"/>
    <w:rsid w:val="006979B9"/>
    <w:rsid w:val="00697D1F"/>
    <w:rsid w:val="006A00F2"/>
    <w:rsid w:val="006A07B5"/>
    <w:rsid w:val="006A0984"/>
    <w:rsid w:val="006A09E5"/>
    <w:rsid w:val="006A1156"/>
    <w:rsid w:val="006A1189"/>
    <w:rsid w:val="006A1408"/>
    <w:rsid w:val="006A179C"/>
    <w:rsid w:val="006A17FF"/>
    <w:rsid w:val="006A1903"/>
    <w:rsid w:val="006A212C"/>
    <w:rsid w:val="006A242F"/>
    <w:rsid w:val="006A258D"/>
    <w:rsid w:val="006A2834"/>
    <w:rsid w:val="006A2B74"/>
    <w:rsid w:val="006A330B"/>
    <w:rsid w:val="006A4069"/>
    <w:rsid w:val="006A4428"/>
    <w:rsid w:val="006A4ADE"/>
    <w:rsid w:val="006A4FCD"/>
    <w:rsid w:val="006A5358"/>
    <w:rsid w:val="006A5496"/>
    <w:rsid w:val="006A5777"/>
    <w:rsid w:val="006A6409"/>
    <w:rsid w:val="006A659C"/>
    <w:rsid w:val="006A6DE9"/>
    <w:rsid w:val="006A7180"/>
    <w:rsid w:val="006A7825"/>
    <w:rsid w:val="006A7850"/>
    <w:rsid w:val="006A7A36"/>
    <w:rsid w:val="006A7A4A"/>
    <w:rsid w:val="006A7BB8"/>
    <w:rsid w:val="006B078D"/>
    <w:rsid w:val="006B09AC"/>
    <w:rsid w:val="006B0A72"/>
    <w:rsid w:val="006B128E"/>
    <w:rsid w:val="006B1FC2"/>
    <w:rsid w:val="006B389E"/>
    <w:rsid w:val="006B3CA8"/>
    <w:rsid w:val="006B4344"/>
    <w:rsid w:val="006B44D6"/>
    <w:rsid w:val="006B4623"/>
    <w:rsid w:val="006B647E"/>
    <w:rsid w:val="006B68C7"/>
    <w:rsid w:val="006B6D68"/>
    <w:rsid w:val="006B6E2F"/>
    <w:rsid w:val="006B749E"/>
    <w:rsid w:val="006B750E"/>
    <w:rsid w:val="006C00AE"/>
    <w:rsid w:val="006C0206"/>
    <w:rsid w:val="006C0430"/>
    <w:rsid w:val="006C068A"/>
    <w:rsid w:val="006C1479"/>
    <w:rsid w:val="006C21E4"/>
    <w:rsid w:val="006C23A7"/>
    <w:rsid w:val="006C26E8"/>
    <w:rsid w:val="006C2BC1"/>
    <w:rsid w:val="006C2DB3"/>
    <w:rsid w:val="006C2E93"/>
    <w:rsid w:val="006C2F5F"/>
    <w:rsid w:val="006C2F70"/>
    <w:rsid w:val="006C377D"/>
    <w:rsid w:val="006C3F5B"/>
    <w:rsid w:val="006C4116"/>
    <w:rsid w:val="006C439A"/>
    <w:rsid w:val="006C45B0"/>
    <w:rsid w:val="006C47CF"/>
    <w:rsid w:val="006C4801"/>
    <w:rsid w:val="006C4C52"/>
    <w:rsid w:val="006C4C6B"/>
    <w:rsid w:val="006C5056"/>
    <w:rsid w:val="006C5153"/>
    <w:rsid w:val="006C5420"/>
    <w:rsid w:val="006C694A"/>
    <w:rsid w:val="006C6B3B"/>
    <w:rsid w:val="006C6E0C"/>
    <w:rsid w:val="006C7397"/>
    <w:rsid w:val="006C78F2"/>
    <w:rsid w:val="006C7B31"/>
    <w:rsid w:val="006C7BBA"/>
    <w:rsid w:val="006C7BF3"/>
    <w:rsid w:val="006D0C1C"/>
    <w:rsid w:val="006D11E7"/>
    <w:rsid w:val="006D17B6"/>
    <w:rsid w:val="006D1A85"/>
    <w:rsid w:val="006D1C5C"/>
    <w:rsid w:val="006D2614"/>
    <w:rsid w:val="006D28D5"/>
    <w:rsid w:val="006D2A51"/>
    <w:rsid w:val="006D2CB8"/>
    <w:rsid w:val="006D3351"/>
    <w:rsid w:val="006D3374"/>
    <w:rsid w:val="006D3E89"/>
    <w:rsid w:val="006D410C"/>
    <w:rsid w:val="006D51A8"/>
    <w:rsid w:val="006D5A37"/>
    <w:rsid w:val="006D5D1C"/>
    <w:rsid w:val="006D5DA2"/>
    <w:rsid w:val="006D5E64"/>
    <w:rsid w:val="006D5FD9"/>
    <w:rsid w:val="006D6308"/>
    <w:rsid w:val="006D66F9"/>
    <w:rsid w:val="006D6B82"/>
    <w:rsid w:val="006D6F80"/>
    <w:rsid w:val="006D6F8A"/>
    <w:rsid w:val="006D72FE"/>
    <w:rsid w:val="006E0D76"/>
    <w:rsid w:val="006E0F21"/>
    <w:rsid w:val="006E11BA"/>
    <w:rsid w:val="006E17FA"/>
    <w:rsid w:val="006E2487"/>
    <w:rsid w:val="006E343E"/>
    <w:rsid w:val="006E382E"/>
    <w:rsid w:val="006E3DAC"/>
    <w:rsid w:val="006E3EE9"/>
    <w:rsid w:val="006E4D18"/>
    <w:rsid w:val="006E4DEC"/>
    <w:rsid w:val="006E51D5"/>
    <w:rsid w:val="006E52A0"/>
    <w:rsid w:val="006E5F28"/>
    <w:rsid w:val="006E6092"/>
    <w:rsid w:val="006E61B9"/>
    <w:rsid w:val="006E6951"/>
    <w:rsid w:val="006E711E"/>
    <w:rsid w:val="006E784C"/>
    <w:rsid w:val="006E79F7"/>
    <w:rsid w:val="006E7F8E"/>
    <w:rsid w:val="006F0044"/>
    <w:rsid w:val="006F0083"/>
    <w:rsid w:val="006F014B"/>
    <w:rsid w:val="006F0D67"/>
    <w:rsid w:val="006F1460"/>
    <w:rsid w:val="006F14CB"/>
    <w:rsid w:val="006F19F2"/>
    <w:rsid w:val="006F1C31"/>
    <w:rsid w:val="006F20B2"/>
    <w:rsid w:val="006F250C"/>
    <w:rsid w:val="006F2816"/>
    <w:rsid w:val="006F2C27"/>
    <w:rsid w:val="006F2F38"/>
    <w:rsid w:val="006F36AA"/>
    <w:rsid w:val="006F3E32"/>
    <w:rsid w:val="006F4071"/>
    <w:rsid w:val="006F515E"/>
    <w:rsid w:val="006F5960"/>
    <w:rsid w:val="006F5AE4"/>
    <w:rsid w:val="006F684A"/>
    <w:rsid w:val="006F6E53"/>
    <w:rsid w:val="006F7BE7"/>
    <w:rsid w:val="0070048A"/>
    <w:rsid w:val="00700FC7"/>
    <w:rsid w:val="00701681"/>
    <w:rsid w:val="00701C19"/>
    <w:rsid w:val="00701E4F"/>
    <w:rsid w:val="00702C1D"/>
    <w:rsid w:val="00703785"/>
    <w:rsid w:val="0070388E"/>
    <w:rsid w:val="007042C5"/>
    <w:rsid w:val="007051A9"/>
    <w:rsid w:val="007059FF"/>
    <w:rsid w:val="00705A10"/>
    <w:rsid w:val="00705E24"/>
    <w:rsid w:val="0070709F"/>
    <w:rsid w:val="00707B4B"/>
    <w:rsid w:val="00707BE8"/>
    <w:rsid w:val="00707DFF"/>
    <w:rsid w:val="00707E12"/>
    <w:rsid w:val="00710310"/>
    <w:rsid w:val="00710577"/>
    <w:rsid w:val="00710BD5"/>
    <w:rsid w:val="00710D4A"/>
    <w:rsid w:val="00711194"/>
    <w:rsid w:val="0071142E"/>
    <w:rsid w:val="00711D44"/>
    <w:rsid w:val="007125D9"/>
    <w:rsid w:val="007127AC"/>
    <w:rsid w:val="00712A79"/>
    <w:rsid w:val="00712B55"/>
    <w:rsid w:val="00712CBC"/>
    <w:rsid w:val="00712E3D"/>
    <w:rsid w:val="007132A8"/>
    <w:rsid w:val="00713500"/>
    <w:rsid w:val="00713970"/>
    <w:rsid w:val="00714D36"/>
    <w:rsid w:val="00715CD7"/>
    <w:rsid w:val="007161F5"/>
    <w:rsid w:val="00716A63"/>
    <w:rsid w:val="00716BF0"/>
    <w:rsid w:val="00716DC0"/>
    <w:rsid w:val="00716E6F"/>
    <w:rsid w:val="0071744F"/>
    <w:rsid w:val="00717B87"/>
    <w:rsid w:val="00720A0C"/>
    <w:rsid w:val="00720CC4"/>
    <w:rsid w:val="00721414"/>
    <w:rsid w:val="007218E4"/>
    <w:rsid w:val="00721A55"/>
    <w:rsid w:val="00721C82"/>
    <w:rsid w:val="00721D9D"/>
    <w:rsid w:val="007229E3"/>
    <w:rsid w:val="00722CE7"/>
    <w:rsid w:val="00723E0C"/>
    <w:rsid w:val="00724035"/>
    <w:rsid w:val="00725415"/>
    <w:rsid w:val="00725E9D"/>
    <w:rsid w:val="007262F0"/>
    <w:rsid w:val="00726C23"/>
    <w:rsid w:val="0072750E"/>
    <w:rsid w:val="0072759B"/>
    <w:rsid w:val="0072787D"/>
    <w:rsid w:val="00727B83"/>
    <w:rsid w:val="00730889"/>
    <w:rsid w:val="0073097F"/>
    <w:rsid w:val="0073148C"/>
    <w:rsid w:val="0073175D"/>
    <w:rsid w:val="007325E3"/>
    <w:rsid w:val="007326BB"/>
    <w:rsid w:val="00732BBD"/>
    <w:rsid w:val="00732E23"/>
    <w:rsid w:val="00732E76"/>
    <w:rsid w:val="007330D0"/>
    <w:rsid w:val="00733773"/>
    <w:rsid w:val="007339C3"/>
    <w:rsid w:val="00733CBB"/>
    <w:rsid w:val="00734122"/>
    <w:rsid w:val="007344F4"/>
    <w:rsid w:val="00734876"/>
    <w:rsid w:val="00734FF5"/>
    <w:rsid w:val="00736BE2"/>
    <w:rsid w:val="00736EDA"/>
    <w:rsid w:val="0073769E"/>
    <w:rsid w:val="00737839"/>
    <w:rsid w:val="00737D91"/>
    <w:rsid w:val="00737F39"/>
    <w:rsid w:val="007404C4"/>
    <w:rsid w:val="0074072E"/>
    <w:rsid w:val="007419CB"/>
    <w:rsid w:val="00742372"/>
    <w:rsid w:val="007425C8"/>
    <w:rsid w:val="007428D9"/>
    <w:rsid w:val="00742A57"/>
    <w:rsid w:val="00742C14"/>
    <w:rsid w:val="00743CBB"/>
    <w:rsid w:val="007441D3"/>
    <w:rsid w:val="0074494E"/>
    <w:rsid w:val="007453EC"/>
    <w:rsid w:val="007460F6"/>
    <w:rsid w:val="007462E0"/>
    <w:rsid w:val="00746A85"/>
    <w:rsid w:val="00746E35"/>
    <w:rsid w:val="00747301"/>
    <w:rsid w:val="00747392"/>
    <w:rsid w:val="0074780A"/>
    <w:rsid w:val="0074782A"/>
    <w:rsid w:val="00747CFE"/>
    <w:rsid w:val="0075076B"/>
    <w:rsid w:val="00751187"/>
    <w:rsid w:val="007512C0"/>
    <w:rsid w:val="0075146C"/>
    <w:rsid w:val="00751F4D"/>
    <w:rsid w:val="0075219E"/>
    <w:rsid w:val="00752B3A"/>
    <w:rsid w:val="00753162"/>
    <w:rsid w:val="00753828"/>
    <w:rsid w:val="00753C5F"/>
    <w:rsid w:val="00753DE0"/>
    <w:rsid w:val="00753E8A"/>
    <w:rsid w:val="00754549"/>
    <w:rsid w:val="007549A4"/>
    <w:rsid w:val="00754CB1"/>
    <w:rsid w:val="00754F5C"/>
    <w:rsid w:val="00755B19"/>
    <w:rsid w:val="0075772A"/>
    <w:rsid w:val="00757C99"/>
    <w:rsid w:val="00760F4B"/>
    <w:rsid w:val="00762924"/>
    <w:rsid w:val="007629DF"/>
    <w:rsid w:val="00762F25"/>
    <w:rsid w:val="0076306F"/>
    <w:rsid w:val="00763487"/>
    <w:rsid w:val="00763D28"/>
    <w:rsid w:val="00764241"/>
    <w:rsid w:val="0076442C"/>
    <w:rsid w:val="0076495B"/>
    <w:rsid w:val="00765842"/>
    <w:rsid w:val="007660BE"/>
    <w:rsid w:val="00766320"/>
    <w:rsid w:val="00767239"/>
    <w:rsid w:val="007673D7"/>
    <w:rsid w:val="007702D1"/>
    <w:rsid w:val="007702D9"/>
    <w:rsid w:val="00770F32"/>
    <w:rsid w:val="00771076"/>
    <w:rsid w:val="00771E77"/>
    <w:rsid w:val="00771EBC"/>
    <w:rsid w:val="00772434"/>
    <w:rsid w:val="00772545"/>
    <w:rsid w:val="007730AF"/>
    <w:rsid w:val="00773134"/>
    <w:rsid w:val="007738D1"/>
    <w:rsid w:val="00773A17"/>
    <w:rsid w:val="0077402F"/>
    <w:rsid w:val="0077472E"/>
    <w:rsid w:val="00774811"/>
    <w:rsid w:val="00775FCF"/>
    <w:rsid w:val="00776C6C"/>
    <w:rsid w:val="00777133"/>
    <w:rsid w:val="007773BF"/>
    <w:rsid w:val="00780422"/>
    <w:rsid w:val="007805AA"/>
    <w:rsid w:val="00780783"/>
    <w:rsid w:val="00780E41"/>
    <w:rsid w:val="00781740"/>
    <w:rsid w:val="00781E89"/>
    <w:rsid w:val="007826F1"/>
    <w:rsid w:val="00782964"/>
    <w:rsid w:val="00782F2C"/>
    <w:rsid w:val="0078329C"/>
    <w:rsid w:val="00783A14"/>
    <w:rsid w:val="00783B2D"/>
    <w:rsid w:val="007849CA"/>
    <w:rsid w:val="00785CB2"/>
    <w:rsid w:val="00785EB6"/>
    <w:rsid w:val="007862E1"/>
    <w:rsid w:val="0078659D"/>
    <w:rsid w:val="00786A8B"/>
    <w:rsid w:val="00786DEA"/>
    <w:rsid w:val="00787208"/>
    <w:rsid w:val="00787E6F"/>
    <w:rsid w:val="0079000A"/>
    <w:rsid w:val="007909FA"/>
    <w:rsid w:val="00790A5E"/>
    <w:rsid w:val="00790D39"/>
    <w:rsid w:val="00791290"/>
    <w:rsid w:val="00791449"/>
    <w:rsid w:val="00791701"/>
    <w:rsid w:val="00792AB1"/>
    <w:rsid w:val="00792C8F"/>
    <w:rsid w:val="00792EEB"/>
    <w:rsid w:val="00793764"/>
    <w:rsid w:val="00793A1D"/>
    <w:rsid w:val="00793C0C"/>
    <w:rsid w:val="00793E70"/>
    <w:rsid w:val="007946A1"/>
    <w:rsid w:val="007955B4"/>
    <w:rsid w:val="007955EA"/>
    <w:rsid w:val="00795B6C"/>
    <w:rsid w:val="007961F4"/>
    <w:rsid w:val="00796415"/>
    <w:rsid w:val="00796748"/>
    <w:rsid w:val="00796DE4"/>
    <w:rsid w:val="00797289"/>
    <w:rsid w:val="007974C0"/>
    <w:rsid w:val="0079769A"/>
    <w:rsid w:val="0079778F"/>
    <w:rsid w:val="00797D90"/>
    <w:rsid w:val="00797FAA"/>
    <w:rsid w:val="007A07C9"/>
    <w:rsid w:val="007A0EB9"/>
    <w:rsid w:val="007A1315"/>
    <w:rsid w:val="007A13FC"/>
    <w:rsid w:val="007A1676"/>
    <w:rsid w:val="007A1929"/>
    <w:rsid w:val="007A1A3B"/>
    <w:rsid w:val="007A2CFA"/>
    <w:rsid w:val="007A2D55"/>
    <w:rsid w:val="007A2DD7"/>
    <w:rsid w:val="007A35E0"/>
    <w:rsid w:val="007A3DCD"/>
    <w:rsid w:val="007A4205"/>
    <w:rsid w:val="007A4E25"/>
    <w:rsid w:val="007A4E66"/>
    <w:rsid w:val="007A4F6F"/>
    <w:rsid w:val="007A516F"/>
    <w:rsid w:val="007A52DB"/>
    <w:rsid w:val="007A5409"/>
    <w:rsid w:val="007A5D34"/>
    <w:rsid w:val="007A6A54"/>
    <w:rsid w:val="007A7CF3"/>
    <w:rsid w:val="007A7D8F"/>
    <w:rsid w:val="007A7F50"/>
    <w:rsid w:val="007B05E3"/>
    <w:rsid w:val="007B0863"/>
    <w:rsid w:val="007B1A2E"/>
    <w:rsid w:val="007B1F1B"/>
    <w:rsid w:val="007B1FEB"/>
    <w:rsid w:val="007B207D"/>
    <w:rsid w:val="007B3375"/>
    <w:rsid w:val="007B3C1B"/>
    <w:rsid w:val="007B42D2"/>
    <w:rsid w:val="007B470C"/>
    <w:rsid w:val="007B575F"/>
    <w:rsid w:val="007B577F"/>
    <w:rsid w:val="007B593F"/>
    <w:rsid w:val="007B5B75"/>
    <w:rsid w:val="007B6390"/>
    <w:rsid w:val="007B64FB"/>
    <w:rsid w:val="007B6F5A"/>
    <w:rsid w:val="007B74B6"/>
    <w:rsid w:val="007B78A6"/>
    <w:rsid w:val="007B7E1B"/>
    <w:rsid w:val="007C033C"/>
    <w:rsid w:val="007C0918"/>
    <w:rsid w:val="007C0947"/>
    <w:rsid w:val="007C0BC9"/>
    <w:rsid w:val="007C10E6"/>
    <w:rsid w:val="007C15F0"/>
    <w:rsid w:val="007C1784"/>
    <w:rsid w:val="007C1CD3"/>
    <w:rsid w:val="007C23A1"/>
    <w:rsid w:val="007C289E"/>
    <w:rsid w:val="007C2CF5"/>
    <w:rsid w:val="007C315D"/>
    <w:rsid w:val="007C31A3"/>
    <w:rsid w:val="007C31E6"/>
    <w:rsid w:val="007C3F56"/>
    <w:rsid w:val="007C4BEE"/>
    <w:rsid w:val="007C5149"/>
    <w:rsid w:val="007C5172"/>
    <w:rsid w:val="007C5B38"/>
    <w:rsid w:val="007C5F5E"/>
    <w:rsid w:val="007C6137"/>
    <w:rsid w:val="007C6D98"/>
    <w:rsid w:val="007C71B4"/>
    <w:rsid w:val="007C7EE8"/>
    <w:rsid w:val="007D0EB6"/>
    <w:rsid w:val="007D1055"/>
    <w:rsid w:val="007D22AF"/>
    <w:rsid w:val="007D2B5A"/>
    <w:rsid w:val="007D349B"/>
    <w:rsid w:val="007D3C31"/>
    <w:rsid w:val="007D3D1D"/>
    <w:rsid w:val="007D47F5"/>
    <w:rsid w:val="007D4C17"/>
    <w:rsid w:val="007D4DC2"/>
    <w:rsid w:val="007D57B1"/>
    <w:rsid w:val="007D5A85"/>
    <w:rsid w:val="007D60D5"/>
    <w:rsid w:val="007D6A9A"/>
    <w:rsid w:val="007D6BBE"/>
    <w:rsid w:val="007D6F76"/>
    <w:rsid w:val="007D7C5E"/>
    <w:rsid w:val="007D7E87"/>
    <w:rsid w:val="007D7EBC"/>
    <w:rsid w:val="007E0525"/>
    <w:rsid w:val="007E0563"/>
    <w:rsid w:val="007E05F7"/>
    <w:rsid w:val="007E0A5E"/>
    <w:rsid w:val="007E0F9B"/>
    <w:rsid w:val="007E2356"/>
    <w:rsid w:val="007E253A"/>
    <w:rsid w:val="007E2639"/>
    <w:rsid w:val="007E276D"/>
    <w:rsid w:val="007E28D1"/>
    <w:rsid w:val="007E2A08"/>
    <w:rsid w:val="007E37A9"/>
    <w:rsid w:val="007E37FF"/>
    <w:rsid w:val="007E3BFB"/>
    <w:rsid w:val="007E422B"/>
    <w:rsid w:val="007E4287"/>
    <w:rsid w:val="007E5153"/>
    <w:rsid w:val="007E5475"/>
    <w:rsid w:val="007E6B52"/>
    <w:rsid w:val="007E76AB"/>
    <w:rsid w:val="007E79D2"/>
    <w:rsid w:val="007E7FB5"/>
    <w:rsid w:val="007F1574"/>
    <w:rsid w:val="007F1652"/>
    <w:rsid w:val="007F16EE"/>
    <w:rsid w:val="007F180A"/>
    <w:rsid w:val="007F183E"/>
    <w:rsid w:val="007F1946"/>
    <w:rsid w:val="007F1D67"/>
    <w:rsid w:val="007F2E8D"/>
    <w:rsid w:val="007F3038"/>
    <w:rsid w:val="007F3CB5"/>
    <w:rsid w:val="007F3F8D"/>
    <w:rsid w:val="007F40E2"/>
    <w:rsid w:val="007F4699"/>
    <w:rsid w:val="007F48E2"/>
    <w:rsid w:val="007F4BD2"/>
    <w:rsid w:val="007F4F8B"/>
    <w:rsid w:val="007F5178"/>
    <w:rsid w:val="007F51CE"/>
    <w:rsid w:val="007F53B0"/>
    <w:rsid w:val="007F5AA5"/>
    <w:rsid w:val="007F5F65"/>
    <w:rsid w:val="007F5F7D"/>
    <w:rsid w:val="007F7062"/>
    <w:rsid w:val="007F730E"/>
    <w:rsid w:val="007F7DD1"/>
    <w:rsid w:val="007F7E41"/>
    <w:rsid w:val="007F7E55"/>
    <w:rsid w:val="008004D5"/>
    <w:rsid w:val="008008BF"/>
    <w:rsid w:val="00802036"/>
    <w:rsid w:val="0080252A"/>
    <w:rsid w:val="00803694"/>
    <w:rsid w:val="00803AB1"/>
    <w:rsid w:val="00803C66"/>
    <w:rsid w:val="00803F28"/>
    <w:rsid w:val="00804615"/>
    <w:rsid w:val="00804CEA"/>
    <w:rsid w:val="008055CE"/>
    <w:rsid w:val="00806082"/>
    <w:rsid w:val="0080634D"/>
    <w:rsid w:val="00806878"/>
    <w:rsid w:val="0080708D"/>
    <w:rsid w:val="00807BE9"/>
    <w:rsid w:val="00810031"/>
    <w:rsid w:val="00811BD7"/>
    <w:rsid w:val="00811E4B"/>
    <w:rsid w:val="00811EE5"/>
    <w:rsid w:val="008122B7"/>
    <w:rsid w:val="00812FC1"/>
    <w:rsid w:val="00813D9F"/>
    <w:rsid w:val="00813EB1"/>
    <w:rsid w:val="00814110"/>
    <w:rsid w:val="00814175"/>
    <w:rsid w:val="008143EA"/>
    <w:rsid w:val="008145E6"/>
    <w:rsid w:val="00815025"/>
    <w:rsid w:val="00815349"/>
    <w:rsid w:val="00815939"/>
    <w:rsid w:val="00815A92"/>
    <w:rsid w:val="00815C6A"/>
    <w:rsid w:val="00816634"/>
    <w:rsid w:val="00816795"/>
    <w:rsid w:val="00817170"/>
    <w:rsid w:val="00817202"/>
    <w:rsid w:val="00817264"/>
    <w:rsid w:val="008210DD"/>
    <w:rsid w:val="00821463"/>
    <w:rsid w:val="00821572"/>
    <w:rsid w:val="008216DD"/>
    <w:rsid w:val="00821761"/>
    <w:rsid w:val="00821A45"/>
    <w:rsid w:val="00821F51"/>
    <w:rsid w:val="00824086"/>
    <w:rsid w:val="00824431"/>
    <w:rsid w:val="00825C62"/>
    <w:rsid w:val="008260BC"/>
    <w:rsid w:val="00826456"/>
    <w:rsid w:val="008265F2"/>
    <w:rsid w:val="00826624"/>
    <w:rsid w:val="008266C8"/>
    <w:rsid w:val="00826920"/>
    <w:rsid w:val="008276B0"/>
    <w:rsid w:val="00827A97"/>
    <w:rsid w:val="00827D44"/>
    <w:rsid w:val="008301C2"/>
    <w:rsid w:val="008322E2"/>
    <w:rsid w:val="00833245"/>
    <w:rsid w:val="00833BD3"/>
    <w:rsid w:val="008341F7"/>
    <w:rsid w:val="00834A8F"/>
    <w:rsid w:val="00835CB9"/>
    <w:rsid w:val="00836B21"/>
    <w:rsid w:val="00836B63"/>
    <w:rsid w:val="00836E26"/>
    <w:rsid w:val="00836FAD"/>
    <w:rsid w:val="0083788F"/>
    <w:rsid w:val="00837921"/>
    <w:rsid w:val="008403BD"/>
    <w:rsid w:val="00840650"/>
    <w:rsid w:val="008409C0"/>
    <w:rsid w:val="00840A41"/>
    <w:rsid w:val="00840AE4"/>
    <w:rsid w:val="00840CD5"/>
    <w:rsid w:val="00840CDD"/>
    <w:rsid w:val="00840F29"/>
    <w:rsid w:val="0084108E"/>
    <w:rsid w:val="00841116"/>
    <w:rsid w:val="00841F21"/>
    <w:rsid w:val="008424ED"/>
    <w:rsid w:val="00842A74"/>
    <w:rsid w:val="00842B9C"/>
    <w:rsid w:val="008430CC"/>
    <w:rsid w:val="0084323E"/>
    <w:rsid w:val="00843403"/>
    <w:rsid w:val="00843442"/>
    <w:rsid w:val="0084350A"/>
    <w:rsid w:val="00843625"/>
    <w:rsid w:val="008438C0"/>
    <w:rsid w:val="008439E9"/>
    <w:rsid w:val="00843E4A"/>
    <w:rsid w:val="00844383"/>
    <w:rsid w:val="00844669"/>
    <w:rsid w:val="008446C4"/>
    <w:rsid w:val="00845162"/>
    <w:rsid w:val="0084516F"/>
    <w:rsid w:val="00845D5F"/>
    <w:rsid w:val="00845F97"/>
    <w:rsid w:val="00846CD7"/>
    <w:rsid w:val="00850288"/>
    <w:rsid w:val="00850ABE"/>
    <w:rsid w:val="00850D5A"/>
    <w:rsid w:val="00850EB5"/>
    <w:rsid w:val="0085113E"/>
    <w:rsid w:val="008515CE"/>
    <w:rsid w:val="00851940"/>
    <w:rsid w:val="00852AB8"/>
    <w:rsid w:val="00852C3A"/>
    <w:rsid w:val="00852E45"/>
    <w:rsid w:val="0085304B"/>
    <w:rsid w:val="008533BA"/>
    <w:rsid w:val="008537F5"/>
    <w:rsid w:val="00853CCC"/>
    <w:rsid w:val="008547B7"/>
    <w:rsid w:val="008548BE"/>
    <w:rsid w:val="008553E4"/>
    <w:rsid w:val="008558A7"/>
    <w:rsid w:val="00855C1C"/>
    <w:rsid w:val="00855D6C"/>
    <w:rsid w:val="00855DFD"/>
    <w:rsid w:val="0085602F"/>
    <w:rsid w:val="008560B4"/>
    <w:rsid w:val="00856B37"/>
    <w:rsid w:val="008573B1"/>
    <w:rsid w:val="00857C2F"/>
    <w:rsid w:val="00857C93"/>
    <w:rsid w:val="00860468"/>
    <w:rsid w:val="00861E16"/>
    <w:rsid w:val="0086221B"/>
    <w:rsid w:val="00862768"/>
    <w:rsid w:val="0086279A"/>
    <w:rsid w:val="00862AAB"/>
    <w:rsid w:val="00863F7A"/>
    <w:rsid w:val="0086431B"/>
    <w:rsid w:val="00864CC6"/>
    <w:rsid w:val="00865549"/>
    <w:rsid w:val="0086578D"/>
    <w:rsid w:val="00865A38"/>
    <w:rsid w:val="00866199"/>
    <w:rsid w:val="00866F77"/>
    <w:rsid w:val="0086717D"/>
    <w:rsid w:val="0086753C"/>
    <w:rsid w:val="008678DE"/>
    <w:rsid w:val="00867901"/>
    <w:rsid w:val="00867BBF"/>
    <w:rsid w:val="0087070C"/>
    <w:rsid w:val="008708F9"/>
    <w:rsid w:val="00871D7B"/>
    <w:rsid w:val="00872286"/>
    <w:rsid w:val="00872784"/>
    <w:rsid w:val="008727E5"/>
    <w:rsid w:val="00872B4E"/>
    <w:rsid w:val="00872FD3"/>
    <w:rsid w:val="008730CC"/>
    <w:rsid w:val="008739AA"/>
    <w:rsid w:val="0087539C"/>
    <w:rsid w:val="008760B9"/>
    <w:rsid w:val="008760D9"/>
    <w:rsid w:val="008767E7"/>
    <w:rsid w:val="008769B9"/>
    <w:rsid w:val="008769D1"/>
    <w:rsid w:val="00877EFB"/>
    <w:rsid w:val="008803A8"/>
    <w:rsid w:val="00880535"/>
    <w:rsid w:val="00880C9F"/>
    <w:rsid w:val="00880E13"/>
    <w:rsid w:val="00881795"/>
    <w:rsid w:val="0088197F"/>
    <w:rsid w:val="0088472C"/>
    <w:rsid w:val="00884A78"/>
    <w:rsid w:val="00885338"/>
    <w:rsid w:val="00885CBE"/>
    <w:rsid w:val="0088629B"/>
    <w:rsid w:val="0088667C"/>
    <w:rsid w:val="008868BC"/>
    <w:rsid w:val="00886A93"/>
    <w:rsid w:val="00886AEE"/>
    <w:rsid w:val="00887498"/>
    <w:rsid w:val="008874A3"/>
    <w:rsid w:val="00887ABA"/>
    <w:rsid w:val="00887DEB"/>
    <w:rsid w:val="00887FBF"/>
    <w:rsid w:val="00890388"/>
    <w:rsid w:val="00890797"/>
    <w:rsid w:val="0089126A"/>
    <w:rsid w:val="00891B86"/>
    <w:rsid w:val="00891C3A"/>
    <w:rsid w:val="00891C6C"/>
    <w:rsid w:val="0089277B"/>
    <w:rsid w:val="00892C8D"/>
    <w:rsid w:val="00892F9B"/>
    <w:rsid w:val="008930CA"/>
    <w:rsid w:val="00893DFF"/>
    <w:rsid w:val="00894131"/>
    <w:rsid w:val="00894150"/>
    <w:rsid w:val="00894208"/>
    <w:rsid w:val="00894743"/>
    <w:rsid w:val="008947D4"/>
    <w:rsid w:val="0089615F"/>
    <w:rsid w:val="00896196"/>
    <w:rsid w:val="0089655B"/>
    <w:rsid w:val="008A03B3"/>
    <w:rsid w:val="008A06A4"/>
    <w:rsid w:val="008A07B7"/>
    <w:rsid w:val="008A0E3A"/>
    <w:rsid w:val="008A15EE"/>
    <w:rsid w:val="008A16E9"/>
    <w:rsid w:val="008A1E77"/>
    <w:rsid w:val="008A22A0"/>
    <w:rsid w:val="008A232B"/>
    <w:rsid w:val="008A23B6"/>
    <w:rsid w:val="008A2416"/>
    <w:rsid w:val="008A24EA"/>
    <w:rsid w:val="008A3B38"/>
    <w:rsid w:val="008A3DBA"/>
    <w:rsid w:val="008A457F"/>
    <w:rsid w:val="008A4FD4"/>
    <w:rsid w:val="008A5F48"/>
    <w:rsid w:val="008A664C"/>
    <w:rsid w:val="008A67B9"/>
    <w:rsid w:val="008A699C"/>
    <w:rsid w:val="008A716F"/>
    <w:rsid w:val="008A7C65"/>
    <w:rsid w:val="008A7D2D"/>
    <w:rsid w:val="008A7F28"/>
    <w:rsid w:val="008B06E3"/>
    <w:rsid w:val="008B0BA3"/>
    <w:rsid w:val="008B0CBF"/>
    <w:rsid w:val="008B13A7"/>
    <w:rsid w:val="008B4307"/>
    <w:rsid w:val="008B50AD"/>
    <w:rsid w:val="008B5680"/>
    <w:rsid w:val="008B681D"/>
    <w:rsid w:val="008B70BA"/>
    <w:rsid w:val="008B72FB"/>
    <w:rsid w:val="008C0A29"/>
    <w:rsid w:val="008C0F18"/>
    <w:rsid w:val="008C1369"/>
    <w:rsid w:val="008C152A"/>
    <w:rsid w:val="008C1591"/>
    <w:rsid w:val="008C1CD0"/>
    <w:rsid w:val="008C203B"/>
    <w:rsid w:val="008C26DA"/>
    <w:rsid w:val="008C2823"/>
    <w:rsid w:val="008C2864"/>
    <w:rsid w:val="008C368A"/>
    <w:rsid w:val="008C3C32"/>
    <w:rsid w:val="008C3F0F"/>
    <w:rsid w:val="008C3FFA"/>
    <w:rsid w:val="008C4044"/>
    <w:rsid w:val="008C46A0"/>
    <w:rsid w:val="008C48AB"/>
    <w:rsid w:val="008C49E4"/>
    <w:rsid w:val="008C4B7F"/>
    <w:rsid w:val="008C4C4F"/>
    <w:rsid w:val="008C5AA4"/>
    <w:rsid w:val="008C5CA5"/>
    <w:rsid w:val="008C60C8"/>
    <w:rsid w:val="008C6E97"/>
    <w:rsid w:val="008C7321"/>
    <w:rsid w:val="008C79A1"/>
    <w:rsid w:val="008C7A30"/>
    <w:rsid w:val="008C7C78"/>
    <w:rsid w:val="008C7D8A"/>
    <w:rsid w:val="008D042F"/>
    <w:rsid w:val="008D0488"/>
    <w:rsid w:val="008D11BF"/>
    <w:rsid w:val="008D13B5"/>
    <w:rsid w:val="008D1759"/>
    <w:rsid w:val="008D1BFF"/>
    <w:rsid w:val="008D1DCF"/>
    <w:rsid w:val="008D1FF9"/>
    <w:rsid w:val="008D2866"/>
    <w:rsid w:val="008D2C17"/>
    <w:rsid w:val="008D2CD7"/>
    <w:rsid w:val="008D2D7B"/>
    <w:rsid w:val="008D2E5B"/>
    <w:rsid w:val="008D2E9C"/>
    <w:rsid w:val="008D3432"/>
    <w:rsid w:val="008D4060"/>
    <w:rsid w:val="008D4251"/>
    <w:rsid w:val="008D4ECD"/>
    <w:rsid w:val="008D51FF"/>
    <w:rsid w:val="008D534B"/>
    <w:rsid w:val="008D56F8"/>
    <w:rsid w:val="008D57EA"/>
    <w:rsid w:val="008D5AC8"/>
    <w:rsid w:val="008D609D"/>
    <w:rsid w:val="008D632C"/>
    <w:rsid w:val="008D6A17"/>
    <w:rsid w:val="008D78D4"/>
    <w:rsid w:val="008D7CAD"/>
    <w:rsid w:val="008E0872"/>
    <w:rsid w:val="008E1415"/>
    <w:rsid w:val="008E1AC9"/>
    <w:rsid w:val="008E22A0"/>
    <w:rsid w:val="008E2474"/>
    <w:rsid w:val="008E2554"/>
    <w:rsid w:val="008E2575"/>
    <w:rsid w:val="008E2A22"/>
    <w:rsid w:val="008E2B43"/>
    <w:rsid w:val="008E2BD3"/>
    <w:rsid w:val="008E41C4"/>
    <w:rsid w:val="008E45B2"/>
    <w:rsid w:val="008E4C66"/>
    <w:rsid w:val="008E4F68"/>
    <w:rsid w:val="008E4FD5"/>
    <w:rsid w:val="008E5AAC"/>
    <w:rsid w:val="008E6158"/>
    <w:rsid w:val="008E68D7"/>
    <w:rsid w:val="008E6C31"/>
    <w:rsid w:val="008E6EF3"/>
    <w:rsid w:val="008E7F9F"/>
    <w:rsid w:val="008F00A9"/>
    <w:rsid w:val="008F08CF"/>
    <w:rsid w:val="008F0A4C"/>
    <w:rsid w:val="008F1008"/>
    <w:rsid w:val="008F1A55"/>
    <w:rsid w:val="008F1AA2"/>
    <w:rsid w:val="008F20B7"/>
    <w:rsid w:val="008F2C41"/>
    <w:rsid w:val="008F3AA2"/>
    <w:rsid w:val="008F3CD0"/>
    <w:rsid w:val="008F3DEA"/>
    <w:rsid w:val="008F4ED4"/>
    <w:rsid w:val="008F50B5"/>
    <w:rsid w:val="008F5746"/>
    <w:rsid w:val="008F6149"/>
    <w:rsid w:val="008F64EC"/>
    <w:rsid w:val="008F6C6F"/>
    <w:rsid w:val="008F6D44"/>
    <w:rsid w:val="008F73DF"/>
    <w:rsid w:val="008F7847"/>
    <w:rsid w:val="008F7CF2"/>
    <w:rsid w:val="00900421"/>
    <w:rsid w:val="00900964"/>
    <w:rsid w:val="00901B7A"/>
    <w:rsid w:val="0090250F"/>
    <w:rsid w:val="0090254A"/>
    <w:rsid w:val="009025AA"/>
    <w:rsid w:val="00902B6C"/>
    <w:rsid w:val="00902FAD"/>
    <w:rsid w:val="009031AF"/>
    <w:rsid w:val="009042CB"/>
    <w:rsid w:val="00904408"/>
    <w:rsid w:val="00905794"/>
    <w:rsid w:val="0090580D"/>
    <w:rsid w:val="00905BF5"/>
    <w:rsid w:val="00906541"/>
    <w:rsid w:val="00907BFC"/>
    <w:rsid w:val="00907E29"/>
    <w:rsid w:val="009100E5"/>
    <w:rsid w:val="009100F1"/>
    <w:rsid w:val="0091018E"/>
    <w:rsid w:val="00910249"/>
    <w:rsid w:val="009105FE"/>
    <w:rsid w:val="00910673"/>
    <w:rsid w:val="0091087A"/>
    <w:rsid w:val="009111DC"/>
    <w:rsid w:val="009111F7"/>
    <w:rsid w:val="00911522"/>
    <w:rsid w:val="00911793"/>
    <w:rsid w:val="00911D15"/>
    <w:rsid w:val="00911EF2"/>
    <w:rsid w:val="00911F95"/>
    <w:rsid w:val="009125E7"/>
    <w:rsid w:val="00913137"/>
    <w:rsid w:val="00913138"/>
    <w:rsid w:val="009134AD"/>
    <w:rsid w:val="0091377C"/>
    <w:rsid w:val="009137BB"/>
    <w:rsid w:val="00913DAE"/>
    <w:rsid w:val="00913EC9"/>
    <w:rsid w:val="0091480A"/>
    <w:rsid w:val="00914DA5"/>
    <w:rsid w:val="00915340"/>
    <w:rsid w:val="00915D57"/>
    <w:rsid w:val="00915D73"/>
    <w:rsid w:val="009167D6"/>
    <w:rsid w:val="0091698B"/>
    <w:rsid w:val="00916C8D"/>
    <w:rsid w:val="00916D36"/>
    <w:rsid w:val="00916DF0"/>
    <w:rsid w:val="0091721D"/>
    <w:rsid w:val="00917CBE"/>
    <w:rsid w:val="00920925"/>
    <w:rsid w:val="00921258"/>
    <w:rsid w:val="00921450"/>
    <w:rsid w:val="00922326"/>
    <w:rsid w:val="009226AC"/>
    <w:rsid w:val="0092370C"/>
    <w:rsid w:val="00924993"/>
    <w:rsid w:val="00924F37"/>
    <w:rsid w:val="00924FC2"/>
    <w:rsid w:val="009250AA"/>
    <w:rsid w:val="00925C3C"/>
    <w:rsid w:val="00926230"/>
    <w:rsid w:val="0092629B"/>
    <w:rsid w:val="00926528"/>
    <w:rsid w:val="00926A89"/>
    <w:rsid w:val="00927285"/>
    <w:rsid w:val="00927B21"/>
    <w:rsid w:val="009302F2"/>
    <w:rsid w:val="0093047C"/>
    <w:rsid w:val="009305FE"/>
    <w:rsid w:val="00930F4F"/>
    <w:rsid w:val="009330C5"/>
    <w:rsid w:val="00933277"/>
    <w:rsid w:val="00933639"/>
    <w:rsid w:val="00934066"/>
    <w:rsid w:val="00934556"/>
    <w:rsid w:val="00934606"/>
    <w:rsid w:val="00934D6C"/>
    <w:rsid w:val="009350F8"/>
    <w:rsid w:val="00935AA6"/>
    <w:rsid w:val="00935FD9"/>
    <w:rsid w:val="00936FB5"/>
    <w:rsid w:val="009373BB"/>
    <w:rsid w:val="009373C6"/>
    <w:rsid w:val="009374F6"/>
    <w:rsid w:val="00937584"/>
    <w:rsid w:val="00940B22"/>
    <w:rsid w:val="00941088"/>
    <w:rsid w:val="009414B0"/>
    <w:rsid w:val="009418ED"/>
    <w:rsid w:val="00941AD2"/>
    <w:rsid w:val="0094229C"/>
    <w:rsid w:val="00942438"/>
    <w:rsid w:val="00942452"/>
    <w:rsid w:val="00942F4F"/>
    <w:rsid w:val="0094346D"/>
    <w:rsid w:val="0094347F"/>
    <w:rsid w:val="009438B2"/>
    <w:rsid w:val="00943B25"/>
    <w:rsid w:val="00943F1A"/>
    <w:rsid w:val="0094492B"/>
    <w:rsid w:val="00944C56"/>
    <w:rsid w:val="00945E65"/>
    <w:rsid w:val="00946639"/>
    <w:rsid w:val="009468E8"/>
    <w:rsid w:val="0094695E"/>
    <w:rsid w:val="00946B08"/>
    <w:rsid w:val="00947339"/>
    <w:rsid w:val="009473F6"/>
    <w:rsid w:val="00947400"/>
    <w:rsid w:val="009476AF"/>
    <w:rsid w:val="0095040D"/>
    <w:rsid w:val="009505B5"/>
    <w:rsid w:val="0095108E"/>
    <w:rsid w:val="0095131F"/>
    <w:rsid w:val="00951BF0"/>
    <w:rsid w:val="00952053"/>
    <w:rsid w:val="00952382"/>
    <w:rsid w:val="00952961"/>
    <w:rsid w:val="00952C41"/>
    <w:rsid w:val="00952FA3"/>
    <w:rsid w:val="00953145"/>
    <w:rsid w:val="00953689"/>
    <w:rsid w:val="009536DA"/>
    <w:rsid w:val="00954C34"/>
    <w:rsid w:val="00955251"/>
    <w:rsid w:val="00955605"/>
    <w:rsid w:val="009556CC"/>
    <w:rsid w:val="009557D4"/>
    <w:rsid w:val="009560EC"/>
    <w:rsid w:val="009563EC"/>
    <w:rsid w:val="00956CD3"/>
    <w:rsid w:val="009606E9"/>
    <w:rsid w:val="00960A03"/>
    <w:rsid w:val="00960EB0"/>
    <w:rsid w:val="00960EF8"/>
    <w:rsid w:val="00960F36"/>
    <w:rsid w:val="00961364"/>
    <w:rsid w:val="00961458"/>
    <w:rsid w:val="00961866"/>
    <w:rsid w:val="0096196A"/>
    <w:rsid w:val="0096232A"/>
    <w:rsid w:val="009627D7"/>
    <w:rsid w:val="009628B0"/>
    <w:rsid w:val="00962E55"/>
    <w:rsid w:val="00962F13"/>
    <w:rsid w:val="0096316E"/>
    <w:rsid w:val="009635D5"/>
    <w:rsid w:val="00963A29"/>
    <w:rsid w:val="00963E5F"/>
    <w:rsid w:val="009648A6"/>
    <w:rsid w:val="00964CD7"/>
    <w:rsid w:val="00964E9D"/>
    <w:rsid w:val="00965243"/>
    <w:rsid w:val="009654A9"/>
    <w:rsid w:val="00965F3F"/>
    <w:rsid w:val="00966126"/>
    <w:rsid w:val="00966276"/>
    <w:rsid w:val="00966596"/>
    <w:rsid w:val="00967150"/>
    <w:rsid w:val="00967152"/>
    <w:rsid w:val="00967BC1"/>
    <w:rsid w:val="009706ED"/>
    <w:rsid w:val="00970EB7"/>
    <w:rsid w:val="0097120A"/>
    <w:rsid w:val="0097142C"/>
    <w:rsid w:val="0097161F"/>
    <w:rsid w:val="00971AC8"/>
    <w:rsid w:val="00971AE1"/>
    <w:rsid w:val="00971F24"/>
    <w:rsid w:val="00972823"/>
    <w:rsid w:val="00972C69"/>
    <w:rsid w:val="009735FF"/>
    <w:rsid w:val="009739AE"/>
    <w:rsid w:val="00973D1C"/>
    <w:rsid w:val="00974BA8"/>
    <w:rsid w:val="00975323"/>
    <w:rsid w:val="00975909"/>
    <w:rsid w:val="009769DD"/>
    <w:rsid w:val="00977088"/>
    <w:rsid w:val="009775B3"/>
    <w:rsid w:val="00977880"/>
    <w:rsid w:val="00977C08"/>
    <w:rsid w:val="00977E50"/>
    <w:rsid w:val="00980368"/>
    <w:rsid w:val="00980806"/>
    <w:rsid w:val="009809BA"/>
    <w:rsid w:val="0098105E"/>
    <w:rsid w:val="009811E1"/>
    <w:rsid w:val="009813BF"/>
    <w:rsid w:val="00981512"/>
    <w:rsid w:val="00981B7A"/>
    <w:rsid w:val="00981BA6"/>
    <w:rsid w:val="009821D3"/>
    <w:rsid w:val="00982CFA"/>
    <w:rsid w:val="00982D88"/>
    <w:rsid w:val="00982EBC"/>
    <w:rsid w:val="009832C6"/>
    <w:rsid w:val="009849BA"/>
    <w:rsid w:val="00984BFB"/>
    <w:rsid w:val="00984EC5"/>
    <w:rsid w:val="0098536D"/>
    <w:rsid w:val="00985980"/>
    <w:rsid w:val="00986B41"/>
    <w:rsid w:val="00986CC4"/>
    <w:rsid w:val="00986CC9"/>
    <w:rsid w:val="0098730E"/>
    <w:rsid w:val="0099088E"/>
    <w:rsid w:val="00990A0C"/>
    <w:rsid w:val="00991039"/>
    <w:rsid w:val="009913AB"/>
    <w:rsid w:val="00991BBA"/>
    <w:rsid w:val="00991E9C"/>
    <w:rsid w:val="00992FEC"/>
    <w:rsid w:val="0099330B"/>
    <w:rsid w:val="00993794"/>
    <w:rsid w:val="00993A9D"/>
    <w:rsid w:val="00993DDC"/>
    <w:rsid w:val="009947F2"/>
    <w:rsid w:val="00994C45"/>
    <w:rsid w:val="00995BF3"/>
    <w:rsid w:val="00995D7D"/>
    <w:rsid w:val="00996119"/>
    <w:rsid w:val="0099617F"/>
    <w:rsid w:val="0099662A"/>
    <w:rsid w:val="00996EEC"/>
    <w:rsid w:val="00997581"/>
    <w:rsid w:val="009A0817"/>
    <w:rsid w:val="009A0927"/>
    <w:rsid w:val="009A1431"/>
    <w:rsid w:val="009A1CE7"/>
    <w:rsid w:val="009A2352"/>
    <w:rsid w:val="009A2D19"/>
    <w:rsid w:val="009A33F0"/>
    <w:rsid w:val="009A39F9"/>
    <w:rsid w:val="009A4752"/>
    <w:rsid w:val="009A47E6"/>
    <w:rsid w:val="009A4AA1"/>
    <w:rsid w:val="009A5069"/>
    <w:rsid w:val="009A596F"/>
    <w:rsid w:val="009A5AEC"/>
    <w:rsid w:val="009A647C"/>
    <w:rsid w:val="009A69CB"/>
    <w:rsid w:val="009A6E49"/>
    <w:rsid w:val="009A789D"/>
    <w:rsid w:val="009B0873"/>
    <w:rsid w:val="009B0FF0"/>
    <w:rsid w:val="009B3911"/>
    <w:rsid w:val="009B399F"/>
    <w:rsid w:val="009B3AD2"/>
    <w:rsid w:val="009B4060"/>
    <w:rsid w:val="009B4893"/>
    <w:rsid w:val="009B4DD7"/>
    <w:rsid w:val="009B58CE"/>
    <w:rsid w:val="009B5DB1"/>
    <w:rsid w:val="009B6E5B"/>
    <w:rsid w:val="009B6F15"/>
    <w:rsid w:val="009B7226"/>
    <w:rsid w:val="009B7C92"/>
    <w:rsid w:val="009C0E23"/>
    <w:rsid w:val="009C1560"/>
    <w:rsid w:val="009C1DBF"/>
    <w:rsid w:val="009C1F60"/>
    <w:rsid w:val="009C22CB"/>
    <w:rsid w:val="009C2AEF"/>
    <w:rsid w:val="009C2D31"/>
    <w:rsid w:val="009C33E5"/>
    <w:rsid w:val="009C4451"/>
    <w:rsid w:val="009C4C8A"/>
    <w:rsid w:val="009C5422"/>
    <w:rsid w:val="009C6002"/>
    <w:rsid w:val="009C61AA"/>
    <w:rsid w:val="009C633C"/>
    <w:rsid w:val="009C70FC"/>
    <w:rsid w:val="009C734F"/>
    <w:rsid w:val="009C7755"/>
    <w:rsid w:val="009C786B"/>
    <w:rsid w:val="009C7EBD"/>
    <w:rsid w:val="009C7F8A"/>
    <w:rsid w:val="009D06FB"/>
    <w:rsid w:val="009D1089"/>
    <w:rsid w:val="009D18B5"/>
    <w:rsid w:val="009D211A"/>
    <w:rsid w:val="009D21C8"/>
    <w:rsid w:val="009D2281"/>
    <w:rsid w:val="009D2BAD"/>
    <w:rsid w:val="009D2D3C"/>
    <w:rsid w:val="009D32C8"/>
    <w:rsid w:val="009D3428"/>
    <w:rsid w:val="009D444C"/>
    <w:rsid w:val="009D48DF"/>
    <w:rsid w:val="009D4B79"/>
    <w:rsid w:val="009D5670"/>
    <w:rsid w:val="009D5738"/>
    <w:rsid w:val="009D6165"/>
    <w:rsid w:val="009D6665"/>
    <w:rsid w:val="009D69D8"/>
    <w:rsid w:val="009D6BA5"/>
    <w:rsid w:val="009D7A5D"/>
    <w:rsid w:val="009E125C"/>
    <w:rsid w:val="009E1362"/>
    <w:rsid w:val="009E18F1"/>
    <w:rsid w:val="009E1D16"/>
    <w:rsid w:val="009E252D"/>
    <w:rsid w:val="009E269B"/>
    <w:rsid w:val="009E3305"/>
    <w:rsid w:val="009E49E7"/>
    <w:rsid w:val="009E4BDF"/>
    <w:rsid w:val="009E56A4"/>
    <w:rsid w:val="009E56A7"/>
    <w:rsid w:val="009E5AA6"/>
    <w:rsid w:val="009E5E0B"/>
    <w:rsid w:val="009E7A13"/>
    <w:rsid w:val="009F0211"/>
    <w:rsid w:val="009F0451"/>
    <w:rsid w:val="009F0A1E"/>
    <w:rsid w:val="009F15B4"/>
    <w:rsid w:val="009F15F9"/>
    <w:rsid w:val="009F1C20"/>
    <w:rsid w:val="009F2FDE"/>
    <w:rsid w:val="009F3926"/>
    <w:rsid w:val="009F399A"/>
    <w:rsid w:val="009F3C95"/>
    <w:rsid w:val="009F3CE8"/>
    <w:rsid w:val="009F4346"/>
    <w:rsid w:val="009F462D"/>
    <w:rsid w:val="009F4BAA"/>
    <w:rsid w:val="009F4C4C"/>
    <w:rsid w:val="009F4DD5"/>
    <w:rsid w:val="009F5B13"/>
    <w:rsid w:val="009F6AE9"/>
    <w:rsid w:val="009F6DFB"/>
    <w:rsid w:val="009F6F05"/>
    <w:rsid w:val="009F6F07"/>
    <w:rsid w:val="009F72B3"/>
    <w:rsid w:val="009F76F6"/>
    <w:rsid w:val="00A00ABB"/>
    <w:rsid w:val="00A00C76"/>
    <w:rsid w:val="00A01092"/>
    <w:rsid w:val="00A0135B"/>
    <w:rsid w:val="00A01499"/>
    <w:rsid w:val="00A0187A"/>
    <w:rsid w:val="00A02833"/>
    <w:rsid w:val="00A02F68"/>
    <w:rsid w:val="00A04313"/>
    <w:rsid w:val="00A0476C"/>
    <w:rsid w:val="00A04B3B"/>
    <w:rsid w:val="00A051DD"/>
    <w:rsid w:val="00A056A7"/>
    <w:rsid w:val="00A06BCF"/>
    <w:rsid w:val="00A06C0B"/>
    <w:rsid w:val="00A075D7"/>
    <w:rsid w:val="00A10A2A"/>
    <w:rsid w:val="00A114EA"/>
    <w:rsid w:val="00A11559"/>
    <w:rsid w:val="00A12002"/>
    <w:rsid w:val="00A124A5"/>
    <w:rsid w:val="00A12624"/>
    <w:rsid w:val="00A12676"/>
    <w:rsid w:val="00A129FD"/>
    <w:rsid w:val="00A12ADE"/>
    <w:rsid w:val="00A1396E"/>
    <w:rsid w:val="00A1440D"/>
    <w:rsid w:val="00A14626"/>
    <w:rsid w:val="00A14F18"/>
    <w:rsid w:val="00A15019"/>
    <w:rsid w:val="00A165D5"/>
    <w:rsid w:val="00A16D73"/>
    <w:rsid w:val="00A16FB9"/>
    <w:rsid w:val="00A17515"/>
    <w:rsid w:val="00A179A9"/>
    <w:rsid w:val="00A17F9E"/>
    <w:rsid w:val="00A20026"/>
    <w:rsid w:val="00A2138F"/>
    <w:rsid w:val="00A2187B"/>
    <w:rsid w:val="00A21908"/>
    <w:rsid w:val="00A21CDA"/>
    <w:rsid w:val="00A21FBA"/>
    <w:rsid w:val="00A22AC6"/>
    <w:rsid w:val="00A2318C"/>
    <w:rsid w:val="00A23707"/>
    <w:rsid w:val="00A23872"/>
    <w:rsid w:val="00A23A0C"/>
    <w:rsid w:val="00A244D6"/>
    <w:rsid w:val="00A24517"/>
    <w:rsid w:val="00A24DE3"/>
    <w:rsid w:val="00A24EE6"/>
    <w:rsid w:val="00A251B6"/>
    <w:rsid w:val="00A2548F"/>
    <w:rsid w:val="00A257E8"/>
    <w:rsid w:val="00A25ECA"/>
    <w:rsid w:val="00A26024"/>
    <w:rsid w:val="00A26A85"/>
    <w:rsid w:val="00A26D0C"/>
    <w:rsid w:val="00A27061"/>
    <w:rsid w:val="00A2748A"/>
    <w:rsid w:val="00A27D74"/>
    <w:rsid w:val="00A315D8"/>
    <w:rsid w:val="00A316A0"/>
    <w:rsid w:val="00A317D4"/>
    <w:rsid w:val="00A31946"/>
    <w:rsid w:val="00A32007"/>
    <w:rsid w:val="00A324E2"/>
    <w:rsid w:val="00A32567"/>
    <w:rsid w:val="00A32946"/>
    <w:rsid w:val="00A32BB1"/>
    <w:rsid w:val="00A32E51"/>
    <w:rsid w:val="00A333F9"/>
    <w:rsid w:val="00A3381A"/>
    <w:rsid w:val="00A33AD8"/>
    <w:rsid w:val="00A34201"/>
    <w:rsid w:val="00A3528E"/>
    <w:rsid w:val="00A3654B"/>
    <w:rsid w:val="00A367E7"/>
    <w:rsid w:val="00A37433"/>
    <w:rsid w:val="00A377B7"/>
    <w:rsid w:val="00A4008A"/>
    <w:rsid w:val="00A40F55"/>
    <w:rsid w:val="00A41248"/>
    <w:rsid w:val="00A414A4"/>
    <w:rsid w:val="00A41731"/>
    <w:rsid w:val="00A41F03"/>
    <w:rsid w:val="00A42261"/>
    <w:rsid w:val="00A42392"/>
    <w:rsid w:val="00A42495"/>
    <w:rsid w:val="00A425E5"/>
    <w:rsid w:val="00A42C30"/>
    <w:rsid w:val="00A42C39"/>
    <w:rsid w:val="00A433EF"/>
    <w:rsid w:val="00A43A7A"/>
    <w:rsid w:val="00A44A01"/>
    <w:rsid w:val="00A44EE6"/>
    <w:rsid w:val="00A461EF"/>
    <w:rsid w:val="00A4620B"/>
    <w:rsid w:val="00A463B7"/>
    <w:rsid w:val="00A476FC"/>
    <w:rsid w:val="00A4790A"/>
    <w:rsid w:val="00A47DE5"/>
    <w:rsid w:val="00A47EDD"/>
    <w:rsid w:val="00A47F92"/>
    <w:rsid w:val="00A5023B"/>
    <w:rsid w:val="00A506AD"/>
    <w:rsid w:val="00A50995"/>
    <w:rsid w:val="00A50BFD"/>
    <w:rsid w:val="00A52201"/>
    <w:rsid w:val="00A5234A"/>
    <w:rsid w:val="00A53617"/>
    <w:rsid w:val="00A53697"/>
    <w:rsid w:val="00A56360"/>
    <w:rsid w:val="00A5655B"/>
    <w:rsid w:val="00A56624"/>
    <w:rsid w:val="00A57BD1"/>
    <w:rsid w:val="00A57D7C"/>
    <w:rsid w:val="00A6077C"/>
    <w:rsid w:val="00A61306"/>
    <w:rsid w:val="00A6181C"/>
    <w:rsid w:val="00A62253"/>
    <w:rsid w:val="00A62DDF"/>
    <w:rsid w:val="00A62E27"/>
    <w:rsid w:val="00A62F4A"/>
    <w:rsid w:val="00A63750"/>
    <w:rsid w:val="00A63B08"/>
    <w:rsid w:val="00A63DB9"/>
    <w:rsid w:val="00A640BF"/>
    <w:rsid w:val="00A641AA"/>
    <w:rsid w:val="00A6550A"/>
    <w:rsid w:val="00A66819"/>
    <w:rsid w:val="00A672A1"/>
    <w:rsid w:val="00A67515"/>
    <w:rsid w:val="00A6757A"/>
    <w:rsid w:val="00A71287"/>
    <w:rsid w:val="00A7148A"/>
    <w:rsid w:val="00A718DF"/>
    <w:rsid w:val="00A71DF6"/>
    <w:rsid w:val="00A71F3A"/>
    <w:rsid w:val="00A7208A"/>
    <w:rsid w:val="00A728F3"/>
    <w:rsid w:val="00A7309F"/>
    <w:rsid w:val="00A737E4"/>
    <w:rsid w:val="00A7439D"/>
    <w:rsid w:val="00A7462A"/>
    <w:rsid w:val="00A746CD"/>
    <w:rsid w:val="00A74FE1"/>
    <w:rsid w:val="00A75433"/>
    <w:rsid w:val="00A7544F"/>
    <w:rsid w:val="00A75511"/>
    <w:rsid w:val="00A76A7E"/>
    <w:rsid w:val="00A76F0D"/>
    <w:rsid w:val="00A7753C"/>
    <w:rsid w:val="00A77955"/>
    <w:rsid w:val="00A80A16"/>
    <w:rsid w:val="00A80FB1"/>
    <w:rsid w:val="00A81432"/>
    <w:rsid w:val="00A816F2"/>
    <w:rsid w:val="00A81994"/>
    <w:rsid w:val="00A8358B"/>
    <w:rsid w:val="00A836C1"/>
    <w:rsid w:val="00A83B28"/>
    <w:rsid w:val="00A8401D"/>
    <w:rsid w:val="00A842E5"/>
    <w:rsid w:val="00A84667"/>
    <w:rsid w:val="00A86ADF"/>
    <w:rsid w:val="00A86B9B"/>
    <w:rsid w:val="00A8766F"/>
    <w:rsid w:val="00A87B62"/>
    <w:rsid w:val="00A90E02"/>
    <w:rsid w:val="00A91534"/>
    <w:rsid w:val="00A9171F"/>
    <w:rsid w:val="00A919E9"/>
    <w:rsid w:val="00A930E9"/>
    <w:rsid w:val="00A94407"/>
    <w:rsid w:val="00A94AC5"/>
    <w:rsid w:val="00A94FD3"/>
    <w:rsid w:val="00A950DD"/>
    <w:rsid w:val="00A95CE0"/>
    <w:rsid w:val="00A95E92"/>
    <w:rsid w:val="00A96BD2"/>
    <w:rsid w:val="00A96EC4"/>
    <w:rsid w:val="00A96EE9"/>
    <w:rsid w:val="00A96EFE"/>
    <w:rsid w:val="00AA01F5"/>
    <w:rsid w:val="00AA0FC3"/>
    <w:rsid w:val="00AA21E3"/>
    <w:rsid w:val="00AA22CA"/>
    <w:rsid w:val="00AA23C0"/>
    <w:rsid w:val="00AA28ED"/>
    <w:rsid w:val="00AA2BCF"/>
    <w:rsid w:val="00AA3175"/>
    <w:rsid w:val="00AA3848"/>
    <w:rsid w:val="00AA42D5"/>
    <w:rsid w:val="00AA4667"/>
    <w:rsid w:val="00AA4A44"/>
    <w:rsid w:val="00AA557E"/>
    <w:rsid w:val="00AA5871"/>
    <w:rsid w:val="00AA58E8"/>
    <w:rsid w:val="00AA5D03"/>
    <w:rsid w:val="00AA6907"/>
    <w:rsid w:val="00AA7024"/>
    <w:rsid w:val="00AA7D96"/>
    <w:rsid w:val="00AB0787"/>
    <w:rsid w:val="00AB0E42"/>
    <w:rsid w:val="00AB178C"/>
    <w:rsid w:val="00AB1A31"/>
    <w:rsid w:val="00AB1B53"/>
    <w:rsid w:val="00AB1CF8"/>
    <w:rsid w:val="00AB1CFE"/>
    <w:rsid w:val="00AB327E"/>
    <w:rsid w:val="00AB3A52"/>
    <w:rsid w:val="00AB3E74"/>
    <w:rsid w:val="00AB400C"/>
    <w:rsid w:val="00AB419A"/>
    <w:rsid w:val="00AB4E14"/>
    <w:rsid w:val="00AB547C"/>
    <w:rsid w:val="00AB6056"/>
    <w:rsid w:val="00AB6332"/>
    <w:rsid w:val="00AB691A"/>
    <w:rsid w:val="00AB6F5A"/>
    <w:rsid w:val="00AB75AF"/>
    <w:rsid w:val="00AB780B"/>
    <w:rsid w:val="00AC074F"/>
    <w:rsid w:val="00AC0D65"/>
    <w:rsid w:val="00AC1575"/>
    <w:rsid w:val="00AC16D9"/>
    <w:rsid w:val="00AC1AAF"/>
    <w:rsid w:val="00AC1F12"/>
    <w:rsid w:val="00AC246B"/>
    <w:rsid w:val="00AC246E"/>
    <w:rsid w:val="00AC25A2"/>
    <w:rsid w:val="00AC2D41"/>
    <w:rsid w:val="00AC2E5B"/>
    <w:rsid w:val="00AC39EA"/>
    <w:rsid w:val="00AC3B11"/>
    <w:rsid w:val="00AC44B0"/>
    <w:rsid w:val="00AC47B6"/>
    <w:rsid w:val="00AC55CF"/>
    <w:rsid w:val="00AC5644"/>
    <w:rsid w:val="00AC635A"/>
    <w:rsid w:val="00AC666D"/>
    <w:rsid w:val="00AC6AF7"/>
    <w:rsid w:val="00AD0B9C"/>
    <w:rsid w:val="00AD0C16"/>
    <w:rsid w:val="00AD13A6"/>
    <w:rsid w:val="00AD156A"/>
    <w:rsid w:val="00AD17EF"/>
    <w:rsid w:val="00AD2147"/>
    <w:rsid w:val="00AD33D8"/>
    <w:rsid w:val="00AD398A"/>
    <w:rsid w:val="00AD3C02"/>
    <w:rsid w:val="00AD4150"/>
    <w:rsid w:val="00AD4346"/>
    <w:rsid w:val="00AD47D5"/>
    <w:rsid w:val="00AD48DA"/>
    <w:rsid w:val="00AD4E67"/>
    <w:rsid w:val="00AD54CA"/>
    <w:rsid w:val="00AD5612"/>
    <w:rsid w:val="00AD583A"/>
    <w:rsid w:val="00AD6071"/>
    <w:rsid w:val="00AD7039"/>
    <w:rsid w:val="00AD7070"/>
    <w:rsid w:val="00AD791E"/>
    <w:rsid w:val="00AE023C"/>
    <w:rsid w:val="00AE0337"/>
    <w:rsid w:val="00AE03DB"/>
    <w:rsid w:val="00AE0883"/>
    <w:rsid w:val="00AE12EB"/>
    <w:rsid w:val="00AE1435"/>
    <w:rsid w:val="00AE1D35"/>
    <w:rsid w:val="00AE1DCD"/>
    <w:rsid w:val="00AE1FBE"/>
    <w:rsid w:val="00AE20E7"/>
    <w:rsid w:val="00AE2537"/>
    <w:rsid w:val="00AE3A28"/>
    <w:rsid w:val="00AE3B49"/>
    <w:rsid w:val="00AE3B64"/>
    <w:rsid w:val="00AE42BB"/>
    <w:rsid w:val="00AE5273"/>
    <w:rsid w:val="00AE61AD"/>
    <w:rsid w:val="00AE6560"/>
    <w:rsid w:val="00AE7334"/>
    <w:rsid w:val="00AE78B9"/>
    <w:rsid w:val="00AE7A01"/>
    <w:rsid w:val="00AF031F"/>
    <w:rsid w:val="00AF03D2"/>
    <w:rsid w:val="00AF06DF"/>
    <w:rsid w:val="00AF0840"/>
    <w:rsid w:val="00AF133B"/>
    <w:rsid w:val="00AF19CA"/>
    <w:rsid w:val="00AF41BB"/>
    <w:rsid w:val="00AF4DF8"/>
    <w:rsid w:val="00AF51AE"/>
    <w:rsid w:val="00AF51C5"/>
    <w:rsid w:val="00AF54B9"/>
    <w:rsid w:val="00AF6008"/>
    <w:rsid w:val="00AF62CC"/>
    <w:rsid w:val="00AF689F"/>
    <w:rsid w:val="00AF6975"/>
    <w:rsid w:val="00B003D5"/>
    <w:rsid w:val="00B007E6"/>
    <w:rsid w:val="00B00ED2"/>
    <w:rsid w:val="00B014B1"/>
    <w:rsid w:val="00B01FEE"/>
    <w:rsid w:val="00B02B62"/>
    <w:rsid w:val="00B02CBD"/>
    <w:rsid w:val="00B038A6"/>
    <w:rsid w:val="00B04C36"/>
    <w:rsid w:val="00B04CC2"/>
    <w:rsid w:val="00B04CD0"/>
    <w:rsid w:val="00B051E4"/>
    <w:rsid w:val="00B0531E"/>
    <w:rsid w:val="00B056DB"/>
    <w:rsid w:val="00B0593C"/>
    <w:rsid w:val="00B05FCF"/>
    <w:rsid w:val="00B065A9"/>
    <w:rsid w:val="00B06C05"/>
    <w:rsid w:val="00B06E32"/>
    <w:rsid w:val="00B0769B"/>
    <w:rsid w:val="00B079E1"/>
    <w:rsid w:val="00B07C2C"/>
    <w:rsid w:val="00B07DE5"/>
    <w:rsid w:val="00B10C31"/>
    <w:rsid w:val="00B10EF9"/>
    <w:rsid w:val="00B10F99"/>
    <w:rsid w:val="00B112D7"/>
    <w:rsid w:val="00B11316"/>
    <w:rsid w:val="00B1183A"/>
    <w:rsid w:val="00B125FA"/>
    <w:rsid w:val="00B128F3"/>
    <w:rsid w:val="00B12940"/>
    <w:rsid w:val="00B12D23"/>
    <w:rsid w:val="00B130B7"/>
    <w:rsid w:val="00B1354D"/>
    <w:rsid w:val="00B14590"/>
    <w:rsid w:val="00B145D4"/>
    <w:rsid w:val="00B147B7"/>
    <w:rsid w:val="00B14CAC"/>
    <w:rsid w:val="00B14D01"/>
    <w:rsid w:val="00B14E60"/>
    <w:rsid w:val="00B1541D"/>
    <w:rsid w:val="00B1569D"/>
    <w:rsid w:val="00B15817"/>
    <w:rsid w:val="00B15CD1"/>
    <w:rsid w:val="00B160D5"/>
    <w:rsid w:val="00B1619B"/>
    <w:rsid w:val="00B16298"/>
    <w:rsid w:val="00B166D1"/>
    <w:rsid w:val="00B16905"/>
    <w:rsid w:val="00B17516"/>
    <w:rsid w:val="00B179C5"/>
    <w:rsid w:val="00B17A17"/>
    <w:rsid w:val="00B17BE5"/>
    <w:rsid w:val="00B17D2D"/>
    <w:rsid w:val="00B211EC"/>
    <w:rsid w:val="00B216C1"/>
    <w:rsid w:val="00B2195F"/>
    <w:rsid w:val="00B221D6"/>
    <w:rsid w:val="00B232B9"/>
    <w:rsid w:val="00B23490"/>
    <w:rsid w:val="00B235C6"/>
    <w:rsid w:val="00B23FFA"/>
    <w:rsid w:val="00B24752"/>
    <w:rsid w:val="00B248ED"/>
    <w:rsid w:val="00B258EB"/>
    <w:rsid w:val="00B25CB8"/>
    <w:rsid w:val="00B26684"/>
    <w:rsid w:val="00B301AA"/>
    <w:rsid w:val="00B302AF"/>
    <w:rsid w:val="00B30A1D"/>
    <w:rsid w:val="00B30BAE"/>
    <w:rsid w:val="00B30F7E"/>
    <w:rsid w:val="00B31CD6"/>
    <w:rsid w:val="00B32891"/>
    <w:rsid w:val="00B32D32"/>
    <w:rsid w:val="00B32EFB"/>
    <w:rsid w:val="00B333D1"/>
    <w:rsid w:val="00B33E9C"/>
    <w:rsid w:val="00B346D6"/>
    <w:rsid w:val="00B34E4E"/>
    <w:rsid w:val="00B352C5"/>
    <w:rsid w:val="00B360E2"/>
    <w:rsid w:val="00B36463"/>
    <w:rsid w:val="00B36828"/>
    <w:rsid w:val="00B36B17"/>
    <w:rsid w:val="00B36E8D"/>
    <w:rsid w:val="00B37412"/>
    <w:rsid w:val="00B379DA"/>
    <w:rsid w:val="00B40074"/>
    <w:rsid w:val="00B41176"/>
    <w:rsid w:val="00B42D71"/>
    <w:rsid w:val="00B42DF2"/>
    <w:rsid w:val="00B42E6A"/>
    <w:rsid w:val="00B43148"/>
    <w:rsid w:val="00B432BA"/>
    <w:rsid w:val="00B4354F"/>
    <w:rsid w:val="00B4368C"/>
    <w:rsid w:val="00B43B1C"/>
    <w:rsid w:val="00B447A2"/>
    <w:rsid w:val="00B44F5F"/>
    <w:rsid w:val="00B4572D"/>
    <w:rsid w:val="00B45C79"/>
    <w:rsid w:val="00B45DA5"/>
    <w:rsid w:val="00B46BA1"/>
    <w:rsid w:val="00B46C89"/>
    <w:rsid w:val="00B47B0C"/>
    <w:rsid w:val="00B47C69"/>
    <w:rsid w:val="00B50252"/>
    <w:rsid w:val="00B509D1"/>
    <w:rsid w:val="00B5294A"/>
    <w:rsid w:val="00B52F96"/>
    <w:rsid w:val="00B5345D"/>
    <w:rsid w:val="00B537B3"/>
    <w:rsid w:val="00B5383F"/>
    <w:rsid w:val="00B53A3E"/>
    <w:rsid w:val="00B54476"/>
    <w:rsid w:val="00B54C71"/>
    <w:rsid w:val="00B54DB6"/>
    <w:rsid w:val="00B54FC0"/>
    <w:rsid w:val="00B55B67"/>
    <w:rsid w:val="00B55FE3"/>
    <w:rsid w:val="00B56761"/>
    <w:rsid w:val="00B567DD"/>
    <w:rsid w:val="00B56860"/>
    <w:rsid w:val="00B56A88"/>
    <w:rsid w:val="00B56C2E"/>
    <w:rsid w:val="00B56E14"/>
    <w:rsid w:val="00B56FB7"/>
    <w:rsid w:val="00B57103"/>
    <w:rsid w:val="00B57798"/>
    <w:rsid w:val="00B57C22"/>
    <w:rsid w:val="00B57C82"/>
    <w:rsid w:val="00B60712"/>
    <w:rsid w:val="00B607C0"/>
    <w:rsid w:val="00B607F4"/>
    <w:rsid w:val="00B60DFD"/>
    <w:rsid w:val="00B616C2"/>
    <w:rsid w:val="00B61F82"/>
    <w:rsid w:val="00B62218"/>
    <w:rsid w:val="00B62613"/>
    <w:rsid w:val="00B632B8"/>
    <w:rsid w:val="00B63F39"/>
    <w:rsid w:val="00B651BA"/>
    <w:rsid w:val="00B65593"/>
    <w:rsid w:val="00B6567B"/>
    <w:rsid w:val="00B65C0A"/>
    <w:rsid w:val="00B65D8B"/>
    <w:rsid w:val="00B65E5B"/>
    <w:rsid w:val="00B66760"/>
    <w:rsid w:val="00B6693A"/>
    <w:rsid w:val="00B67AC7"/>
    <w:rsid w:val="00B67B0C"/>
    <w:rsid w:val="00B67DE0"/>
    <w:rsid w:val="00B70239"/>
    <w:rsid w:val="00B7075E"/>
    <w:rsid w:val="00B7078E"/>
    <w:rsid w:val="00B70B9C"/>
    <w:rsid w:val="00B70E0B"/>
    <w:rsid w:val="00B7133D"/>
    <w:rsid w:val="00B7187A"/>
    <w:rsid w:val="00B719D8"/>
    <w:rsid w:val="00B71BB3"/>
    <w:rsid w:val="00B71C14"/>
    <w:rsid w:val="00B72468"/>
    <w:rsid w:val="00B72654"/>
    <w:rsid w:val="00B729EB"/>
    <w:rsid w:val="00B72ECA"/>
    <w:rsid w:val="00B7316D"/>
    <w:rsid w:val="00B734FA"/>
    <w:rsid w:val="00B73658"/>
    <w:rsid w:val="00B738C7"/>
    <w:rsid w:val="00B73DAC"/>
    <w:rsid w:val="00B73FCC"/>
    <w:rsid w:val="00B74468"/>
    <w:rsid w:val="00B747F3"/>
    <w:rsid w:val="00B74EB5"/>
    <w:rsid w:val="00B75EFD"/>
    <w:rsid w:val="00B7611A"/>
    <w:rsid w:val="00B76329"/>
    <w:rsid w:val="00B7670E"/>
    <w:rsid w:val="00B76728"/>
    <w:rsid w:val="00B7676F"/>
    <w:rsid w:val="00B76C23"/>
    <w:rsid w:val="00B800A7"/>
    <w:rsid w:val="00B801F8"/>
    <w:rsid w:val="00B808C9"/>
    <w:rsid w:val="00B80B32"/>
    <w:rsid w:val="00B80DFE"/>
    <w:rsid w:val="00B8183A"/>
    <w:rsid w:val="00B81C2C"/>
    <w:rsid w:val="00B825D7"/>
    <w:rsid w:val="00B82C77"/>
    <w:rsid w:val="00B8357F"/>
    <w:rsid w:val="00B8403C"/>
    <w:rsid w:val="00B84739"/>
    <w:rsid w:val="00B84E1A"/>
    <w:rsid w:val="00B85026"/>
    <w:rsid w:val="00B8519A"/>
    <w:rsid w:val="00B852B8"/>
    <w:rsid w:val="00B852EF"/>
    <w:rsid w:val="00B85457"/>
    <w:rsid w:val="00B85B2D"/>
    <w:rsid w:val="00B86FA3"/>
    <w:rsid w:val="00B875C1"/>
    <w:rsid w:val="00B87973"/>
    <w:rsid w:val="00B87B7B"/>
    <w:rsid w:val="00B90168"/>
    <w:rsid w:val="00B91C62"/>
    <w:rsid w:val="00B91D99"/>
    <w:rsid w:val="00B91EC2"/>
    <w:rsid w:val="00B93DA5"/>
    <w:rsid w:val="00B9410C"/>
    <w:rsid w:val="00B951BF"/>
    <w:rsid w:val="00B95233"/>
    <w:rsid w:val="00B954DC"/>
    <w:rsid w:val="00B95630"/>
    <w:rsid w:val="00B9584A"/>
    <w:rsid w:val="00B95C5F"/>
    <w:rsid w:val="00B95CDF"/>
    <w:rsid w:val="00B967EF"/>
    <w:rsid w:val="00B96966"/>
    <w:rsid w:val="00B96D69"/>
    <w:rsid w:val="00B9735C"/>
    <w:rsid w:val="00BA0B3F"/>
    <w:rsid w:val="00BA0CB8"/>
    <w:rsid w:val="00BA0ECC"/>
    <w:rsid w:val="00BA1F88"/>
    <w:rsid w:val="00BA2B15"/>
    <w:rsid w:val="00BA33DB"/>
    <w:rsid w:val="00BA3533"/>
    <w:rsid w:val="00BA37CC"/>
    <w:rsid w:val="00BA3AC2"/>
    <w:rsid w:val="00BA41B1"/>
    <w:rsid w:val="00BA41BA"/>
    <w:rsid w:val="00BA4EA3"/>
    <w:rsid w:val="00BA4FE1"/>
    <w:rsid w:val="00BA5278"/>
    <w:rsid w:val="00BA52CE"/>
    <w:rsid w:val="00BA5600"/>
    <w:rsid w:val="00BA570E"/>
    <w:rsid w:val="00BA5CB1"/>
    <w:rsid w:val="00BA6404"/>
    <w:rsid w:val="00BA6A90"/>
    <w:rsid w:val="00BA7043"/>
    <w:rsid w:val="00BA799B"/>
    <w:rsid w:val="00BB0298"/>
    <w:rsid w:val="00BB116E"/>
    <w:rsid w:val="00BB1B6C"/>
    <w:rsid w:val="00BB2768"/>
    <w:rsid w:val="00BB294B"/>
    <w:rsid w:val="00BB2AB7"/>
    <w:rsid w:val="00BB3081"/>
    <w:rsid w:val="00BB311D"/>
    <w:rsid w:val="00BB315A"/>
    <w:rsid w:val="00BB3D00"/>
    <w:rsid w:val="00BB4721"/>
    <w:rsid w:val="00BB4B55"/>
    <w:rsid w:val="00BB6070"/>
    <w:rsid w:val="00BB62E8"/>
    <w:rsid w:val="00BB68EB"/>
    <w:rsid w:val="00BB6976"/>
    <w:rsid w:val="00BB6AC1"/>
    <w:rsid w:val="00BB7288"/>
    <w:rsid w:val="00BB757B"/>
    <w:rsid w:val="00BB78BD"/>
    <w:rsid w:val="00BB7C9E"/>
    <w:rsid w:val="00BC10E1"/>
    <w:rsid w:val="00BC2AAB"/>
    <w:rsid w:val="00BC3AA4"/>
    <w:rsid w:val="00BC3BD7"/>
    <w:rsid w:val="00BC417B"/>
    <w:rsid w:val="00BC4343"/>
    <w:rsid w:val="00BC57DF"/>
    <w:rsid w:val="00BC5F0C"/>
    <w:rsid w:val="00BC5FBE"/>
    <w:rsid w:val="00BC614C"/>
    <w:rsid w:val="00BC6B01"/>
    <w:rsid w:val="00BC7169"/>
    <w:rsid w:val="00BC74FC"/>
    <w:rsid w:val="00BC79B1"/>
    <w:rsid w:val="00BC79F9"/>
    <w:rsid w:val="00BC7B72"/>
    <w:rsid w:val="00BD02D2"/>
    <w:rsid w:val="00BD04AE"/>
    <w:rsid w:val="00BD080D"/>
    <w:rsid w:val="00BD0C2C"/>
    <w:rsid w:val="00BD1685"/>
    <w:rsid w:val="00BD1712"/>
    <w:rsid w:val="00BD1CAC"/>
    <w:rsid w:val="00BD2291"/>
    <w:rsid w:val="00BD2A20"/>
    <w:rsid w:val="00BD2FDF"/>
    <w:rsid w:val="00BD387A"/>
    <w:rsid w:val="00BD394A"/>
    <w:rsid w:val="00BD3EF4"/>
    <w:rsid w:val="00BD3F6E"/>
    <w:rsid w:val="00BD42B5"/>
    <w:rsid w:val="00BD4476"/>
    <w:rsid w:val="00BD46BC"/>
    <w:rsid w:val="00BD46C3"/>
    <w:rsid w:val="00BD5C9A"/>
    <w:rsid w:val="00BD60C6"/>
    <w:rsid w:val="00BD6426"/>
    <w:rsid w:val="00BD6CC7"/>
    <w:rsid w:val="00BD779E"/>
    <w:rsid w:val="00BE0481"/>
    <w:rsid w:val="00BE0669"/>
    <w:rsid w:val="00BE0770"/>
    <w:rsid w:val="00BE0825"/>
    <w:rsid w:val="00BE0D92"/>
    <w:rsid w:val="00BE120C"/>
    <w:rsid w:val="00BE1727"/>
    <w:rsid w:val="00BE1A6B"/>
    <w:rsid w:val="00BE1FF3"/>
    <w:rsid w:val="00BE302D"/>
    <w:rsid w:val="00BE3104"/>
    <w:rsid w:val="00BE312F"/>
    <w:rsid w:val="00BE36CB"/>
    <w:rsid w:val="00BE3960"/>
    <w:rsid w:val="00BE4F0F"/>
    <w:rsid w:val="00BE56BB"/>
    <w:rsid w:val="00BE58EF"/>
    <w:rsid w:val="00BE5A9A"/>
    <w:rsid w:val="00BE6588"/>
    <w:rsid w:val="00BE65D8"/>
    <w:rsid w:val="00BE7169"/>
    <w:rsid w:val="00BE71DC"/>
    <w:rsid w:val="00BE721D"/>
    <w:rsid w:val="00BE7EDD"/>
    <w:rsid w:val="00BE7F33"/>
    <w:rsid w:val="00BF01A9"/>
    <w:rsid w:val="00BF05FE"/>
    <w:rsid w:val="00BF0A8D"/>
    <w:rsid w:val="00BF0FC9"/>
    <w:rsid w:val="00BF23AD"/>
    <w:rsid w:val="00BF2540"/>
    <w:rsid w:val="00BF32DB"/>
    <w:rsid w:val="00BF375B"/>
    <w:rsid w:val="00BF3EF5"/>
    <w:rsid w:val="00BF401A"/>
    <w:rsid w:val="00BF45E5"/>
    <w:rsid w:val="00BF4CAD"/>
    <w:rsid w:val="00BF670D"/>
    <w:rsid w:val="00BF719B"/>
    <w:rsid w:val="00BF7BFA"/>
    <w:rsid w:val="00BF7E72"/>
    <w:rsid w:val="00C00117"/>
    <w:rsid w:val="00C0026C"/>
    <w:rsid w:val="00C00576"/>
    <w:rsid w:val="00C0092A"/>
    <w:rsid w:val="00C00C72"/>
    <w:rsid w:val="00C00EE3"/>
    <w:rsid w:val="00C015AF"/>
    <w:rsid w:val="00C01C4B"/>
    <w:rsid w:val="00C01D46"/>
    <w:rsid w:val="00C02231"/>
    <w:rsid w:val="00C0246A"/>
    <w:rsid w:val="00C02F0A"/>
    <w:rsid w:val="00C02F6B"/>
    <w:rsid w:val="00C03124"/>
    <w:rsid w:val="00C039CA"/>
    <w:rsid w:val="00C03EEA"/>
    <w:rsid w:val="00C04886"/>
    <w:rsid w:val="00C04E6D"/>
    <w:rsid w:val="00C05418"/>
    <w:rsid w:val="00C05746"/>
    <w:rsid w:val="00C05D31"/>
    <w:rsid w:val="00C06994"/>
    <w:rsid w:val="00C072BC"/>
    <w:rsid w:val="00C072CE"/>
    <w:rsid w:val="00C07311"/>
    <w:rsid w:val="00C0758C"/>
    <w:rsid w:val="00C100E8"/>
    <w:rsid w:val="00C1084C"/>
    <w:rsid w:val="00C10A55"/>
    <w:rsid w:val="00C10DC5"/>
    <w:rsid w:val="00C10FDE"/>
    <w:rsid w:val="00C113CF"/>
    <w:rsid w:val="00C11FC5"/>
    <w:rsid w:val="00C128BE"/>
    <w:rsid w:val="00C12E4A"/>
    <w:rsid w:val="00C134EF"/>
    <w:rsid w:val="00C1397F"/>
    <w:rsid w:val="00C13C48"/>
    <w:rsid w:val="00C13CBD"/>
    <w:rsid w:val="00C14096"/>
    <w:rsid w:val="00C14A0C"/>
    <w:rsid w:val="00C14B3A"/>
    <w:rsid w:val="00C1560B"/>
    <w:rsid w:val="00C15AC5"/>
    <w:rsid w:val="00C15EF3"/>
    <w:rsid w:val="00C15F06"/>
    <w:rsid w:val="00C165A1"/>
    <w:rsid w:val="00C16A42"/>
    <w:rsid w:val="00C178FA"/>
    <w:rsid w:val="00C17E56"/>
    <w:rsid w:val="00C20203"/>
    <w:rsid w:val="00C203A2"/>
    <w:rsid w:val="00C207C7"/>
    <w:rsid w:val="00C20F88"/>
    <w:rsid w:val="00C21E0F"/>
    <w:rsid w:val="00C227E4"/>
    <w:rsid w:val="00C23105"/>
    <w:rsid w:val="00C2342D"/>
    <w:rsid w:val="00C23693"/>
    <w:rsid w:val="00C23FE6"/>
    <w:rsid w:val="00C2478E"/>
    <w:rsid w:val="00C2497A"/>
    <w:rsid w:val="00C24C29"/>
    <w:rsid w:val="00C25F95"/>
    <w:rsid w:val="00C26490"/>
    <w:rsid w:val="00C312F0"/>
    <w:rsid w:val="00C31536"/>
    <w:rsid w:val="00C328C3"/>
    <w:rsid w:val="00C32F77"/>
    <w:rsid w:val="00C33610"/>
    <w:rsid w:val="00C342FD"/>
    <w:rsid w:val="00C345C6"/>
    <w:rsid w:val="00C34B53"/>
    <w:rsid w:val="00C34D0B"/>
    <w:rsid w:val="00C358F4"/>
    <w:rsid w:val="00C36FAC"/>
    <w:rsid w:val="00C36FE5"/>
    <w:rsid w:val="00C3784A"/>
    <w:rsid w:val="00C40AF0"/>
    <w:rsid w:val="00C40F66"/>
    <w:rsid w:val="00C41847"/>
    <w:rsid w:val="00C41BD1"/>
    <w:rsid w:val="00C42890"/>
    <w:rsid w:val="00C430E2"/>
    <w:rsid w:val="00C435F9"/>
    <w:rsid w:val="00C442F7"/>
    <w:rsid w:val="00C445EA"/>
    <w:rsid w:val="00C44A6D"/>
    <w:rsid w:val="00C44EA0"/>
    <w:rsid w:val="00C4515C"/>
    <w:rsid w:val="00C45478"/>
    <w:rsid w:val="00C45696"/>
    <w:rsid w:val="00C45D87"/>
    <w:rsid w:val="00C46687"/>
    <w:rsid w:val="00C46828"/>
    <w:rsid w:val="00C477CF"/>
    <w:rsid w:val="00C47C04"/>
    <w:rsid w:val="00C50B1A"/>
    <w:rsid w:val="00C50FEA"/>
    <w:rsid w:val="00C517DE"/>
    <w:rsid w:val="00C5340C"/>
    <w:rsid w:val="00C535A6"/>
    <w:rsid w:val="00C536E2"/>
    <w:rsid w:val="00C53927"/>
    <w:rsid w:val="00C5393F"/>
    <w:rsid w:val="00C539C1"/>
    <w:rsid w:val="00C53F40"/>
    <w:rsid w:val="00C540FE"/>
    <w:rsid w:val="00C55A5C"/>
    <w:rsid w:val="00C55C08"/>
    <w:rsid w:val="00C56358"/>
    <w:rsid w:val="00C5637F"/>
    <w:rsid w:val="00C56DCB"/>
    <w:rsid w:val="00C57256"/>
    <w:rsid w:val="00C57C4A"/>
    <w:rsid w:val="00C61068"/>
    <w:rsid w:val="00C6145D"/>
    <w:rsid w:val="00C61904"/>
    <w:rsid w:val="00C61CFD"/>
    <w:rsid w:val="00C61D5C"/>
    <w:rsid w:val="00C62362"/>
    <w:rsid w:val="00C62526"/>
    <w:rsid w:val="00C62734"/>
    <w:rsid w:val="00C62AC4"/>
    <w:rsid w:val="00C6310B"/>
    <w:rsid w:val="00C63621"/>
    <w:rsid w:val="00C63935"/>
    <w:rsid w:val="00C65875"/>
    <w:rsid w:val="00C663A9"/>
    <w:rsid w:val="00C66560"/>
    <w:rsid w:val="00C67A59"/>
    <w:rsid w:val="00C67A6D"/>
    <w:rsid w:val="00C7016D"/>
    <w:rsid w:val="00C70182"/>
    <w:rsid w:val="00C70227"/>
    <w:rsid w:val="00C7193E"/>
    <w:rsid w:val="00C724DB"/>
    <w:rsid w:val="00C73882"/>
    <w:rsid w:val="00C73E98"/>
    <w:rsid w:val="00C741BF"/>
    <w:rsid w:val="00C74251"/>
    <w:rsid w:val="00C7451B"/>
    <w:rsid w:val="00C75286"/>
    <w:rsid w:val="00C75E55"/>
    <w:rsid w:val="00C7614A"/>
    <w:rsid w:val="00C768A9"/>
    <w:rsid w:val="00C76E60"/>
    <w:rsid w:val="00C77C02"/>
    <w:rsid w:val="00C80165"/>
    <w:rsid w:val="00C8033D"/>
    <w:rsid w:val="00C8065F"/>
    <w:rsid w:val="00C80894"/>
    <w:rsid w:val="00C80B80"/>
    <w:rsid w:val="00C80CA4"/>
    <w:rsid w:val="00C80DB0"/>
    <w:rsid w:val="00C819AD"/>
    <w:rsid w:val="00C8216E"/>
    <w:rsid w:val="00C821AE"/>
    <w:rsid w:val="00C823AE"/>
    <w:rsid w:val="00C8252D"/>
    <w:rsid w:val="00C8299D"/>
    <w:rsid w:val="00C8415F"/>
    <w:rsid w:val="00C847C6"/>
    <w:rsid w:val="00C8496F"/>
    <w:rsid w:val="00C8507E"/>
    <w:rsid w:val="00C85145"/>
    <w:rsid w:val="00C8598C"/>
    <w:rsid w:val="00C85BB3"/>
    <w:rsid w:val="00C863A9"/>
    <w:rsid w:val="00C86409"/>
    <w:rsid w:val="00C864F8"/>
    <w:rsid w:val="00C86679"/>
    <w:rsid w:val="00C86B59"/>
    <w:rsid w:val="00C87289"/>
    <w:rsid w:val="00C87622"/>
    <w:rsid w:val="00C876E9"/>
    <w:rsid w:val="00C87891"/>
    <w:rsid w:val="00C87B60"/>
    <w:rsid w:val="00C9008D"/>
    <w:rsid w:val="00C90987"/>
    <w:rsid w:val="00C90991"/>
    <w:rsid w:val="00C90E27"/>
    <w:rsid w:val="00C92A3D"/>
    <w:rsid w:val="00C92AFD"/>
    <w:rsid w:val="00C9336B"/>
    <w:rsid w:val="00C941D8"/>
    <w:rsid w:val="00C94397"/>
    <w:rsid w:val="00C95023"/>
    <w:rsid w:val="00C9569D"/>
    <w:rsid w:val="00C958B0"/>
    <w:rsid w:val="00C96134"/>
    <w:rsid w:val="00C96A26"/>
    <w:rsid w:val="00C97480"/>
    <w:rsid w:val="00CA0495"/>
    <w:rsid w:val="00CA0983"/>
    <w:rsid w:val="00CA12D8"/>
    <w:rsid w:val="00CA1F41"/>
    <w:rsid w:val="00CA231F"/>
    <w:rsid w:val="00CA2378"/>
    <w:rsid w:val="00CA2554"/>
    <w:rsid w:val="00CA2DAD"/>
    <w:rsid w:val="00CA3777"/>
    <w:rsid w:val="00CA49CB"/>
    <w:rsid w:val="00CA4B70"/>
    <w:rsid w:val="00CA4D7A"/>
    <w:rsid w:val="00CA4F3D"/>
    <w:rsid w:val="00CA5206"/>
    <w:rsid w:val="00CA57AF"/>
    <w:rsid w:val="00CA5851"/>
    <w:rsid w:val="00CA6190"/>
    <w:rsid w:val="00CA6243"/>
    <w:rsid w:val="00CA6448"/>
    <w:rsid w:val="00CA689D"/>
    <w:rsid w:val="00CA6D41"/>
    <w:rsid w:val="00CA72C6"/>
    <w:rsid w:val="00CA762C"/>
    <w:rsid w:val="00CA7DCF"/>
    <w:rsid w:val="00CB06D3"/>
    <w:rsid w:val="00CB0774"/>
    <w:rsid w:val="00CB0D25"/>
    <w:rsid w:val="00CB0E4C"/>
    <w:rsid w:val="00CB0F9F"/>
    <w:rsid w:val="00CB1E34"/>
    <w:rsid w:val="00CB2028"/>
    <w:rsid w:val="00CB2952"/>
    <w:rsid w:val="00CB306F"/>
    <w:rsid w:val="00CB3140"/>
    <w:rsid w:val="00CB3459"/>
    <w:rsid w:val="00CB3698"/>
    <w:rsid w:val="00CB3771"/>
    <w:rsid w:val="00CB4AAA"/>
    <w:rsid w:val="00CB52BE"/>
    <w:rsid w:val="00CB53E2"/>
    <w:rsid w:val="00CB5857"/>
    <w:rsid w:val="00CB6B0D"/>
    <w:rsid w:val="00CB6D09"/>
    <w:rsid w:val="00CB707F"/>
    <w:rsid w:val="00CB739B"/>
    <w:rsid w:val="00CB7A78"/>
    <w:rsid w:val="00CB7C2B"/>
    <w:rsid w:val="00CC0B38"/>
    <w:rsid w:val="00CC0B4A"/>
    <w:rsid w:val="00CC0DA6"/>
    <w:rsid w:val="00CC12B0"/>
    <w:rsid w:val="00CC189E"/>
    <w:rsid w:val="00CC1CD9"/>
    <w:rsid w:val="00CC371F"/>
    <w:rsid w:val="00CC3866"/>
    <w:rsid w:val="00CC3BFB"/>
    <w:rsid w:val="00CC4534"/>
    <w:rsid w:val="00CC4941"/>
    <w:rsid w:val="00CC4C48"/>
    <w:rsid w:val="00CC50D2"/>
    <w:rsid w:val="00CC5183"/>
    <w:rsid w:val="00CC56B6"/>
    <w:rsid w:val="00CC60E2"/>
    <w:rsid w:val="00CC7A27"/>
    <w:rsid w:val="00CD01F3"/>
    <w:rsid w:val="00CD071C"/>
    <w:rsid w:val="00CD0ED9"/>
    <w:rsid w:val="00CD1285"/>
    <w:rsid w:val="00CD1C97"/>
    <w:rsid w:val="00CD1D92"/>
    <w:rsid w:val="00CD2586"/>
    <w:rsid w:val="00CD29BC"/>
    <w:rsid w:val="00CD31A0"/>
    <w:rsid w:val="00CD371F"/>
    <w:rsid w:val="00CD4CC0"/>
    <w:rsid w:val="00CD4CCE"/>
    <w:rsid w:val="00CD4E47"/>
    <w:rsid w:val="00CD5071"/>
    <w:rsid w:val="00CD571D"/>
    <w:rsid w:val="00CD5DE4"/>
    <w:rsid w:val="00CD74A8"/>
    <w:rsid w:val="00CE0A6D"/>
    <w:rsid w:val="00CE1510"/>
    <w:rsid w:val="00CE1DD9"/>
    <w:rsid w:val="00CE1E23"/>
    <w:rsid w:val="00CE3C12"/>
    <w:rsid w:val="00CE4486"/>
    <w:rsid w:val="00CE495D"/>
    <w:rsid w:val="00CE497D"/>
    <w:rsid w:val="00CE54BF"/>
    <w:rsid w:val="00CE59A6"/>
    <w:rsid w:val="00CE6547"/>
    <w:rsid w:val="00CE658A"/>
    <w:rsid w:val="00CE6E1D"/>
    <w:rsid w:val="00CE7294"/>
    <w:rsid w:val="00CE73AA"/>
    <w:rsid w:val="00CE7611"/>
    <w:rsid w:val="00CE7A4B"/>
    <w:rsid w:val="00CE7DA6"/>
    <w:rsid w:val="00CF00B4"/>
    <w:rsid w:val="00CF0337"/>
    <w:rsid w:val="00CF0BF2"/>
    <w:rsid w:val="00CF0FB7"/>
    <w:rsid w:val="00CF142E"/>
    <w:rsid w:val="00CF1E57"/>
    <w:rsid w:val="00CF2364"/>
    <w:rsid w:val="00CF2C8B"/>
    <w:rsid w:val="00CF2E0A"/>
    <w:rsid w:val="00CF323E"/>
    <w:rsid w:val="00CF3554"/>
    <w:rsid w:val="00CF3661"/>
    <w:rsid w:val="00CF397C"/>
    <w:rsid w:val="00CF3D36"/>
    <w:rsid w:val="00CF41D4"/>
    <w:rsid w:val="00CF42A1"/>
    <w:rsid w:val="00CF4D2F"/>
    <w:rsid w:val="00CF5683"/>
    <w:rsid w:val="00CF65A9"/>
    <w:rsid w:val="00CF6819"/>
    <w:rsid w:val="00CF7805"/>
    <w:rsid w:val="00CF792B"/>
    <w:rsid w:val="00CF7A2F"/>
    <w:rsid w:val="00D00358"/>
    <w:rsid w:val="00D00BA2"/>
    <w:rsid w:val="00D02518"/>
    <w:rsid w:val="00D0258D"/>
    <w:rsid w:val="00D026B7"/>
    <w:rsid w:val="00D0288C"/>
    <w:rsid w:val="00D02C9D"/>
    <w:rsid w:val="00D035FB"/>
    <w:rsid w:val="00D04C21"/>
    <w:rsid w:val="00D04C29"/>
    <w:rsid w:val="00D04E8C"/>
    <w:rsid w:val="00D04F44"/>
    <w:rsid w:val="00D052BD"/>
    <w:rsid w:val="00D05376"/>
    <w:rsid w:val="00D053B5"/>
    <w:rsid w:val="00D060E4"/>
    <w:rsid w:val="00D0672C"/>
    <w:rsid w:val="00D0684F"/>
    <w:rsid w:val="00D06AC2"/>
    <w:rsid w:val="00D06B83"/>
    <w:rsid w:val="00D06C0D"/>
    <w:rsid w:val="00D06F01"/>
    <w:rsid w:val="00D07144"/>
    <w:rsid w:val="00D0776A"/>
    <w:rsid w:val="00D078B4"/>
    <w:rsid w:val="00D07A59"/>
    <w:rsid w:val="00D07CD3"/>
    <w:rsid w:val="00D07E2A"/>
    <w:rsid w:val="00D07FC8"/>
    <w:rsid w:val="00D1025F"/>
    <w:rsid w:val="00D1056F"/>
    <w:rsid w:val="00D10652"/>
    <w:rsid w:val="00D10813"/>
    <w:rsid w:val="00D1102F"/>
    <w:rsid w:val="00D1188B"/>
    <w:rsid w:val="00D124F8"/>
    <w:rsid w:val="00D1285E"/>
    <w:rsid w:val="00D12C58"/>
    <w:rsid w:val="00D13C84"/>
    <w:rsid w:val="00D144F3"/>
    <w:rsid w:val="00D14C8D"/>
    <w:rsid w:val="00D14D58"/>
    <w:rsid w:val="00D14FDA"/>
    <w:rsid w:val="00D15578"/>
    <w:rsid w:val="00D15B28"/>
    <w:rsid w:val="00D163DF"/>
    <w:rsid w:val="00D17021"/>
    <w:rsid w:val="00D1702B"/>
    <w:rsid w:val="00D1718C"/>
    <w:rsid w:val="00D17A28"/>
    <w:rsid w:val="00D17F61"/>
    <w:rsid w:val="00D20682"/>
    <w:rsid w:val="00D207C5"/>
    <w:rsid w:val="00D20AA7"/>
    <w:rsid w:val="00D21A7E"/>
    <w:rsid w:val="00D22D6C"/>
    <w:rsid w:val="00D22FA5"/>
    <w:rsid w:val="00D23284"/>
    <w:rsid w:val="00D23680"/>
    <w:rsid w:val="00D2382A"/>
    <w:rsid w:val="00D238B8"/>
    <w:rsid w:val="00D23905"/>
    <w:rsid w:val="00D2390D"/>
    <w:rsid w:val="00D24039"/>
    <w:rsid w:val="00D24CE7"/>
    <w:rsid w:val="00D24DB1"/>
    <w:rsid w:val="00D24FC3"/>
    <w:rsid w:val="00D25389"/>
    <w:rsid w:val="00D2578F"/>
    <w:rsid w:val="00D25B38"/>
    <w:rsid w:val="00D25E9E"/>
    <w:rsid w:val="00D26043"/>
    <w:rsid w:val="00D263BE"/>
    <w:rsid w:val="00D26D75"/>
    <w:rsid w:val="00D2708C"/>
    <w:rsid w:val="00D27B8B"/>
    <w:rsid w:val="00D27C4A"/>
    <w:rsid w:val="00D27D44"/>
    <w:rsid w:val="00D314EE"/>
    <w:rsid w:val="00D316EA"/>
    <w:rsid w:val="00D32980"/>
    <w:rsid w:val="00D32E6D"/>
    <w:rsid w:val="00D33232"/>
    <w:rsid w:val="00D33322"/>
    <w:rsid w:val="00D335A9"/>
    <w:rsid w:val="00D33854"/>
    <w:rsid w:val="00D341C2"/>
    <w:rsid w:val="00D358BE"/>
    <w:rsid w:val="00D35989"/>
    <w:rsid w:val="00D359F2"/>
    <w:rsid w:val="00D361CC"/>
    <w:rsid w:val="00D3666B"/>
    <w:rsid w:val="00D366F4"/>
    <w:rsid w:val="00D36951"/>
    <w:rsid w:val="00D37ED6"/>
    <w:rsid w:val="00D41522"/>
    <w:rsid w:val="00D4194F"/>
    <w:rsid w:val="00D41B4A"/>
    <w:rsid w:val="00D426E7"/>
    <w:rsid w:val="00D427A9"/>
    <w:rsid w:val="00D42C09"/>
    <w:rsid w:val="00D43121"/>
    <w:rsid w:val="00D43C1C"/>
    <w:rsid w:val="00D440D3"/>
    <w:rsid w:val="00D445F6"/>
    <w:rsid w:val="00D448DC"/>
    <w:rsid w:val="00D44A05"/>
    <w:rsid w:val="00D45197"/>
    <w:rsid w:val="00D455CF"/>
    <w:rsid w:val="00D4572B"/>
    <w:rsid w:val="00D45AAA"/>
    <w:rsid w:val="00D45B4D"/>
    <w:rsid w:val="00D45CD9"/>
    <w:rsid w:val="00D45F3C"/>
    <w:rsid w:val="00D4617C"/>
    <w:rsid w:val="00D4624C"/>
    <w:rsid w:val="00D463D2"/>
    <w:rsid w:val="00D47BD6"/>
    <w:rsid w:val="00D47CB3"/>
    <w:rsid w:val="00D500EE"/>
    <w:rsid w:val="00D50B38"/>
    <w:rsid w:val="00D50D29"/>
    <w:rsid w:val="00D50DF6"/>
    <w:rsid w:val="00D51255"/>
    <w:rsid w:val="00D51475"/>
    <w:rsid w:val="00D51963"/>
    <w:rsid w:val="00D51ACB"/>
    <w:rsid w:val="00D51B5F"/>
    <w:rsid w:val="00D52965"/>
    <w:rsid w:val="00D52AE5"/>
    <w:rsid w:val="00D530B1"/>
    <w:rsid w:val="00D5341B"/>
    <w:rsid w:val="00D5344F"/>
    <w:rsid w:val="00D535EF"/>
    <w:rsid w:val="00D5363E"/>
    <w:rsid w:val="00D537F6"/>
    <w:rsid w:val="00D5398F"/>
    <w:rsid w:val="00D54301"/>
    <w:rsid w:val="00D5492D"/>
    <w:rsid w:val="00D55052"/>
    <w:rsid w:val="00D558C6"/>
    <w:rsid w:val="00D558E6"/>
    <w:rsid w:val="00D568C0"/>
    <w:rsid w:val="00D56A38"/>
    <w:rsid w:val="00D56AF5"/>
    <w:rsid w:val="00D57037"/>
    <w:rsid w:val="00D570C5"/>
    <w:rsid w:val="00D57185"/>
    <w:rsid w:val="00D57717"/>
    <w:rsid w:val="00D57B31"/>
    <w:rsid w:val="00D57EFC"/>
    <w:rsid w:val="00D60536"/>
    <w:rsid w:val="00D60703"/>
    <w:rsid w:val="00D60F42"/>
    <w:rsid w:val="00D61348"/>
    <w:rsid w:val="00D6163F"/>
    <w:rsid w:val="00D61969"/>
    <w:rsid w:val="00D62038"/>
    <w:rsid w:val="00D62BED"/>
    <w:rsid w:val="00D62E25"/>
    <w:rsid w:val="00D63043"/>
    <w:rsid w:val="00D632C5"/>
    <w:rsid w:val="00D63DC9"/>
    <w:rsid w:val="00D63FC5"/>
    <w:rsid w:val="00D65300"/>
    <w:rsid w:val="00D6552F"/>
    <w:rsid w:val="00D65D87"/>
    <w:rsid w:val="00D669E2"/>
    <w:rsid w:val="00D66CD3"/>
    <w:rsid w:val="00D66D7A"/>
    <w:rsid w:val="00D676DB"/>
    <w:rsid w:val="00D677C7"/>
    <w:rsid w:val="00D679BD"/>
    <w:rsid w:val="00D67D61"/>
    <w:rsid w:val="00D71102"/>
    <w:rsid w:val="00D71294"/>
    <w:rsid w:val="00D71ABB"/>
    <w:rsid w:val="00D722B7"/>
    <w:rsid w:val="00D728E7"/>
    <w:rsid w:val="00D72AD9"/>
    <w:rsid w:val="00D72B02"/>
    <w:rsid w:val="00D735FC"/>
    <w:rsid w:val="00D7388F"/>
    <w:rsid w:val="00D738E5"/>
    <w:rsid w:val="00D73D35"/>
    <w:rsid w:val="00D74043"/>
    <w:rsid w:val="00D74331"/>
    <w:rsid w:val="00D7471C"/>
    <w:rsid w:val="00D7474C"/>
    <w:rsid w:val="00D74820"/>
    <w:rsid w:val="00D74BE5"/>
    <w:rsid w:val="00D751FF"/>
    <w:rsid w:val="00D75258"/>
    <w:rsid w:val="00D753AF"/>
    <w:rsid w:val="00D755BC"/>
    <w:rsid w:val="00D75B38"/>
    <w:rsid w:val="00D75E25"/>
    <w:rsid w:val="00D7611A"/>
    <w:rsid w:val="00D76413"/>
    <w:rsid w:val="00D7645E"/>
    <w:rsid w:val="00D765EF"/>
    <w:rsid w:val="00D770C2"/>
    <w:rsid w:val="00D772B2"/>
    <w:rsid w:val="00D77321"/>
    <w:rsid w:val="00D810E4"/>
    <w:rsid w:val="00D81E4C"/>
    <w:rsid w:val="00D827FD"/>
    <w:rsid w:val="00D82C1D"/>
    <w:rsid w:val="00D82F01"/>
    <w:rsid w:val="00D832EB"/>
    <w:rsid w:val="00D836D5"/>
    <w:rsid w:val="00D83F5D"/>
    <w:rsid w:val="00D83F8D"/>
    <w:rsid w:val="00D849F4"/>
    <w:rsid w:val="00D853A2"/>
    <w:rsid w:val="00D85AB0"/>
    <w:rsid w:val="00D8613E"/>
    <w:rsid w:val="00D86572"/>
    <w:rsid w:val="00D869B5"/>
    <w:rsid w:val="00D86CA4"/>
    <w:rsid w:val="00D86E06"/>
    <w:rsid w:val="00D875BA"/>
    <w:rsid w:val="00D87D27"/>
    <w:rsid w:val="00D87E0D"/>
    <w:rsid w:val="00D905B9"/>
    <w:rsid w:val="00D90B14"/>
    <w:rsid w:val="00D90E5A"/>
    <w:rsid w:val="00D910E2"/>
    <w:rsid w:val="00D91FFF"/>
    <w:rsid w:val="00D92738"/>
    <w:rsid w:val="00D92EC7"/>
    <w:rsid w:val="00D93A69"/>
    <w:rsid w:val="00D94134"/>
    <w:rsid w:val="00D94652"/>
    <w:rsid w:val="00D94D65"/>
    <w:rsid w:val="00D9544A"/>
    <w:rsid w:val="00D95818"/>
    <w:rsid w:val="00D95A15"/>
    <w:rsid w:val="00D95A96"/>
    <w:rsid w:val="00D961A5"/>
    <w:rsid w:val="00DA18AE"/>
    <w:rsid w:val="00DA1F22"/>
    <w:rsid w:val="00DA2451"/>
    <w:rsid w:val="00DA3365"/>
    <w:rsid w:val="00DA3A6F"/>
    <w:rsid w:val="00DA3D55"/>
    <w:rsid w:val="00DA3F14"/>
    <w:rsid w:val="00DA3F3E"/>
    <w:rsid w:val="00DA3FB3"/>
    <w:rsid w:val="00DA4304"/>
    <w:rsid w:val="00DA4855"/>
    <w:rsid w:val="00DA4B08"/>
    <w:rsid w:val="00DA4CF1"/>
    <w:rsid w:val="00DA50AD"/>
    <w:rsid w:val="00DA61CF"/>
    <w:rsid w:val="00DA692C"/>
    <w:rsid w:val="00DA6A8C"/>
    <w:rsid w:val="00DA7169"/>
    <w:rsid w:val="00DB00D4"/>
    <w:rsid w:val="00DB0329"/>
    <w:rsid w:val="00DB050B"/>
    <w:rsid w:val="00DB0926"/>
    <w:rsid w:val="00DB0F03"/>
    <w:rsid w:val="00DB10AE"/>
    <w:rsid w:val="00DB12AD"/>
    <w:rsid w:val="00DB16A8"/>
    <w:rsid w:val="00DB18E5"/>
    <w:rsid w:val="00DB1949"/>
    <w:rsid w:val="00DB1CD5"/>
    <w:rsid w:val="00DB20C6"/>
    <w:rsid w:val="00DB2576"/>
    <w:rsid w:val="00DB3359"/>
    <w:rsid w:val="00DB3C82"/>
    <w:rsid w:val="00DB403F"/>
    <w:rsid w:val="00DB524D"/>
    <w:rsid w:val="00DB5464"/>
    <w:rsid w:val="00DB5F11"/>
    <w:rsid w:val="00DB6357"/>
    <w:rsid w:val="00DB6474"/>
    <w:rsid w:val="00DB6988"/>
    <w:rsid w:val="00DB6FC4"/>
    <w:rsid w:val="00DB7409"/>
    <w:rsid w:val="00DB7FEC"/>
    <w:rsid w:val="00DC032C"/>
    <w:rsid w:val="00DC0448"/>
    <w:rsid w:val="00DC13AF"/>
    <w:rsid w:val="00DC1B53"/>
    <w:rsid w:val="00DC261F"/>
    <w:rsid w:val="00DC2A49"/>
    <w:rsid w:val="00DC2CE5"/>
    <w:rsid w:val="00DC2FC3"/>
    <w:rsid w:val="00DC3BDA"/>
    <w:rsid w:val="00DC47F7"/>
    <w:rsid w:val="00DC49FB"/>
    <w:rsid w:val="00DC5E9E"/>
    <w:rsid w:val="00DC6979"/>
    <w:rsid w:val="00DC6D5E"/>
    <w:rsid w:val="00DC739E"/>
    <w:rsid w:val="00DD0241"/>
    <w:rsid w:val="00DD024D"/>
    <w:rsid w:val="00DD0EED"/>
    <w:rsid w:val="00DD1465"/>
    <w:rsid w:val="00DD1A1A"/>
    <w:rsid w:val="00DD20EE"/>
    <w:rsid w:val="00DD258D"/>
    <w:rsid w:val="00DD2954"/>
    <w:rsid w:val="00DD2C2B"/>
    <w:rsid w:val="00DD363A"/>
    <w:rsid w:val="00DD397C"/>
    <w:rsid w:val="00DD42AF"/>
    <w:rsid w:val="00DD446A"/>
    <w:rsid w:val="00DD4735"/>
    <w:rsid w:val="00DD4850"/>
    <w:rsid w:val="00DD4BAA"/>
    <w:rsid w:val="00DD4F02"/>
    <w:rsid w:val="00DD62D9"/>
    <w:rsid w:val="00DD6322"/>
    <w:rsid w:val="00DD651A"/>
    <w:rsid w:val="00DD6662"/>
    <w:rsid w:val="00DD6915"/>
    <w:rsid w:val="00DD6EDD"/>
    <w:rsid w:val="00DD72FD"/>
    <w:rsid w:val="00DD7400"/>
    <w:rsid w:val="00DD76DE"/>
    <w:rsid w:val="00DE0461"/>
    <w:rsid w:val="00DE0CA5"/>
    <w:rsid w:val="00DE0CB1"/>
    <w:rsid w:val="00DE0FBE"/>
    <w:rsid w:val="00DE115E"/>
    <w:rsid w:val="00DE145F"/>
    <w:rsid w:val="00DE1462"/>
    <w:rsid w:val="00DE15A5"/>
    <w:rsid w:val="00DE18EE"/>
    <w:rsid w:val="00DE1ED3"/>
    <w:rsid w:val="00DE2264"/>
    <w:rsid w:val="00DE2961"/>
    <w:rsid w:val="00DE32BC"/>
    <w:rsid w:val="00DE34DD"/>
    <w:rsid w:val="00DE3E92"/>
    <w:rsid w:val="00DE4314"/>
    <w:rsid w:val="00DE4744"/>
    <w:rsid w:val="00DE55EA"/>
    <w:rsid w:val="00DE58BB"/>
    <w:rsid w:val="00DE5BA5"/>
    <w:rsid w:val="00DE5DC3"/>
    <w:rsid w:val="00DE5F5C"/>
    <w:rsid w:val="00DE6333"/>
    <w:rsid w:val="00DE67D9"/>
    <w:rsid w:val="00DE68DF"/>
    <w:rsid w:val="00DE697B"/>
    <w:rsid w:val="00DE7435"/>
    <w:rsid w:val="00DE78C1"/>
    <w:rsid w:val="00DE7BB3"/>
    <w:rsid w:val="00DF07E8"/>
    <w:rsid w:val="00DF08AE"/>
    <w:rsid w:val="00DF0D23"/>
    <w:rsid w:val="00DF0FFD"/>
    <w:rsid w:val="00DF29E3"/>
    <w:rsid w:val="00DF459E"/>
    <w:rsid w:val="00DF47F7"/>
    <w:rsid w:val="00DF5F63"/>
    <w:rsid w:val="00DF61DE"/>
    <w:rsid w:val="00DF7731"/>
    <w:rsid w:val="00DF78AB"/>
    <w:rsid w:val="00DF7B7B"/>
    <w:rsid w:val="00DF7B89"/>
    <w:rsid w:val="00E00943"/>
    <w:rsid w:val="00E00F50"/>
    <w:rsid w:val="00E01995"/>
    <w:rsid w:val="00E02BC2"/>
    <w:rsid w:val="00E0331A"/>
    <w:rsid w:val="00E0338C"/>
    <w:rsid w:val="00E04A4C"/>
    <w:rsid w:val="00E052B6"/>
    <w:rsid w:val="00E05C4E"/>
    <w:rsid w:val="00E06359"/>
    <w:rsid w:val="00E06845"/>
    <w:rsid w:val="00E077BD"/>
    <w:rsid w:val="00E114C5"/>
    <w:rsid w:val="00E13C1C"/>
    <w:rsid w:val="00E14853"/>
    <w:rsid w:val="00E14B27"/>
    <w:rsid w:val="00E1543C"/>
    <w:rsid w:val="00E162B1"/>
    <w:rsid w:val="00E1666C"/>
    <w:rsid w:val="00E1675E"/>
    <w:rsid w:val="00E169A1"/>
    <w:rsid w:val="00E178F8"/>
    <w:rsid w:val="00E17B6B"/>
    <w:rsid w:val="00E17C5F"/>
    <w:rsid w:val="00E17D89"/>
    <w:rsid w:val="00E20A1B"/>
    <w:rsid w:val="00E20D5A"/>
    <w:rsid w:val="00E214D0"/>
    <w:rsid w:val="00E21951"/>
    <w:rsid w:val="00E22202"/>
    <w:rsid w:val="00E22782"/>
    <w:rsid w:val="00E22C06"/>
    <w:rsid w:val="00E22CB4"/>
    <w:rsid w:val="00E23B3D"/>
    <w:rsid w:val="00E23F66"/>
    <w:rsid w:val="00E244E6"/>
    <w:rsid w:val="00E24BE6"/>
    <w:rsid w:val="00E25163"/>
    <w:rsid w:val="00E254E3"/>
    <w:rsid w:val="00E257AF"/>
    <w:rsid w:val="00E25972"/>
    <w:rsid w:val="00E262E8"/>
    <w:rsid w:val="00E26DE5"/>
    <w:rsid w:val="00E26E33"/>
    <w:rsid w:val="00E26F44"/>
    <w:rsid w:val="00E273FC"/>
    <w:rsid w:val="00E27436"/>
    <w:rsid w:val="00E27B3C"/>
    <w:rsid w:val="00E3012F"/>
    <w:rsid w:val="00E30716"/>
    <w:rsid w:val="00E30CCD"/>
    <w:rsid w:val="00E30D55"/>
    <w:rsid w:val="00E30FAC"/>
    <w:rsid w:val="00E3263A"/>
    <w:rsid w:val="00E332EE"/>
    <w:rsid w:val="00E33AB6"/>
    <w:rsid w:val="00E34354"/>
    <w:rsid w:val="00E3531D"/>
    <w:rsid w:val="00E357BA"/>
    <w:rsid w:val="00E35C6B"/>
    <w:rsid w:val="00E35D11"/>
    <w:rsid w:val="00E35F19"/>
    <w:rsid w:val="00E36324"/>
    <w:rsid w:val="00E36F57"/>
    <w:rsid w:val="00E37D9F"/>
    <w:rsid w:val="00E40950"/>
    <w:rsid w:val="00E4136E"/>
    <w:rsid w:val="00E41913"/>
    <w:rsid w:val="00E41A6B"/>
    <w:rsid w:val="00E430DC"/>
    <w:rsid w:val="00E435B1"/>
    <w:rsid w:val="00E438A9"/>
    <w:rsid w:val="00E449D8"/>
    <w:rsid w:val="00E44BEC"/>
    <w:rsid w:val="00E44E67"/>
    <w:rsid w:val="00E456F0"/>
    <w:rsid w:val="00E465BC"/>
    <w:rsid w:val="00E46AD1"/>
    <w:rsid w:val="00E46AEA"/>
    <w:rsid w:val="00E46B15"/>
    <w:rsid w:val="00E473C5"/>
    <w:rsid w:val="00E47C89"/>
    <w:rsid w:val="00E50415"/>
    <w:rsid w:val="00E50E44"/>
    <w:rsid w:val="00E5120C"/>
    <w:rsid w:val="00E51AD5"/>
    <w:rsid w:val="00E51E87"/>
    <w:rsid w:val="00E52366"/>
    <w:rsid w:val="00E52398"/>
    <w:rsid w:val="00E52A34"/>
    <w:rsid w:val="00E52F8A"/>
    <w:rsid w:val="00E53BD0"/>
    <w:rsid w:val="00E53EC6"/>
    <w:rsid w:val="00E53F5E"/>
    <w:rsid w:val="00E542EE"/>
    <w:rsid w:val="00E54CCC"/>
    <w:rsid w:val="00E5506F"/>
    <w:rsid w:val="00E5522A"/>
    <w:rsid w:val="00E55690"/>
    <w:rsid w:val="00E559A9"/>
    <w:rsid w:val="00E55DF1"/>
    <w:rsid w:val="00E56AED"/>
    <w:rsid w:val="00E56B79"/>
    <w:rsid w:val="00E56DB1"/>
    <w:rsid w:val="00E57A8D"/>
    <w:rsid w:val="00E57CC0"/>
    <w:rsid w:val="00E57FB4"/>
    <w:rsid w:val="00E602B0"/>
    <w:rsid w:val="00E60AB7"/>
    <w:rsid w:val="00E60ADB"/>
    <w:rsid w:val="00E6122B"/>
    <w:rsid w:val="00E6188B"/>
    <w:rsid w:val="00E61F7B"/>
    <w:rsid w:val="00E6208E"/>
    <w:rsid w:val="00E62622"/>
    <w:rsid w:val="00E62C06"/>
    <w:rsid w:val="00E62F0C"/>
    <w:rsid w:val="00E63266"/>
    <w:rsid w:val="00E63618"/>
    <w:rsid w:val="00E63B24"/>
    <w:rsid w:val="00E63DF5"/>
    <w:rsid w:val="00E640D7"/>
    <w:rsid w:val="00E640FE"/>
    <w:rsid w:val="00E645D5"/>
    <w:rsid w:val="00E659DC"/>
    <w:rsid w:val="00E66552"/>
    <w:rsid w:val="00E669A9"/>
    <w:rsid w:val="00E66CE5"/>
    <w:rsid w:val="00E67029"/>
    <w:rsid w:val="00E671E1"/>
    <w:rsid w:val="00E6780F"/>
    <w:rsid w:val="00E67FCA"/>
    <w:rsid w:val="00E7016F"/>
    <w:rsid w:val="00E702A4"/>
    <w:rsid w:val="00E7056A"/>
    <w:rsid w:val="00E70612"/>
    <w:rsid w:val="00E70AE2"/>
    <w:rsid w:val="00E7105E"/>
    <w:rsid w:val="00E71A21"/>
    <w:rsid w:val="00E7208C"/>
    <w:rsid w:val="00E723BE"/>
    <w:rsid w:val="00E72CD8"/>
    <w:rsid w:val="00E72F5C"/>
    <w:rsid w:val="00E73009"/>
    <w:rsid w:val="00E7303A"/>
    <w:rsid w:val="00E73214"/>
    <w:rsid w:val="00E7344B"/>
    <w:rsid w:val="00E73647"/>
    <w:rsid w:val="00E73E02"/>
    <w:rsid w:val="00E741C2"/>
    <w:rsid w:val="00E75047"/>
    <w:rsid w:val="00E75402"/>
    <w:rsid w:val="00E754DE"/>
    <w:rsid w:val="00E75590"/>
    <w:rsid w:val="00E75BB7"/>
    <w:rsid w:val="00E75EED"/>
    <w:rsid w:val="00E75F53"/>
    <w:rsid w:val="00E765C8"/>
    <w:rsid w:val="00E7681C"/>
    <w:rsid w:val="00E77341"/>
    <w:rsid w:val="00E77B3B"/>
    <w:rsid w:val="00E77CF1"/>
    <w:rsid w:val="00E77FBB"/>
    <w:rsid w:val="00E80AEE"/>
    <w:rsid w:val="00E80C22"/>
    <w:rsid w:val="00E82184"/>
    <w:rsid w:val="00E8287F"/>
    <w:rsid w:val="00E82D27"/>
    <w:rsid w:val="00E830F7"/>
    <w:rsid w:val="00E83291"/>
    <w:rsid w:val="00E8383E"/>
    <w:rsid w:val="00E84E61"/>
    <w:rsid w:val="00E84FE1"/>
    <w:rsid w:val="00E85941"/>
    <w:rsid w:val="00E85BC9"/>
    <w:rsid w:val="00E85F45"/>
    <w:rsid w:val="00E86079"/>
    <w:rsid w:val="00E8649F"/>
    <w:rsid w:val="00E86B4B"/>
    <w:rsid w:val="00E87AB5"/>
    <w:rsid w:val="00E87BB9"/>
    <w:rsid w:val="00E9036D"/>
    <w:rsid w:val="00E90484"/>
    <w:rsid w:val="00E905C5"/>
    <w:rsid w:val="00E91873"/>
    <w:rsid w:val="00E9198E"/>
    <w:rsid w:val="00E920B8"/>
    <w:rsid w:val="00E923EE"/>
    <w:rsid w:val="00E92CE9"/>
    <w:rsid w:val="00E92E47"/>
    <w:rsid w:val="00E9349C"/>
    <w:rsid w:val="00E9409C"/>
    <w:rsid w:val="00E9410B"/>
    <w:rsid w:val="00E9457F"/>
    <w:rsid w:val="00E955BF"/>
    <w:rsid w:val="00E95B79"/>
    <w:rsid w:val="00E95B8B"/>
    <w:rsid w:val="00E96102"/>
    <w:rsid w:val="00E97E27"/>
    <w:rsid w:val="00EA04D5"/>
    <w:rsid w:val="00EA057E"/>
    <w:rsid w:val="00EA177D"/>
    <w:rsid w:val="00EA1B79"/>
    <w:rsid w:val="00EA1F60"/>
    <w:rsid w:val="00EA259F"/>
    <w:rsid w:val="00EA25B8"/>
    <w:rsid w:val="00EA3441"/>
    <w:rsid w:val="00EA3C22"/>
    <w:rsid w:val="00EA3E19"/>
    <w:rsid w:val="00EA52B9"/>
    <w:rsid w:val="00EA6AC8"/>
    <w:rsid w:val="00EA7397"/>
    <w:rsid w:val="00EA73AC"/>
    <w:rsid w:val="00EA77EF"/>
    <w:rsid w:val="00EA7AA5"/>
    <w:rsid w:val="00EA7BF3"/>
    <w:rsid w:val="00EA7E23"/>
    <w:rsid w:val="00EB0EB4"/>
    <w:rsid w:val="00EB1166"/>
    <w:rsid w:val="00EB119E"/>
    <w:rsid w:val="00EB130A"/>
    <w:rsid w:val="00EB1DF0"/>
    <w:rsid w:val="00EB1F32"/>
    <w:rsid w:val="00EB2F0D"/>
    <w:rsid w:val="00EB3755"/>
    <w:rsid w:val="00EB38D9"/>
    <w:rsid w:val="00EB3D32"/>
    <w:rsid w:val="00EB458E"/>
    <w:rsid w:val="00EB50AB"/>
    <w:rsid w:val="00EB57BB"/>
    <w:rsid w:val="00EB5A6E"/>
    <w:rsid w:val="00EB5FAA"/>
    <w:rsid w:val="00EB6035"/>
    <w:rsid w:val="00EB6462"/>
    <w:rsid w:val="00EB6AAF"/>
    <w:rsid w:val="00EB70F5"/>
    <w:rsid w:val="00EB724C"/>
    <w:rsid w:val="00EC01DB"/>
    <w:rsid w:val="00EC057B"/>
    <w:rsid w:val="00EC05BD"/>
    <w:rsid w:val="00EC0D12"/>
    <w:rsid w:val="00EC0DF8"/>
    <w:rsid w:val="00EC18D7"/>
    <w:rsid w:val="00EC234A"/>
    <w:rsid w:val="00EC25DE"/>
    <w:rsid w:val="00EC2A8D"/>
    <w:rsid w:val="00EC30F0"/>
    <w:rsid w:val="00EC331E"/>
    <w:rsid w:val="00EC36FC"/>
    <w:rsid w:val="00EC38F9"/>
    <w:rsid w:val="00EC3D0C"/>
    <w:rsid w:val="00EC3E08"/>
    <w:rsid w:val="00EC40DC"/>
    <w:rsid w:val="00EC4655"/>
    <w:rsid w:val="00EC469B"/>
    <w:rsid w:val="00EC50EB"/>
    <w:rsid w:val="00EC51B1"/>
    <w:rsid w:val="00EC55DD"/>
    <w:rsid w:val="00EC56BC"/>
    <w:rsid w:val="00EC59B2"/>
    <w:rsid w:val="00EC5D6C"/>
    <w:rsid w:val="00EC5DAC"/>
    <w:rsid w:val="00EC60CA"/>
    <w:rsid w:val="00EC615A"/>
    <w:rsid w:val="00EC6FCD"/>
    <w:rsid w:val="00EC71E1"/>
    <w:rsid w:val="00EC7F47"/>
    <w:rsid w:val="00ED0057"/>
    <w:rsid w:val="00ED0063"/>
    <w:rsid w:val="00ED0DDE"/>
    <w:rsid w:val="00ED1EF6"/>
    <w:rsid w:val="00ED2A26"/>
    <w:rsid w:val="00ED3742"/>
    <w:rsid w:val="00ED3DBF"/>
    <w:rsid w:val="00ED4244"/>
    <w:rsid w:val="00ED43C3"/>
    <w:rsid w:val="00ED4455"/>
    <w:rsid w:val="00ED4559"/>
    <w:rsid w:val="00ED45AD"/>
    <w:rsid w:val="00ED4A11"/>
    <w:rsid w:val="00ED505C"/>
    <w:rsid w:val="00ED616E"/>
    <w:rsid w:val="00ED622E"/>
    <w:rsid w:val="00ED62E0"/>
    <w:rsid w:val="00ED67AB"/>
    <w:rsid w:val="00ED6E27"/>
    <w:rsid w:val="00EE0012"/>
    <w:rsid w:val="00EE0406"/>
    <w:rsid w:val="00EE16C5"/>
    <w:rsid w:val="00EE1795"/>
    <w:rsid w:val="00EE1A5A"/>
    <w:rsid w:val="00EE1A7D"/>
    <w:rsid w:val="00EE1E19"/>
    <w:rsid w:val="00EE248C"/>
    <w:rsid w:val="00EE26FB"/>
    <w:rsid w:val="00EE2786"/>
    <w:rsid w:val="00EE3317"/>
    <w:rsid w:val="00EE3B6D"/>
    <w:rsid w:val="00EE47B7"/>
    <w:rsid w:val="00EE487D"/>
    <w:rsid w:val="00EE4C38"/>
    <w:rsid w:val="00EE5541"/>
    <w:rsid w:val="00EE622B"/>
    <w:rsid w:val="00EE659E"/>
    <w:rsid w:val="00EE6871"/>
    <w:rsid w:val="00EE687F"/>
    <w:rsid w:val="00EE68CE"/>
    <w:rsid w:val="00EF0712"/>
    <w:rsid w:val="00EF08EF"/>
    <w:rsid w:val="00EF0B29"/>
    <w:rsid w:val="00EF0D45"/>
    <w:rsid w:val="00EF0FAC"/>
    <w:rsid w:val="00EF2528"/>
    <w:rsid w:val="00EF283B"/>
    <w:rsid w:val="00EF2923"/>
    <w:rsid w:val="00EF2A1E"/>
    <w:rsid w:val="00EF3314"/>
    <w:rsid w:val="00EF36A5"/>
    <w:rsid w:val="00EF3A4C"/>
    <w:rsid w:val="00EF3A66"/>
    <w:rsid w:val="00EF3D24"/>
    <w:rsid w:val="00EF3E65"/>
    <w:rsid w:val="00EF48C0"/>
    <w:rsid w:val="00EF4C82"/>
    <w:rsid w:val="00EF4E10"/>
    <w:rsid w:val="00EF4F11"/>
    <w:rsid w:val="00EF54D5"/>
    <w:rsid w:val="00EF5768"/>
    <w:rsid w:val="00EF67BA"/>
    <w:rsid w:val="00EF6DC7"/>
    <w:rsid w:val="00EF6E61"/>
    <w:rsid w:val="00EF725C"/>
    <w:rsid w:val="00EF7C52"/>
    <w:rsid w:val="00F00940"/>
    <w:rsid w:val="00F00A17"/>
    <w:rsid w:val="00F00B57"/>
    <w:rsid w:val="00F00CB9"/>
    <w:rsid w:val="00F011CC"/>
    <w:rsid w:val="00F0131C"/>
    <w:rsid w:val="00F017AC"/>
    <w:rsid w:val="00F017B5"/>
    <w:rsid w:val="00F022C8"/>
    <w:rsid w:val="00F02598"/>
    <w:rsid w:val="00F02A99"/>
    <w:rsid w:val="00F02E41"/>
    <w:rsid w:val="00F02F2E"/>
    <w:rsid w:val="00F031B1"/>
    <w:rsid w:val="00F03D2F"/>
    <w:rsid w:val="00F04997"/>
    <w:rsid w:val="00F057DF"/>
    <w:rsid w:val="00F05948"/>
    <w:rsid w:val="00F0597C"/>
    <w:rsid w:val="00F05B86"/>
    <w:rsid w:val="00F05EFD"/>
    <w:rsid w:val="00F06605"/>
    <w:rsid w:val="00F071B2"/>
    <w:rsid w:val="00F107AC"/>
    <w:rsid w:val="00F108E9"/>
    <w:rsid w:val="00F1215F"/>
    <w:rsid w:val="00F13266"/>
    <w:rsid w:val="00F1363F"/>
    <w:rsid w:val="00F1462C"/>
    <w:rsid w:val="00F151BA"/>
    <w:rsid w:val="00F16A29"/>
    <w:rsid w:val="00F16D50"/>
    <w:rsid w:val="00F1745F"/>
    <w:rsid w:val="00F178B7"/>
    <w:rsid w:val="00F2007E"/>
    <w:rsid w:val="00F20446"/>
    <w:rsid w:val="00F20FDE"/>
    <w:rsid w:val="00F21598"/>
    <w:rsid w:val="00F216CA"/>
    <w:rsid w:val="00F21AC3"/>
    <w:rsid w:val="00F220D8"/>
    <w:rsid w:val="00F221A0"/>
    <w:rsid w:val="00F221E3"/>
    <w:rsid w:val="00F23431"/>
    <w:rsid w:val="00F236A6"/>
    <w:rsid w:val="00F239B5"/>
    <w:rsid w:val="00F243B3"/>
    <w:rsid w:val="00F24CE8"/>
    <w:rsid w:val="00F24CFE"/>
    <w:rsid w:val="00F24E18"/>
    <w:rsid w:val="00F2505E"/>
    <w:rsid w:val="00F2512A"/>
    <w:rsid w:val="00F25CC6"/>
    <w:rsid w:val="00F25D28"/>
    <w:rsid w:val="00F26DD1"/>
    <w:rsid w:val="00F27E22"/>
    <w:rsid w:val="00F30090"/>
    <w:rsid w:val="00F30751"/>
    <w:rsid w:val="00F307FF"/>
    <w:rsid w:val="00F30F5E"/>
    <w:rsid w:val="00F314BF"/>
    <w:rsid w:val="00F32124"/>
    <w:rsid w:val="00F32792"/>
    <w:rsid w:val="00F32D1A"/>
    <w:rsid w:val="00F3397B"/>
    <w:rsid w:val="00F33E26"/>
    <w:rsid w:val="00F34A54"/>
    <w:rsid w:val="00F34A79"/>
    <w:rsid w:val="00F35530"/>
    <w:rsid w:val="00F35719"/>
    <w:rsid w:val="00F3585E"/>
    <w:rsid w:val="00F35BE3"/>
    <w:rsid w:val="00F3674F"/>
    <w:rsid w:val="00F368F7"/>
    <w:rsid w:val="00F36931"/>
    <w:rsid w:val="00F37630"/>
    <w:rsid w:val="00F37DAA"/>
    <w:rsid w:val="00F408A3"/>
    <w:rsid w:val="00F40925"/>
    <w:rsid w:val="00F41097"/>
    <w:rsid w:val="00F410F8"/>
    <w:rsid w:val="00F43113"/>
    <w:rsid w:val="00F434C4"/>
    <w:rsid w:val="00F43B82"/>
    <w:rsid w:val="00F4408C"/>
    <w:rsid w:val="00F442BD"/>
    <w:rsid w:val="00F445B7"/>
    <w:rsid w:val="00F452AD"/>
    <w:rsid w:val="00F4588B"/>
    <w:rsid w:val="00F45D72"/>
    <w:rsid w:val="00F45F53"/>
    <w:rsid w:val="00F46A21"/>
    <w:rsid w:val="00F471AB"/>
    <w:rsid w:val="00F473CE"/>
    <w:rsid w:val="00F47FC6"/>
    <w:rsid w:val="00F50285"/>
    <w:rsid w:val="00F50C01"/>
    <w:rsid w:val="00F5190B"/>
    <w:rsid w:val="00F51C6D"/>
    <w:rsid w:val="00F52349"/>
    <w:rsid w:val="00F5236E"/>
    <w:rsid w:val="00F52A4D"/>
    <w:rsid w:val="00F53199"/>
    <w:rsid w:val="00F5351B"/>
    <w:rsid w:val="00F537FE"/>
    <w:rsid w:val="00F53B55"/>
    <w:rsid w:val="00F53DA5"/>
    <w:rsid w:val="00F540FE"/>
    <w:rsid w:val="00F54175"/>
    <w:rsid w:val="00F550D6"/>
    <w:rsid w:val="00F55478"/>
    <w:rsid w:val="00F555BF"/>
    <w:rsid w:val="00F55DB2"/>
    <w:rsid w:val="00F55FA6"/>
    <w:rsid w:val="00F55FDB"/>
    <w:rsid w:val="00F572AE"/>
    <w:rsid w:val="00F572B4"/>
    <w:rsid w:val="00F57A34"/>
    <w:rsid w:val="00F60214"/>
    <w:rsid w:val="00F6093B"/>
    <w:rsid w:val="00F609C0"/>
    <w:rsid w:val="00F60E56"/>
    <w:rsid w:val="00F613E8"/>
    <w:rsid w:val="00F623B7"/>
    <w:rsid w:val="00F62648"/>
    <w:rsid w:val="00F6308A"/>
    <w:rsid w:val="00F6394D"/>
    <w:rsid w:val="00F64626"/>
    <w:rsid w:val="00F65410"/>
    <w:rsid w:val="00F66B33"/>
    <w:rsid w:val="00F679A9"/>
    <w:rsid w:val="00F70285"/>
    <w:rsid w:val="00F707EC"/>
    <w:rsid w:val="00F70B19"/>
    <w:rsid w:val="00F7105E"/>
    <w:rsid w:val="00F711C5"/>
    <w:rsid w:val="00F71209"/>
    <w:rsid w:val="00F71261"/>
    <w:rsid w:val="00F72E9E"/>
    <w:rsid w:val="00F730A5"/>
    <w:rsid w:val="00F738FC"/>
    <w:rsid w:val="00F73E6B"/>
    <w:rsid w:val="00F74499"/>
    <w:rsid w:val="00F7465E"/>
    <w:rsid w:val="00F7495B"/>
    <w:rsid w:val="00F749D8"/>
    <w:rsid w:val="00F754BC"/>
    <w:rsid w:val="00F75AA4"/>
    <w:rsid w:val="00F75F33"/>
    <w:rsid w:val="00F7615C"/>
    <w:rsid w:val="00F7656A"/>
    <w:rsid w:val="00F76E9C"/>
    <w:rsid w:val="00F76FAD"/>
    <w:rsid w:val="00F77342"/>
    <w:rsid w:val="00F77399"/>
    <w:rsid w:val="00F8069C"/>
    <w:rsid w:val="00F80F54"/>
    <w:rsid w:val="00F81BC2"/>
    <w:rsid w:val="00F82349"/>
    <w:rsid w:val="00F82660"/>
    <w:rsid w:val="00F82A9D"/>
    <w:rsid w:val="00F83431"/>
    <w:rsid w:val="00F83A98"/>
    <w:rsid w:val="00F842D8"/>
    <w:rsid w:val="00F844EE"/>
    <w:rsid w:val="00F85A4A"/>
    <w:rsid w:val="00F863B5"/>
    <w:rsid w:val="00F86783"/>
    <w:rsid w:val="00F86A6D"/>
    <w:rsid w:val="00F86E34"/>
    <w:rsid w:val="00F86F76"/>
    <w:rsid w:val="00F87527"/>
    <w:rsid w:val="00F876A8"/>
    <w:rsid w:val="00F87782"/>
    <w:rsid w:val="00F87B21"/>
    <w:rsid w:val="00F87DFA"/>
    <w:rsid w:val="00F9045D"/>
    <w:rsid w:val="00F90AF8"/>
    <w:rsid w:val="00F915B6"/>
    <w:rsid w:val="00F91F8E"/>
    <w:rsid w:val="00F925CC"/>
    <w:rsid w:val="00F93200"/>
    <w:rsid w:val="00F9342C"/>
    <w:rsid w:val="00F9396C"/>
    <w:rsid w:val="00F93A63"/>
    <w:rsid w:val="00F93F9A"/>
    <w:rsid w:val="00F9458F"/>
    <w:rsid w:val="00F94879"/>
    <w:rsid w:val="00F94A97"/>
    <w:rsid w:val="00F94B9F"/>
    <w:rsid w:val="00F94CF4"/>
    <w:rsid w:val="00F94D43"/>
    <w:rsid w:val="00F95023"/>
    <w:rsid w:val="00F951DB"/>
    <w:rsid w:val="00F9596D"/>
    <w:rsid w:val="00F95970"/>
    <w:rsid w:val="00F9610B"/>
    <w:rsid w:val="00F96668"/>
    <w:rsid w:val="00F967DB"/>
    <w:rsid w:val="00F96B4A"/>
    <w:rsid w:val="00F96BE3"/>
    <w:rsid w:val="00F96CE5"/>
    <w:rsid w:val="00F97A7D"/>
    <w:rsid w:val="00F97C1E"/>
    <w:rsid w:val="00FA0424"/>
    <w:rsid w:val="00FA0854"/>
    <w:rsid w:val="00FA1585"/>
    <w:rsid w:val="00FA2615"/>
    <w:rsid w:val="00FA2C21"/>
    <w:rsid w:val="00FA2CCF"/>
    <w:rsid w:val="00FA2E5C"/>
    <w:rsid w:val="00FA345E"/>
    <w:rsid w:val="00FA35F5"/>
    <w:rsid w:val="00FA3A6A"/>
    <w:rsid w:val="00FA3DC0"/>
    <w:rsid w:val="00FA3FEF"/>
    <w:rsid w:val="00FA54E5"/>
    <w:rsid w:val="00FA6360"/>
    <w:rsid w:val="00FA6624"/>
    <w:rsid w:val="00FA70C6"/>
    <w:rsid w:val="00FA7104"/>
    <w:rsid w:val="00FB0DB9"/>
    <w:rsid w:val="00FB18EA"/>
    <w:rsid w:val="00FB1DAD"/>
    <w:rsid w:val="00FB2025"/>
    <w:rsid w:val="00FB2408"/>
    <w:rsid w:val="00FB282D"/>
    <w:rsid w:val="00FB2EF1"/>
    <w:rsid w:val="00FB326E"/>
    <w:rsid w:val="00FB346E"/>
    <w:rsid w:val="00FB38E4"/>
    <w:rsid w:val="00FB3D72"/>
    <w:rsid w:val="00FB44D2"/>
    <w:rsid w:val="00FB5403"/>
    <w:rsid w:val="00FB5591"/>
    <w:rsid w:val="00FB5711"/>
    <w:rsid w:val="00FB588F"/>
    <w:rsid w:val="00FB5CBE"/>
    <w:rsid w:val="00FB5CD8"/>
    <w:rsid w:val="00FB5DE4"/>
    <w:rsid w:val="00FB67BA"/>
    <w:rsid w:val="00FB6C21"/>
    <w:rsid w:val="00FB7338"/>
    <w:rsid w:val="00FB7679"/>
    <w:rsid w:val="00FB76B7"/>
    <w:rsid w:val="00FB77D9"/>
    <w:rsid w:val="00FB786F"/>
    <w:rsid w:val="00FB7AC7"/>
    <w:rsid w:val="00FC013A"/>
    <w:rsid w:val="00FC0831"/>
    <w:rsid w:val="00FC0BCF"/>
    <w:rsid w:val="00FC0D62"/>
    <w:rsid w:val="00FC10F5"/>
    <w:rsid w:val="00FC1E0E"/>
    <w:rsid w:val="00FC26B3"/>
    <w:rsid w:val="00FC2876"/>
    <w:rsid w:val="00FC2996"/>
    <w:rsid w:val="00FC330C"/>
    <w:rsid w:val="00FC365E"/>
    <w:rsid w:val="00FC3926"/>
    <w:rsid w:val="00FC3B16"/>
    <w:rsid w:val="00FC3BF6"/>
    <w:rsid w:val="00FC3E2B"/>
    <w:rsid w:val="00FC468F"/>
    <w:rsid w:val="00FC4E09"/>
    <w:rsid w:val="00FC5A6C"/>
    <w:rsid w:val="00FC5FB7"/>
    <w:rsid w:val="00FC6267"/>
    <w:rsid w:val="00FC6B76"/>
    <w:rsid w:val="00FC748D"/>
    <w:rsid w:val="00FC795B"/>
    <w:rsid w:val="00FC7E7D"/>
    <w:rsid w:val="00FD0C2B"/>
    <w:rsid w:val="00FD1305"/>
    <w:rsid w:val="00FD134B"/>
    <w:rsid w:val="00FD185B"/>
    <w:rsid w:val="00FD19C3"/>
    <w:rsid w:val="00FD24B1"/>
    <w:rsid w:val="00FD28B0"/>
    <w:rsid w:val="00FD2A66"/>
    <w:rsid w:val="00FD304C"/>
    <w:rsid w:val="00FD522B"/>
    <w:rsid w:val="00FD543C"/>
    <w:rsid w:val="00FD7137"/>
    <w:rsid w:val="00FD75D0"/>
    <w:rsid w:val="00FE0531"/>
    <w:rsid w:val="00FE05E5"/>
    <w:rsid w:val="00FE081D"/>
    <w:rsid w:val="00FE11BF"/>
    <w:rsid w:val="00FE124B"/>
    <w:rsid w:val="00FE17EF"/>
    <w:rsid w:val="00FE2040"/>
    <w:rsid w:val="00FE37AE"/>
    <w:rsid w:val="00FE3B01"/>
    <w:rsid w:val="00FE3E52"/>
    <w:rsid w:val="00FE41E4"/>
    <w:rsid w:val="00FE450D"/>
    <w:rsid w:val="00FE47EA"/>
    <w:rsid w:val="00FE540F"/>
    <w:rsid w:val="00FE5A76"/>
    <w:rsid w:val="00FE5BC9"/>
    <w:rsid w:val="00FE5DF9"/>
    <w:rsid w:val="00FE633C"/>
    <w:rsid w:val="00FE683F"/>
    <w:rsid w:val="00FE711B"/>
    <w:rsid w:val="00FE7C07"/>
    <w:rsid w:val="00FF086B"/>
    <w:rsid w:val="00FF09E9"/>
    <w:rsid w:val="00FF0BF0"/>
    <w:rsid w:val="00FF10A4"/>
    <w:rsid w:val="00FF12F5"/>
    <w:rsid w:val="00FF1E46"/>
    <w:rsid w:val="00FF3E53"/>
    <w:rsid w:val="00FF42C6"/>
    <w:rsid w:val="00FF49A3"/>
    <w:rsid w:val="00FF4E04"/>
    <w:rsid w:val="00FF5183"/>
    <w:rsid w:val="00FF55B3"/>
    <w:rsid w:val="00FF5A22"/>
    <w:rsid w:val="00FF60C8"/>
    <w:rsid w:val="00FF62EF"/>
    <w:rsid w:val="00FF6B27"/>
    <w:rsid w:val="00FF6C92"/>
    <w:rsid w:val="00FF6CA3"/>
    <w:rsid w:val="00FF6FF6"/>
    <w:rsid w:val="00FF72F3"/>
    <w:rsid w:val="00FF7331"/>
    <w:rsid w:val="00FF7847"/>
    <w:rsid w:val="012431F2"/>
    <w:rsid w:val="01285366"/>
    <w:rsid w:val="02DA7C83"/>
    <w:rsid w:val="03054B85"/>
    <w:rsid w:val="039027A4"/>
    <w:rsid w:val="044676DD"/>
    <w:rsid w:val="04F73E46"/>
    <w:rsid w:val="07293606"/>
    <w:rsid w:val="07D02270"/>
    <w:rsid w:val="085B203F"/>
    <w:rsid w:val="08E41BB0"/>
    <w:rsid w:val="0911622E"/>
    <w:rsid w:val="09342BB7"/>
    <w:rsid w:val="0A2763AB"/>
    <w:rsid w:val="0AA1636F"/>
    <w:rsid w:val="0AB073F7"/>
    <w:rsid w:val="0AD265F0"/>
    <w:rsid w:val="0E2B14B0"/>
    <w:rsid w:val="0E780656"/>
    <w:rsid w:val="0EC07854"/>
    <w:rsid w:val="0F380697"/>
    <w:rsid w:val="10D65CB9"/>
    <w:rsid w:val="114259EE"/>
    <w:rsid w:val="142E109D"/>
    <w:rsid w:val="172D349C"/>
    <w:rsid w:val="17600F8C"/>
    <w:rsid w:val="18610BFA"/>
    <w:rsid w:val="18CD45C3"/>
    <w:rsid w:val="18FD00CC"/>
    <w:rsid w:val="1901002F"/>
    <w:rsid w:val="19AF077E"/>
    <w:rsid w:val="1A13180C"/>
    <w:rsid w:val="1B090713"/>
    <w:rsid w:val="1C3A5CF7"/>
    <w:rsid w:val="1C8939ED"/>
    <w:rsid w:val="1E8F11F4"/>
    <w:rsid w:val="1F440638"/>
    <w:rsid w:val="203E54ED"/>
    <w:rsid w:val="20481998"/>
    <w:rsid w:val="206C1EB9"/>
    <w:rsid w:val="20D81F78"/>
    <w:rsid w:val="225F04F3"/>
    <w:rsid w:val="229914FC"/>
    <w:rsid w:val="23E9110E"/>
    <w:rsid w:val="256B0159"/>
    <w:rsid w:val="26006D15"/>
    <w:rsid w:val="27356E2C"/>
    <w:rsid w:val="28485E2E"/>
    <w:rsid w:val="28DC04DE"/>
    <w:rsid w:val="2AA738A6"/>
    <w:rsid w:val="322B328A"/>
    <w:rsid w:val="32606675"/>
    <w:rsid w:val="3336720B"/>
    <w:rsid w:val="33AD3DF4"/>
    <w:rsid w:val="341F2BDF"/>
    <w:rsid w:val="3563101B"/>
    <w:rsid w:val="36EC4165"/>
    <w:rsid w:val="37F56A60"/>
    <w:rsid w:val="385370C4"/>
    <w:rsid w:val="386575CB"/>
    <w:rsid w:val="38774DFB"/>
    <w:rsid w:val="387D2A98"/>
    <w:rsid w:val="3888072D"/>
    <w:rsid w:val="389B0213"/>
    <w:rsid w:val="39810860"/>
    <w:rsid w:val="39F040E9"/>
    <w:rsid w:val="3AA86E73"/>
    <w:rsid w:val="3BCC3680"/>
    <w:rsid w:val="3CC01271"/>
    <w:rsid w:val="3EEB1E00"/>
    <w:rsid w:val="3F553E59"/>
    <w:rsid w:val="3F946CC8"/>
    <w:rsid w:val="405D7D43"/>
    <w:rsid w:val="40705891"/>
    <w:rsid w:val="41744A73"/>
    <w:rsid w:val="418760DB"/>
    <w:rsid w:val="41C5540A"/>
    <w:rsid w:val="42021143"/>
    <w:rsid w:val="428D7F1F"/>
    <w:rsid w:val="439647F3"/>
    <w:rsid w:val="47550EE8"/>
    <w:rsid w:val="4797686C"/>
    <w:rsid w:val="48137A99"/>
    <w:rsid w:val="4AEB2504"/>
    <w:rsid w:val="4AF42D21"/>
    <w:rsid w:val="4B7436FC"/>
    <w:rsid w:val="4CA36C5E"/>
    <w:rsid w:val="4E373FB9"/>
    <w:rsid w:val="4E5869D7"/>
    <w:rsid w:val="4E5F4B35"/>
    <w:rsid w:val="4F832155"/>
    <w:rsid w:val="4FD74096"/>
    <w:rsid w:val="510A201B"/>
    <w:rsid w:val="514F2D74"/>
    <w:rsid w:val="516641C4"/>
    <w:rsid w:val="51DA69F6"/>
    <w:rsid w:val="52376B55"/>
    <w:rsid w:val="53651C30"/>
    <w:rsid w:val="536609FE"/>
    <w:rsid w:val="53661EEE"/>
    <w:rsid w:val="54375DA3"/>
    <w:rsid w:val="54F87BE0"/>
    <w:rsid w:val="551A4B65"/>
    <w:rsid w:val="55793041"/>
    <w:rsid w:val="57813575"/>
    <w:rsid w:val="581A3FD2"/>
    <w:rsid w:val="584E76C9"/>
    <w:rsid w:val="586D2637"/>
    <w:rsid w:val="592677BE"/>
    <w:rsid w:val="59EA7F10"/>
    <w:rsid w:val="5B2A68B8"/>
    <w:rsid w:val="5B483615"/>
    <w:rsid w:val="5B805E04"/>
    <w:rsid w:val="5BCF5928"/>
    <w:rsid w:val="5D83706D"/>
    <w:rsid w:val="5DCF085D"/>
    <w:rsid w:val="5DE17D00"/>
    <w:rsid w:val="5E363E16"/>
    <w:rsid w:val="5E6A1ADC"/>
    <w:rsid w:val="5EC81A61"/>
    <w:rsid w:val="5EC96055"/>
    <w:rsid w:val="5ED24461"/>
    <w:rsid w:val="5F7074BD"/>
    <w:rsid w:val="5F866935"/>
    <w:rsid w:val="60471EB4"/>
    <w:rsid w:val="62047B82"/>
    <w:rsid w:val="629865CC"/>
    <w:rsid w:val="64221F99"/>
    <w:rsid w:val="642C1EC0"/>
    <w:rsid w:val="64437443"/>
    <w:rsid w:val="648B5259"/>
    <w:rsid w:val="654C7165"/>
    <w:rsid w:val="65DA048C"/>
    <w:rsid w:val="661D0554"/>
    <w:rsid w:val="66483A63"/>
    <w:rsid w:val="67BE4F85"/>
    <w:rsid w:val="67FC264B"/>
    <w:rsid w:val="68721605"/>
    <w:rsid w:val="68D31648"/>
    <w:rsid w:val="68EF1642"/>
    <w:rsid w:val="698C4063"/>
    <w:rsid w:val="6A1F56F6"/>
    <w:rsid w:val="6ADF451B"/>
    <w:rsid w:val="6B2F54CF"/>
    <w:rsid w:val="6BA97C94"/>
    <w:rsid w:val="6C1D2A4C"/>
    <w:rsid w:val="6CD86626"/>
    <w:rsid w:val="6CDE56D7"/>
    <w:rsid w:val="6D564B99"/>
    <w:rsid w:val="6E113DF3"/>
    <w:rsid w:val="6EDC5B75"/>
    <w:rsid w:val="6FF17961"/>
    <w:rsid w:val="700534A3"/>
    <w:rsid w:val="71852833"/>
    <w:rsid w:val="71E8395E"/>
    <w:rsid w:val="71EF1C55"/>
    <w:rsid w:val="725A52FA"/>
    <w:rsid w:val="731C3A74"/>
    <w:rsid w:val="768E3C4A"/>
    <w:rsid w:val="76FF1515"/>
    <w:rsid w:val="77BB7708"/>
    <w:rsid w:val="7A426E93"/>
    <w:rsid w:val="7A5F53CD"/>
    <w:rsid w:val="7B0C5E70"/>
    <w:rsid w:val="7BBD0F7E"/>
    <w:rsid w:val="7C1259AC"/>
    <w:rsid w:val="7D884829"/>
    <w:rsid w:val="7DFF5E75"/>
    <w:rsid w:val="7EFF7FA6"/>
    <w:rsid w:val="7F7703C4"/>
    <w:rsid w:val="7FC15C7B"/>
    <w:rsid w:val="BBFA9F0C"/>
    <w:rsid w:val="FEF37EF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qFormat="1"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iPriority="0" w:name="index heading"/>
    <w:lsdException w:qFormat="1" w:uiPriority="0" w:name="caption"/>
    <w:lsdException w:uiPriority="0" w:name="table of figures"/>
    <w:lsdException w:uiPriority="0" w:name="envelope address"/>
    <w:lsdException w:uiPriority="0" w:name="envelope return"/>
    <w:lsdException w:qFormat="1"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qFormat="1" w:unhideWhenUsed="0" w:uiPriority="0" w:semiHidden="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0" w:name="Document Map"/>
    <w:lsdException w:qFormat="1"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PMingLiU" w:cs="Times New Roman"/>
      <w:sz w:val="24"/>
      <w:szCs w:val="24"/>
      <w:lang w:val="en-US" w:eastAsia="zh-TW"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84"/>
    <w:qFormat/>
    <w:uiPriority w:val="0"/>
    <w:pPr>
      <w:keepNext/>
      <w:keepLines/>
      <w:widowControl w:val="0"/>
      <w:spacing w:before="260" w:after="260" w:line="416" w:lineRule="auto"/>
      <w:jc w:val="both"/>
      <w:outlineLvl w:val="1"/>
    </w:pPr>
    <w:rPr>
      <w:rFonts w:ascii="Arial" w:hAnsi="Arial" w:eastAsia="黑体"/>
      <w:b/>
      <w:bCs/>
      <w:kern w:val="2"/>
      <w:sz w:val="32"/>
      <w:szCs w:val="32"/>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unhideWhenUsed/>
    <w:qFormat/>
    <w:uiPriority w:val="39"/>
    <w:pPr>
      <w:ind w:left="1440"/>
    </w:pPr>
    <w:rPr>
      <w:rFonts w:ascii="Calibri" w:hAnsi="Calibri" w:cs="Calibri"/>
      <w:sz w:val="18"/>
      <w:szCs w:val="18"/>
    </w:rPr>
  </w:style>
  <w:style w:type="paragraph" w:styleId="5">
    <w:name w:val="Document Map"/>
    <w:basedOn w:val="1"/>
    <w:link w:val="134"/>
    <w:semiHidden/>
    <w:unhideWhenUsed/>
    <w:qFormat/>
    <w:uiPriority w:val="0"/>
  </w:style>
  <w:style w:type="paragraph" w:styleId="6">
    <w:name w:val="annotation text"/>
    <w:basedOn w:val="1"/>
    <w:link w:val="90"/>
    <w:qFormat/>
    <w:uiPriority w:val="0"/>
  </w:style>
  <w:style w:type="paragraph" w:styleId="7">
    <w:name w:val="List Bullet 3"/>
    <w:basedOn w:val="1"/>
    <w:qFormat/>
    <w:uiPriority w:val="0"/>
    <w:pPr>
      <w:widowControl w:val="0"/>
      <w:spacing w:line="360" w:lineRule="exact"/>
      <w:jc w:val="both"/>
    </w:pPr>
    <w:rPr>
      <w:rFonts w:eastAsia="楷体_GB2312"/>
      <w:b/>
      <w:kern w:val="2"/>
      <w:lang w:eastAsia="zh-CN"/>
    </w:rPr>
  </w:style>
  <w:style w:type="paragraph" w:styleId="8">
    <w:name w:val="Body Text"/>
    <w:basedOn w:val="1"/>
    <w:link w:val="92"/>
    <w:qFormat/>
    <w:uiPriority w:val="0"/>
    <w:pPr>
      <w:spacing w:after="120"/>
    </w:pPr>
    <w:rPr>
      <w:lang w:eastAsia="zh-HK"/>
    </w:rPr>
  </w:style>
  <w:style w:type="paragraph" w:styleId="9">
    <w:name w:val="Body Text Indent"/>
    <w:basedOn w:val="1"/>
    <w:qFormat/>
    <w:uiPriority w:val="0"/>
    <w:pPr>
      <w:spacing w:after="120"/>
      <w:ind w:left="360"/>
    </w:pPr>
  </w:style>
  <w:style w:type="paragraph" w:styleId="10">
    <w:name w:val="toc 5"/>
    <w:basedOn w:val="1"/>
    <w:next w:val="1"/>
    <w:unhideWhenUsed/>
    <w:qFormat/>
    <w:uiPriority w:val="39"/>
    <w:pPr>
      <w:ind w:left="960"/>
    </w:pPr>
    <w:rPr>
      <w:rFonts w:ascii="Calibri" w:hAnsi="Calibri" w:cs="Calibri"/>
      <w:sz w:val="18"/>
      <w:szCs w:val="18"/>
    </w:rPr>
  </w:style>
  <w:style w:type="paragraph" w:styleId="11">
    <w:name w:val="toc 3"/>
    <w:basedOn w:val="1"/>
    <w:next w:val="1"/>
    <w:qFormat/>
    <w:uiPriority w:val="0"/>
    <w:pPr>
      <w:ind w:left="480"/>
    </w:pPr>
    <w:rPr>
      <w:rFonts w:ascii="楷体_GB2312" w:hAnsi="Calibri" w:eastAsia="楷体_GB2312" w:cs="Calibri"/>
      <w:iCs/>
    </w:rPr>
  </w:style>
  <w:style w:type="paragraph" w:styleId="12">
    <w:name w:val="Plain Text"/>
    <w:basedOn w:val="1"/>
    <w:link w:val="47"/>
    <w:unhideWhenUsed/>
    <w:qFormat/>
    <w:uiPriority w:val="99"/>
    <w:rPr>
      <w:rFonts w:ascii="Consolas" w:hAnsi="Consolas" w:eastAsia="宋体"/>
      <w:sz w:val="21"/>
      <w:szCs w:val="21"/>
      <w:lang w:eastAsia="zh-CN"/>
    </w:rPr>
  </w:style>
  <w:style w:type="paragraph" w:styleId="13">
    <w:name w:val="toc 8"/>
    <w:basedOn w:val="1"/>
    <w:next w:val="1"/>
    <w:unhideWhenUsed/>
    <w:qFormat/>
    <w:uiPriority w:val="39"/>
    <w:pPr>
      <w:ind w:left="1680"/>
    </w:pPr>
    <w:rPr>
      <w:rFonts w:ascii="Calibri" w:hAnsi="Calibri" w:cs="Calibri"/>
      <w:sz w:val="18"/>
      <w:szCs w:val="18"/>
    </w:rPr>
  </w:style>
  <w:style w:type="paragraph" w:styleId="14">
    <w:name w:val="Date"/>
    <w:basedOn w:val="1"/>
    <w:next w:val="1"/>
    <w:link w:val="88"/>
    <w:qFormat/>
    <w:uiPriority w:val="0"/>
    <w:pPr>
      <w:widowControl w:val="0"/>
      <w:jc w:val="both"/>
    </w:pPr>
    <w:rPr>
      <w:rFonts w:eastAsia="楷体_GB2312"/>
      <w:b/>
      <w:kern w:val="2"/>
    </w:rPr>
  </w:style>
  <w:style w:type="paragraph" w:styleId="15">
    <w:name w:val="Body Text Indent 2"/>
    <w:basedOn w:val="1"/>
    <w:qFormat/>
    <w:uiPriority w:val="0"/>
    <w:pPr>
      <w:ind w:firstLine="547"/>
      <w:jc w:val="both"/>
    </w:pPr>
    <w:rPr>
      <w:rFonts w:ascii="Arial" w:hAnsi="Arial" w:eastAsia="楷体_GB2312"/>
      <w:lang w:eastAsia="zh-CN"/>
    </w:rPr>
  </w:style>
  <w:style w:type="paragraph" w:styleId="16">
    <w:name w:val="Balloon Text"/>
    <w:basedOn w:val="1"/>
    <w:semiHidden/>
    <w:qFormat/>
    <w:uiPriority w:val="0"/>
    <w:rPr>
      <w:rFonts w:ascii="Tahoma" w:hAnsi="Tahoma" w:cs="Tahoma"/>
      <w:sz w:val="16"/>
      <w:szCs w:val="16"/>
    </w:rPr>
  </w:style>
  <w:style w:type="paragraph" w:styleId="17">
    <w:name w:val="footer"/>
    <w:basedOn w:val="1"/>
    <w:link w:val="74"/>
    <w:qFormat/>
    <w:uiPriority w:val="99"/>
    <w:pPr>
      <w:tabs>
        <w:tab w:val="center" w:pos="4320"/>
        <w:tab w:val="right" w:pos="8640"/>
      </w:tabs>
    </w:pPr>
  </w:style>
  <w:style w:type="paragraph" w:styleId="18">
    <w:name w:val="header"/>
    <w:basedOn w:val="1"/>
    <w:link w:val="75"/>
    <w:qFormat/>
    <w:uiPriority w:val="99"/>
    <w:pPr>
      <w:tabs>
        <w:tab w:val="center" w:pos="4320"/>
        <w:tab w:val="right" w:pos="8640"/>
      </w:tabs>
    </w:pPr>
  </w:style>
  <w:style w:type="paragraph" w:styleId="19">
    <w:name w:val="toc 1"/>
    <w:basedOn w:val="1"/>
    <w:next w:val="1"/>
    <w:qFormat/>
    <w:uiPriority w:val="39"/>
    <w:pPr>
      <w:spacing w:before="120" w:after="120"/>
    </w:pPr>
    <w:rPr>
      <w:rFonts w:ascii="Calibri" w:hAnsi="Calibri" w:cs="Calibri"/>
      <w:b/>
      <w:bCs/>
      <w:caps/>
      <w:sz w:val="20"/>
      <w:szCs w:val="20"/>
    </w:rPr>
  </w:style>
  <w:style w:type="paragraph" w:styleId="20">
    <w:name w:val="toc 4"/>
    <w:basedOn w:val="1"/>
    <w:next w:val="1"/>
    <w:unhideWhenUsed/>
    <w:qFormat/>
    <w:uiPriority w:val="39"/>
    <w:pPr>
      <w:ind w:left="720"/>
    </w:pPr>
    <w:rPr>
      <w:rFonts w:ascii="Calibri" w:hAnsi="Calibri" w:cs="Calibri"/>
      <w:sz w:val="18"/>
      <w:szCs w:val="18"/>
    </w:rPr>
  </w:style>
  <w:style w:type="paragraph" w:styleId="21">
    <w:name w:val="index heading"/>
    <w:basedOn w:val="1"/>
    <w:next w:val="22"/>
    <w:semiHidden/>
    <w:unhideWhenUsed/>
    <w:qFormat/>
    <w:uiPriority w:val="0"/>
    <w:rPr>
      <w:rFonts w:asciiTheme="majorHAnsi" w:hAnsiTheme="majorHAnsi" w:eastAsiaTheme="majorEastAsia" w:cstheme="majorBidi"/>
      <w:b/>
      <w:bCs/>
    </w:rPr>
  </w:style>
  <w:style w:type="paragraph" w:styleId="22">
    <w:name w:val="index 1"/>
    <w:basedOn w:val="1"/>
    <w:next w:val="1"/>
    <w:semiHidden/>
    <w:qFormat/>
    <w:uiPriority w:val="0"/>
    <w:rPr>
      <w:rFonts w:eastAsia="宋体"/>
      <w:lang w:val="en-GB" w:eastAsia="en-US"/>
    </w:rPr>
  </w:style>
  <w:style w:type="paragraph" w:styleId="23">
    <w:name w:val="footnote text"/>
    <w:basedOn w:val="1"/>
    <w:link w:val="149"/>
    <w:semiHidden/>
    <w:unhideWhenUsed/>
    <w:qFormat/>
    <w:uiPriority w:val="0"/>
    <w:pPr>
      <w:snapToGrid w:val="0"/>
    </w:pPr>
    <w:rPr>
      <w:sz w:val="18"/>
      <w:szCs w:val="18"/>
    </w:rPr>
  </w:style>
  <w:style w:type="paragraph" w:styleId="24">
    <w:name w:val="toc 6"/>
    <w:basedOn w:val="1"/>
    <w:next w:val="1"/>
    <w:unhideWhenUsed/>
    <w:qFormat/>
    <w:uiPriority w:val="39"/>
    <w:pPr>
      <w:ind w:left="1200"/>
    </w:pPr>
    <w:rPr>
      <w:rFonts w:ascii="Calibri" w:hAnsi="Calibri" w:cs="Calibri"/>
      <w:sz w:val="18"/>
      <w:szCs w:val="18"/>
    </w:rPr>
  </w:style>
  <w:style w:type="paragraph" w:styleId="25">
    <w:name w:val="Body Text Indent 3"/>
    <w:basedOn w:val="1"/>
    <w:link w:val="86"/>
    <w:qFormat/>
    <w:uiPriority w:val="0"/>
    <w:pPr>
      <w:widowControl w:val="0"/>
      <w:spacing w:after="120"/>
      <w:ind w:left="420" w:leftChars="200"/>
      <w:jc w:val="both"/>
    </w:pPr>
    <w:rPr>
      <w:rFonts w:eastAsia="宋体"/>
      <w:kern w:val="2"/>
      <w:sz w:val="16"/>
      <w:szCs w:val="16"/>
    </w:rPr>
  </w:style>
  <w:style w:type="paragraph" w:styleId="26">
    <w:name w:val="toc 2"/>
    <w:basedOn w:val="1"/>
    <w:next w:val="1"/>
    <w:qFormat/>
    <w:uiPriority w:val="39"/>
    <w:pPr>
      <w:ind w:left="240"/>
    </w:pPr>
    <w:rPr>
      <w:rFonts w:ascii="Calibri" w:hAnsi="Calibri" w:cs="Calibri"/>
      <w:smallCaps/>
      <w:sz w:val="20"/>
      <w:szCs w:val="20"/>
    </w:rPr>
  </w:style>
  <w:style w:type="paragraph" w:styleId="27">
    <w:name w:val="toc 9"/>
    <w:basedOn w:val="1"/>
    <w:next w:val="1"/>
    <w:unhideWhenUsed/>
    <w:qFormat/>
    <w:uiPriority w:val="39"/>
    <w:pPr>
      <w:ind w:left="1920"/>
    </w:pPr>
    <w:rPr>
      <w:rFonts w:ascii="Calibri" w:hAnsi="Calibri" w:cs="Calibri"/>
      <w:sz w:val="18"/>
      <w:szCs w:val="18"/>
    </w:rPr>
  </w:style>
  <w:style w:type="paragraph" w:styleId="28">
    <w:name w:val="HTML Preformatted"/>
    <w:basedOn w:val="1"/>
    <w:link w:val="135"/>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lang w:eastAsia="zh-CN"/>
    </w:rPr>
  </w:style>
  <w:style w:type="paragraph" w:styleId="29">
    <w:name w:val="Normal (Web)"/>
    <w:basedOn w:val="1"/>
    <w:unhideWhenUsed/>
    <w:qFormat/>
    <w:uiPriority w:val="0"/>
    <w:pPr>
      <w:spacing w:before="100" w:beforeAutospacing="1" w:after="100" w:afterAutospacing="1"/>
    </w:pPr>
    <w:rPr>
      <w:rFonts w:ascii="宋体" w:hAnsi="宋体" w:eastAsia="宋体" w:cs="宋体"/>
      <w:lang w:eastAsia="zh-CN"/>
    </w:rPr>
  </w:style>
  <w:style w:type="paragraph" w:styleId="30">
    <w:name w:val="annotation subject"/>
    <w:basedOn w:val="6"/>
    <w:next w:val="6"/>
    <w:link w:val="91"/>
    <w:qFormat/>
    <w:uiPriority w:val="0"/>
    <w:rPr>
      <w:b/>
      <w:bCs/>
    </w:rPr>
  </w:style>
  <w:style w:type="table" w:styleId="32">
    <w:name w:val="Table Grid"/>
    <w:basedOn w:val="31"/>
    <w:qFormat/>
    <w:uiPriority w:val="0"/>
    <w:rPr>
      <w:rFonts w:eastAsia="PMingLi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page number"/>
    <w:basedOn w:val="33"/>
    <w:qFormat/>
    <w:uiPriority w:val="0"/>
  </w:style>
  <w:style w:type="character" w:styleId="35">
    <w:name w:val="FollowedHyperlink"/>
    <w:basedOn w:val="33"/>
    <w:qFormat/>
    <w:uiPriority w:val="0"/>
    <w:rPr>
      <w:color w:val="800080" w:themeColor="followedHyperlink"/>
      <w:u w:val="single"/>
      <w14:textFill>
        <w14:solidFill>
          <w14:schemeClr w14:val="folHlink"/>
        </w14:solidFill>
      </w14:textFill>
    </w:rPr>
  </w:style>
  <w:style w:type="character" w:styleId="36">
    <w:name w:val="Hyperlink"/>
    <w:qFormat/>
    <w:uiPriority w:val="99"/>
    <w:rPr>
      <w:color w:val="0000FF"/>
      <w:u w:val="single"/>
    </w:rPr>
  </w:style>
  <w:style w:type="character" w:styleId="37">
    <w:name w:val="annotation reference"/>
    <w:qFormat/>
    <w:uiPriority w:val="0"/>
    <w:rPr>
      <w:sz w:val="21"/>
      <w:szCs w:val="21"/>
    </w:rPr>
  </w:style>
  <w:style w:type="character" w:styleId="38">
    <w:name w:val="footnote reference"/>
    <w:basedOn w:val="33"/>
    <w:semiHidden/>
    <w:unhideWhenUsed/>
    <w:qFormat/>
    <w:uiPriority w:val="0"/>
    <w:rPr>
      <w:vertAlign w:val="superscript"/>
    </w:rPr>
  </w:style>
  <w:style w:type="character" w:customStyle="1" w:styleId="39">
    <w:name w:val="标题 1 字符"/>
    <w:link w:val="2"/>
    <w:qFormat/>
    <w:uiPriority w:val="0"/>
    <w:rPr>
      <w:rFonts w:eastAsia="PMingLiU"/>
      <w:b/>
      <w:bCs/>
      <w:kern w:val="44"/>
      <w:sz w:val="44"/>
      <w:szCs w:val="44"/>
      <w:lang w:eastAsia="zh-TW"/>
    </w:rPr>
  </w:style>
  <w:style w:type="paragraph" w:styleId="40">
    <w:name w:val="List Paragraph"/>
    <w:basedOn w:val="1"/>
    <w:qFormat/>
    <w:uiPriority w:val="99"/>
    <w:pPr>
      <w:ind w:firstLine="420" w:firstLineChars="200"/>
    </w:pPr>
  </w:style>
  <w:style w:type="paragraph" w:customStyle="1" w:styleId="41">
    <w:name w:val="Char Char Char Char"/>
    <w:basedOn w:val="1"/>
    <w:qFormat/>
    <w:uiPriority w:val="0"/>
    <w:pPr>
      <w:spacing w:after="160" w:line="240" w:lineRule="exact"/>
    </w:pPr>
    <w:rPr>
      <w:rFonts w:ascii="Verdana" w:hAnsi="Verdana" w:eastAsia="Times New Roman"/>
      <w:sz w:val="20"/>
      <w:szCs w:val="20"/>
      <w:lang w:eastAsia="en-US"/>
    </w:rPr>
  </w:style>
  <w:style w:type="paragraph" w:customStyle="1" w:styleId="42">
    <w:name w:val="heading+ KaiTi_GB2312"/>
    <w:basedOn w:val="1"/>
    <w:qFormat/>
    <w:uiPriority w:val="0"/>
    <w:rPr>
      <w:rFonts w:ascii="楷体_GB2312" w:hAnsi="宋体" w:eastAsia="楷体_GB2312"/>
      <w:b/>
      <w:bCs/>
      <w:kern w:val="2"/>
      <w:sz w:val="44"/>
      <w:szCs w:val="44"/>
      <w:lang w:eastAsia="zh-CN"/>
    </w:rPr>
  </w:style>
  <w:style w:type="paragraph" w:customStyle="1" w:styleId="43">
    <w:name w:val="Char Char Char Char Char Char Char Char"/>
    <w:basedOn w:val="1"/>
    <w:qFormat/>
    <w:uiPriority w:val="0"/>
    <w:pPr>
      <w:spacing w:after="160" w:line="240" w:lineRule="exact"/>
    </w:pPr>
    <w:rPr>
      <w:rFonts w:ascii="Verdana" w:hAnsi="Verdana" w:eastAsia="Times New Roman"/>
      <w:sz w:val="20"/>
      <w:szCs w:val="20"/>
      <w:lang w:eastAsia="en-US"/>
    </w:rPr>
  </w:style>
  <w:style w:type="paragraph" w:customStyle="1" w:styleId="44">
    <w:name w:val="Char Char Char1"/>
    <w:basedOn w:val="1"/>
    <w:qFormat/>
    <w:uiPriority w:val="0"/>
    <w:pPr>
      <w:spacing w:after="160" w:line="240" w:lineRule="exact"/>
      <w:jc w:val="both"/>
    </w:pPr>
    <w:rPr>
      <w:rFonts w:eastAsia="宋体" w:cs="Arial"/>
      <w:sz w:val="22"/>
      <w:szCs w:val="20"/>
      <w:lang w:eastAsia="en-US"/>
    </w:rPr>
  </w:style>
  <w:style w:type="paragraph" w:customStyle="1" w:styleId="45">
    <w:name w:val="Head Bold"/>
    <w:basedOn w:val="1"/>
    <w:qFormat/>
    <w:uiPriority w:val="0"/>
    <w:pPr>
      <w:keepNext/>
      <w:spacing w:before="240" w:after="120"/>
    </w:pPr>
    <w:rPr>
      <w:rFonts w:ascii="Arial" w:hAnsi="Arial" w:eastAsia="BatangChe" w:cs="Arial"/>
      <w:b/>
      <w:snapToGrid w:val="0"/>
      <w:sz w:val="22"/>
      <w:szCs w:val="20"/>
      <w:lang w:val="en-GB" w:eastAsia="en-US"/>
    </w:rPr>
  </w:style>
  <w:style w:type="paragraph" w:customStyle="1" w:styleId="46">
    <w:name w:val="Char Char Char Char Char Char Char Char Char Char Char Char"/>
    <w:basedOn w:val="1"/>
    <w:qFormat/>
    <w:uiPriority w:val="0"/>
    <w:pPr>
      <w:spacing w:after="160" w:line="240" w:lineRule="exact"/>
    </w:pPr>
    <w:rPr>
      <w:rFonts w:ascii="Verdana" w:hAnsi="Verdana" w:eastAsia="Times New Roman"/>
      <w:sz w:val="20"/>
      <w:szCs w:val="20"/>
      <w:lang w:eastAsia="en-US"/>
    </w:rPr>
  </w:style>
  <w:style w:type="character" w:customStyle="1" w:styleId="47">
    <w:name w:val="纯文本 字符"/>
    <w:link w:val="12"/>
    <w:qFormat/>
    <w:uiPriority w:val="99"/>
    <w:rPr>
      <w:rFonts w:ascii="Consolas" w:hAnsi="Consolas" w:eastAsia="宋体"/>
      <w:sz w:val="21"/>
      <w:szCs w:val="21"/>
      <w:lang w:val="en-US" w:eastAsia="zh-CN" w:bidi="ar-SA"/>
    </w:rPr>
  </w:style>
  <w:style w:type="paragraph" w:customStyle="1" w:styleId="48">
    <w:name w:val="FWB_L1"/>
    <w:basedOn w:val="1"/>
    <w:next w:val="49"/>
    <w:qFormat/>
    <w:uiPriority w:val="0"/>
    <w:pPr>
      <w:keepNext/>
      <w:keepLines/>
      <w:numPr>
        <w:ilvl w:val="0"/>
        <w:numId w:val="1"/>
      </w:numPr>
      <w:spacing w:after="240"/>
      <w:outlineLvl w:val="0"/>
    </w:pPr>
    <w:rPr>
      <w:rFonts w:eastAsia="宋体"/>
      <w:b/>
      <w:smallCaps/>
      <w:snapToGrid w:val="0"/>
      <w:szCs w:val="20"/>
      <w:lang w:val="en-GB" w:eastAsia="en-US"/>
    </w:rPr>
  </w:style>
  <w:style w:type="paragraph" w:customStyle="1" w:styleId="49">
    <w:name w:val="FWB_L2"/>
    <w:basedOn w:val="48"/>
    <w:qFormat/>
    <w:uiPriority w:val="0"/>
    <w:pPr>
      <w:keepNext w:val="0"/>
      <w:keepLines w:val="0"/>
      <w:numPr>
        <w:ilvl w:val="1"/>
      </w:numPr>
      <w:jc w:val="both"/>
      <w:outlineLvl w:val="9"/>
    </w:pPr>
    <w:rPr>
      <w:b w:val="0"/>
      <w:smallCaps w:val="0"/>
    </w:rPr>
  </w:style>
  <w:style w:type="paragraph" w:customStyle="1" w:styleId="50">
    <w:name w:val="FWB_L3"/>
    <w:basedOn w:val="49"/>
    <w:qFormat/>
    <w:uiPriority w:val="0"/>
    <w:pPr>
      <w:numPr>
        <w:ilvl w:val="0"/>
        <w:numId w:val="0"/>
      </w:numPr>
    </w:pPr>
  </w:style>
  <w:style w:type="paragraph" w:customStyle="1" w:styleId="51">
    <w:name w:val="FWB_L4"/>
    <w:basedOn w:val="50"/>
    <w:qFormat/>
    <w:uiPriority w:val="0"/>
  </w:style>
  <w:style w:type="paragraph" w:customStyle="1" w:styleId="52">
    <w:name w:val="FWB_L5"/>
    <w:basedOn w:val="51"/>
    <w:qFormat/>
    <w:uiPriority w:val="0"/>
    <w:pPr>
      <w:numPr>
        <w:ilvl w:val="4"/>
        <w:numId w:val="1"/>
      </w:numPr>
    </w:pPr>
  </w:style>
  <w:style w:type="paragraph" w:customStyle="1" w:styleId="53">
    <w:name w:val="FWB_L6"/>
    <w:basedOn w:val="52"/>
    <w:qFormat/>
    <w:uiPriority w:val="0"/>
    <w:pPr>
      <w:numPr>
        <w:ilvl w:val="5"/>
      </w:numPr>
    </w:pPr>
  </w:style>
  <w:style w:type="paragraph" w:customStyle="1" w:styleId="54">
    <w:name w:val="FWB_L7"/>
    <w:basedOn w:val="53"/>
    <w:qFormat/>
    <w:uiPriority w:val="0"/>
    <w:pPr>
      <w:numPr>
        <w:ilvl w:val="6"/>
      </w:numPr>
    </w:pPr>
  </w:style>
  <w:style w:type="paragraph" w:customStyle="1" w:styleId="55">
    <w:name w:val="FWB_L8"/>
    <w:basedOn w:val="54"/>
    <w:qFormat/>
    <w:uiPriority w:val="0"/>
    <w:pPr>
      <w:numPr>
        <w:ilvl w:val="7"/>
      </w:numPr>
    </w:pPr>
  </w:style>
  <w:style w:type="paragraph" w:customStyle="1" w:styleId="56">
    <w:name w:val="样式1"/>
    <w:basedOn w:val="1"/>
    <w:qFormat/>
    <w:uiPriority w:val="0"/>
    <w:pPr>
      <w:widowControl w:val="0"/>
      <w:adjustRightInd w:val="0"/>
      <w:snapToGrid w:val="0"/>
      <w:jc w:val="both"/>
    </w:pPr>
    <w:rPr>
      <w:rFonts w:eastAsia="宋体"/>
      <w:kern w:val="2"/>
      <w:sz w:val="18"/>
      <w:lang w:eastAsia="zh-CN"/>
    </w:rPr>
  </w:style>
  <w:style w:type="paragraph" w:customStyle="1" w:styleId="57">
    <w:name w:val="样式2"/>
    <w:basedOn w:val="1"/>
    <w:qFormat/>
    <w:uiPriority w:val="0"/>
    <w:pPr>
      <w:widowControl w:val="0"/>
      <w:adjustRightInd w:val="0"/>
      <w:snapToGrid w:val="0"/>
      <w:spacing w:line="200" w:lineRule="exact"/>
      <w:jc w:val="both"/>
    </w:pPr>
    <w:rPr>
      <w:rFonts w:ascii="Arial Unicode MS" w:hAnsi="Arial Unicode MS" w:eastAsia="宋体"/>
      <w:kern w:val="2"/>
      <w:sz w:val="15"/>
      <w:lang w:eastAsia="zh-CN"/>
    </w:rPr>
  </w:style>
  <w:style w:type="paragraph" w:customStyle="1" w:styleId="58">
    <w:name w:val="样式3"/>
    <w:basedOn w:val="57"/>
    <w:qFormat/>
    <w:uiPriority w:val="0"/>
    <w:pPr>
      <w:spacing w:line="240" w:lineRule="auto"/>
    </w:pPr>
  </w:style>
  <w:style w:type="paragraph" w:customStyle="1" w:styleId="59">
    <w:name w:val="1"/>
    <w:basedOn w:val="1"/>
    <w:next w:val="9"/>
    <w:qFormat/>
    <w:uiPriority w:val="0"/>
    <w:pPr>
      <w:widowControl w:val="0"/>
      <w:spacing w:line="360" w:lineRule="auto"/>
      <w:ind w:firstLine="376"/>
      <w:jc w:val="both"/>
    </w:pPr>
    <w:rPr>
      <w:rFonts w:eastAsia="宋体"/>
      <w:kern w:val="2"/>
      <w:lang w:eastAsia="zh-CN"/>
    </w:rPr>
  </w:style>
  <w:style w:type="paragraph" w:customStyle="1" w:styleId="60">
    <w:name w:val="FWB Cont 3"/>
    <w:basedOn w:val="1"/>
    <w:qFormat/>
    <w:uiPriority w:val="0"/>
    <w:pPr>
      <w:spacing w:after="240"/>
      <w:ind w:left="720"/>
      <w:jc w:val="both"/>
    </w:pPr>
    <w:rPr>
      <w:rFonts w:eastAsia="宋体"/>
      <w:szCs w:val="20"/>
      <w:lang w:val="en-GB" w:eastAsia="en-US"/>
    </w:rPr>
  </w:style>
  <w:style w:type="paragraph" w:customStyle="1" w:styleId="61">
    <w:name w:val="FWS_L1"/>
    <w:basedOn w:val="1"/>
    <w:next w:val="62"/>
    <w:qFormat/>
    <w:uiPriority w:val="0"/>
    <w:pPr>
      <w:keepNext/>
      <w:keepLines/>
      <w:pageBreakBefore/>
      <w:numPr>
        <w:ilvl w:val="0"/>
        <w:numId w:val="2"/>
      </w:numPr>
      <w:spacing w:after="240" w:line="480" w:lineRule="auto"/>
      <w:jc w:val="center"/>
      <w:outlineLvl w:val="0"/>
    </w:pPr>
    <w:rPr>
      <w:rFonts w:eastAsia="宋体"/>
      <w:b/>
      <w:caps/>
      <w:szCs w:val="20"/>
      <w:lang w:val="en-GB" w:eastAsia="en-US"/>
    </w:rPr>
  </w:style>
  <w:style w:type="paragraph" w:customStyle="1" w:styleId="62">
    <w:name w:val="FWS_L2"/>
    <w:basedOn w:val="61"/>
    <w:next w:val="63"/>
    <w:qFormat/>
    <w:uiPriority w:val="0"/>
    <w:pPr>
      <w:pageBreakBefore w:val="0"/>
      <w:numPr>
        <w:ilvl w:val="1"/>
      </w:numPr>
      <w:spacing w:line="240" w:lineRule="auto"/>
      <w:outlineLvl w:val="1"/>
    </w:pPr>
    <w:rPr>
      <w:caps w:val="0"/>
    </w:rPr>
  </w:style>
  <w:style w:type="paragraph" w:customStyle="1" w:styleId="63">
    <w:name w:val="FWS_L3"/>
    <w:basedOn w:val="62"/>
    <w:next w:val="64"/>
    <w:qFormat/>
    <w:uiPriority w:val="0"/>
    <w:pPr>
      <w:numPr>
        <w:ilvl w:val="2"/>
      </w:numPr>
      <w:jc w:val="left"/>
      <w:outlineLvl w:val="2"/>
    </w:pPr>
    <w:rPr>
      <w:smallCaps/>
    </w:rPr>
  </w:style>
  <w:style w:type="paragraph" w:customStyle="1" w:styleId="64">
    <w:name w:val="FWS_L5"/>
    <w:basedOn w:val="65"/>
    <w:qFormat/>
    <w:uiPriority w:val="0"/>
    <w:pPr>
      <w:numPr>
        <w:ilvl w:val="3"/>
      </w:numPr>
    </w:pPr>
  </w:style>
  <w:style w:type="paragraph" w:customStyle="1" w:styleId="65">
    <w:name w:val="FWS_L4"/>
    <w:basedOn w:val="63"/>
    <w:qFormat/>
    <w:uiPriority w:val="0"/>
    <w:pPr>
      <w:keepNext w:val="0"/>
      <w:keepLines w:val="0"/>
      <w:numPr>
        <w:ilvl w:val="4"/>
      </w:numPr>
      <w:jc w:val="both"/>
      <w:outlineLvl w:val="9"/>
    </w:pPr>
    <w:rPr>
      <w:b w:val="0"/>
      <w:smallCaps w:val="0"/>
    </w:rPr>
  </w:style>
  <w:style w:type="paragraph" w:customStyle="1" w:styleId="66">
    <w:name w:val="FWS_L6"/>
    <w:basedOn w:val="64"/>
    <w:qFormat/>
    <w:uiPriority w:val="0"/>
    <w:pPr>
      <w:numPr>
        <w:ilvl w:val="5"/>
      </w:numPr>
    </w:pPr>
  </w:style>
  <w:style w:type="paragraph" w:customStyle="1" w:styleId="67">
    <w:name w:val="FWS_L7"/>
    <w:basedOn w:val="66"/>
    <w:qFormat/>
    <w:uiPriority w:val="0"/>
    <w:pPr>
      <w:numPr>
        <w:ilvl w:val="6"/>
      </w:numPr>
    </w:pPr>
  </w:style>
  <w:style w:type="paragraph" w:customStyle="1" w:styleId="68">
    <w:name w:val="FWS_L8"/>
    <w:basedOn w:val="67"/>
    <w:qFormat/>
    <w:uiPriority w:val="0"/>
    <w:pPr>
      <w:numPr>
        <w:ilvl w:val="7"/>
      </w:numPr>
    </w:pPr>
  </w:style>
  <w:style w:type="paragraph" w:customStyle="1" w:styleId="69">
    <w:name w:val="FWS_L9"/>
    <w:basedOn w:val="68"/>
    <w:qFormat/>
    <w:uiPriority w:val="0"/>
    <w:pPr>
      <w:numPr>
        <w:ilvl w:val="8"/>
      </w:numPr>
    </w:pPr>
  </w:style>
  <w:style w:type="character" w:customStyle="1" w:styleId="70">
    <w:name w:val="DeltaView Insertion"/>
    <w:qFormat/>
    <w:uiPriority w:val="0"/>
    <w:rPr>
      <w:color w:val="0000FF"/>
      <w:spacing w:val="0"/>
      <w:u w:val="double"/>
    </w:rPr>
  </w:style>
  <w:style w:type="paragraph" w:customStyle="1" w:styleId="71">
    <w:name w:val="样式 (中文) 楷体_GB2312 小四 行距: 最小值 19 磅"/>
    <w:basedOn w:val="49"/>
    <w:next w:val="50"/>
    <w:qFormat/>
    <w:uiPriority w:val="0"/>
    <w:pPr>
      <w:numPr>
        <w:ilvl w:val="0"/>
        <w:numId w:val="3"/>
      </w:numPr>
      <w:tabs>
        <w:tab w:val="left" w:pos="420"/>
        <w:tab w:val="left" w:pos="630"/>
      </w:tabs>
      <w:spacing w:after="0" w:line="380" w:lineRule="atLeast"/>
      <w:ind w:left="0" w:firstLine="0"/>
    </w:pPr>
    <w:rPr>
      <w:rFonts w:eastAsia="楷体_GB2312" w:cs="宋体"/>
      <w:snapToGrid/>
    </w:rPr>
  </w:style>
  <w:style w:type="paragraph" w:customStyle="1" w:styleId="72">
    <w:name w:val="A3"/>
    <w:basedOn w:val="1"/>
    <w:qFormat/>
    <w:uiPriority w:val="0"/>
    <w:pPr>
      <w:widowControl w:val="0"/>
      <w:wordWrap w:val="0"/>
      <w:overflowPunct w:val="0"/>
      <w:spacing w:beforeLines="50" w:afterLines="50" w:line="380" w:lineRule="exact"/>
      <w:jc w:val="both"/>
    </w:pPr>
    <w:rPr>
      <w:rFonts w:eastAsia="楷体_GB2312"/>
      <w:kern w:val="2"/>
      <w:lang w:eastAsia="zh-CN"/>
    </w:rPr>
  </w:style>
  <w:style w:type="paragraph" w:customStyle="1" w:styleId="73">
    <w:name w:val="Char Char Char Char Char Char Char Char Char Char"/>
    <w:basedOn w:val="1"/>
    <w:qFormat/>
    <w:uiPriority w:val="0"/>
    <w:pPr>
      <w:spacing w:after="160" w:line="240" w:lineRule="exact"/>
    </w:pPr>
    <w:rPr>
      <w:rFonts w:ascii="Verdana" w:hAnsi="Verdana" w:eastAsia="Times New Roman"/>
      <w:sz w:val="20"/>
      <w:szCs w:val="20"/>
      <w:lang w:eastAsia="en-US"/>
    </w:rPr>
  </w:style>
  <w:style w:type="character" w:customStyle="1" w:styleId="74">
    <w:name w:val="页脚 字符"/>
    <w:link w:val="17"/>
    <w:qFormat/>
    <w:uiPriority w:val="99"/>
    <w:rPr>
      <w:rFonts w:eastAsia="PMingLiU"/>
      <w:sz w:val="24"/>
      <w:szCs w:val="24"/>
      <w:lang w:eastAsia="zh-TW"/>
    </w:rPr>
  </w:style>
  <w:style w:type="character" w:customStyle="1" w:styleId="75">
    <w:name w:val="页眉 字符"/>
    <w:link w:val="18"/>
    <w:qFormat/>
    <w:uiPriority w:val="99"/>
    <w:rPr>
      <w:rFonts w:eastAsia="PMingLiU"/>
      <w:sz w:val="24"/>
      <w:szCs w:val="24"/>
      <w:lang w:eastAsia="zh-TW"/>
    </w:rPr>
  </w:style>
  <w:style w:type="paragraph" w:customStyle="1" w:styleId="76">
    <w:name w:val="TOC 标题1"/>
    <w:basedOn w:val="2"/>
    <w:next w:val="1"/>
    <w:semiHidden/>
    <w:unhideWhenUsed/>
    <w:qFormat/>
    <w:uiPriority w:val="39"/>
    <w:pPr>
      <w:spacing w:before="480" w:after="0" w:line="276" w:lineRule="auto"/>
      <w:outlineLvl w:val="9"/>
    </w:pPr>
    <w:rPr>
      <w:rFonts w:ascii="Cambria" w:hAnsi="Cambria" w:eastAsia="宋体"/>
      <w:color w:val="365F91"/>
      <w:kern w:val="0"/>
      <w:sz w:val="28"/>
      <w:szCs w:val="28"/>
      <w:lang w:eastAsia="zh-CN"/>
    </w:rPr>
  </w:style>
  <w:style w:type="paragraph" w:customStyle="1" w:styleId="77">
    <w:name w:val="字元 字元 Char Char Char Char"/>
    <w:basedOn w:val="1"/>
    <w:qFormat/>
    <w:uiPriority w:val="0"/>
    <w:pPr>
      <w:spacing w:after="160" w:line="240" w:lineRule="exact"/>
    </w:pPr>
    <w:rPr>
      <w:rFonts w:ascii="Verdana" w:hAnsi="Verdana" w:eastAsia="Times New Roman"/>
      <w:sz w:val="20"/>
      <w:szCs w:val="20"/>
      <w:lang w:eastAsia="en-US"/>
    </w:rPr>
  </w:style>
  <w:style w:type="paragraph" w:customStyle="1" w:styleId="78">
    <w:name w:val="FWB Cont 2"/>
    <w:basedOn w:val="1"/>
    <w:qFormat/>
    <w:uiPriority w:val="0"/>
    <w:pPr>
      <w:spacing w:after="240"/>
      <w:jc w:val="both"/>
    </w:pPr>
    <w:rPr>
      <w:rFonts w:eastAsia="宋体"/>
      <w:szCs w:val="20"/>
      <w:lang w:val="en-GB" w:eastAsia="en-US"/>
    </w:rPr>
  </w:style>
  <w:style w:type="paragraph" w:customStyle="1" w:styleId="79">
    <w:name w:val="FWB Cont 4"/>
    <w:basedOn w:val="60"/>
    <w:qFormat/>
    <w:uiPriority w:val="0"/>
    <w:pPr>
      <w:ind w:left="1440"/>
    </w:pPr>
  </w:style>
  <w:style w:type="paragraph" w:customStyle="1" w:styleId="80">
    <w:name w:val="DRCE_L2"/>
    <w:basedOn w:val="1"/>
    <w:qFormat/>
    <w:uiPriority w:val="0"/>
    <w:pPr>
      <w:numPr>
        <w:ilvl w:val="1"/>
        <w:numId w:val="4"/>
      </w:numPr>
      <w:spacing w:after="240"/>
      <w:jc w:val="both"/>
    </w:pPr>
    <w:rPr>
      <w:rFonts w:eastAsia="宋体"/>
      <w:szCs w:val="20"/>
      <w:lang w:val="en-GB" w:eastAsia="en-US"/>
    </w:rPr>
  </w:style>
  <w:style w:type="paragraph" w:customStyle="1" w:styleId="81">
    <w:name w:val="DRCE_L5"/>
    <w:basedOn w:val="1"/>
    <w:qFormat/>
    <w:uiPriority w:val="0"/>
    <w:pPr>
      <w:numPr>
        <w:ilvl w:val="4"/>
        <w:numId w:val="4"/>
      </w:numPr>
      <w:spacing w:after="240"/>
      <w:jc w:val="both"/>
    </w:pPr>
    <w:rPr>
      <w:rFonts w:eastAsia="宋体"/>
      <w:szCs w:val="20"/>
      <w:lang w:val="en-GB" w:eastAsia="en-US"/>
    </w:rPr>
  </w:style>
  <w:style w:type="paragraph" w:customStyle="1" w:styleId="82">
    <w:name w:val="DRCE_L6"/>
    <w:basedOn w:val="81"/>
    <w:qFormat/>
    <w:uiPriority w:val="0"/>
    <w:pPr>
      <w:numPr>
        <w:ilvl w:val="5"/>
        <w:numId w:val="5"/>
      </w:numPr>
    </w:pPr>
  </w:style>
  <w:style w:type="paragraph" w:customStyle="1" w:styleId="83">
    <w:name w:val="修订1"/>
    <w:hidden/>
    <w:semiHidden/>
    <w:qFormat/>
    <w:uiPriority w:val="99"/>
    <w:rPr>
      <w:rFonts w:ascii="Times New Roman" w:hAnsi="Times New Roman" w:eastAsia="PMingLiU" w:cs="Times New Roman"/>
      <w:sz w:val="24"/>
      <w:szCs w:val="24"/>
      <w:lang w:val="en-US" w:eastAsia="zh-TW" w:bidi="ar-SA"/>
    </w:rPr>
  </w:style>
  <w:style w:type="character" w:customStyle="1" w:styleId="84">
    <w:name w:val="标题 2 字符"/>
    <w:link w:val="3"/>
    <w:qFormat/>
    <w:uiPriority w:val="0"/>
    <w:rPr>
      <w:rFonts w:ascii="Arial" w:hAnsi="Arial" w:eastAsia="黑体"/>
      <w:b/>
      <w:bCs/>
      <w:kern w:val="2"/>
      <w:sz w:val="32"/>
      <w:szCs w:val="32"/>
    </w:rPr>
  </w:style>
  <w:style w:type="paragraph" w:customStyle="1" w:styleId="85">
    <w:name w:val="2"/>
    <w:basedOn w:val="1"/>
    <w:next w:val="9"/>
    <w:qFormat/>
    <w:uiPriority w:val="0"/>
    <w:pPr>
      <w:widowControl w:val="0"/>
      <w:spacing w:after="120"/>
      <w:ind w:left="420" w:leftChars="200"/>
      <w:jc w:val="both"/>
    </w:pPr>
    <w:rPr>
      <w:rFonts w:eastAsia="宋体"/>
      <w:kern w:val="2"/>
      <w:sz w:val="21"/>
      <w:lang w:eastAsia="zh-CN"/>
    </w:rPr>
  </w:style>
  <w:style w:type="character" w:customStyle="1" w:styleId="86">
    <w:name w:val="正文文本缩进 3 字符"/>
    <w:link w:val="25"/>
    <w:qFormat/>
    <w:uiPriority w:val="0"/>
    <w:rPr>
      <w:kern w:val="2"/>
      <w:sz w:val="16"/>
      <w:szCs w:val="16"/>
    </w:rPr>
  </w:style>
  <w:style w:type="character" w:customStyle="1" w:styleId="87">
    <w:name w:val="访问过的超链接1"/>
    <w:qFormat/>
    <w:uiPriority w:val="0"/>
    <w:rPr>
      <w:color w:val="800080"/>
      <w:u w:val="single"/>
    </w:rPr>
  </w:style>
  <w:style w:type="character" w:customStyle="1" w:styleId="88">
    <w:name w:val="日期 字符"/>
    <w:link w:val="14"/>
    <w:qFormat/>
    <w:uiPriority w:val="0"/>
    <w:rPr>
      <w:rFonts w:eastAsia="楷体_GB2312"/>
      <w:b/>
      <w:kern w:val="2"/>
      <w:sz w:val="24"/>
      <w:szCs w:val="24"/>
    </w:rPr>
  </w:style>
  <w:style w:type="paragraph" w:customStyle="1" w:styleId="89">
    <w:name w:val="(a)"/>
    <w:basedOn w:val="8"/>
    <w:qFormat/>
    <w:uiPriority w:val="0"/>
    <w:pPr>
      <w:spacing w:after="240"/>
      <w:ind w:left="720" w:hanging="720"/>
      <w:jc w:val="both"/>
    </w:pPr>
    <w:rPr>
      <w:rFonts w:eastAsia="宋体"/>
      <w:bCs/>
      <w:lang w:val="en-GB" w:eastAsia="en-US"/>
    </w:rPr>
  </w:style>
  <w:style w:type="character" w:customStyle="1" w:styleId="90">
    <w:name w:val="批注文字 字符"/>
    <w:link w:val="6"/>
    <w:qFormat/>
    <w:uiPriority w:val="0"/>
    <w:rPr>
      <w:rFonts w:eastAsia="PMingLiU"/>
      <w:sz w:val="24"/>
      <w:szCs w:val="24"/>
      <w:lang w:eastAsia="zh-TW"/>
    </w:rPr>
  </w:style>
  <w:style w:type="character" w:customStyle="1" w:styleId="91">
    <w:name w:val="批注主题 字符"/>
    <w:link w:val="30"/>
    <w:qFormat/>
    <w:uiPriority w:val="0"/>
    <w:rPr>
      <w:rFonts w:eastAsia="PMingLiU"/>
      <w:b/>
      <w:bCs/>
      <w:sz w:val="24"/>
      <w:szCs w:val="24"/>
      <w:lang w:eastAsia="zh-TW"/>
    </w:rPr>
  </w:style>
  <w:style w:type="character" w:customStyle="1" w:styleId="92">
    <w:name w:val="正文文本 字符"/>
    <w:link w:val="8"/>
    <w:qFormat/>
    <w:uiPriority w:val="0"/>
    <w:rPr>
      <w:rFonts w:eastAsia="PMingLiU"/>
      <w:sz w:val="24"/>
      <w:szCs w:val="24"/>
      <w:lang w:eastAsia="zh-HK"/>
    </w:rPr>
  </w:style>
  <w:style w:type="paragraph" w:customStyle="1" w:styleId="93">
    <w:name w:val="Normal (Justified)"/>
    <w:basedOn w:val="1"/>
    <w:qFormat/>
    <w:uiPriority w:val="0"/>
    <w:pPr>
      <w:snapToGrid w:val="0"/>
      <w:jc w:val="both"/>
    </w:pPr>
    <w:rPr>
      <w:rFonts w:eastAsia="宋体"/>
      <w:kern w:val="28"/>
      <w:szCs w:val="20"/>
      <w:lang w:eastAsia="zh-CN"/>
    </w:rPr>
  </w:style>
  <w:style w:type="paragraph" w:customStyle="1" w:styleId="94">
    <w:name w:val="FWN Cont 1"/>
    <w:basedOn w:val="1"/>
    <w:qFormat/>
    <w:uiPriority w:val="0"/>
    <w:pPr>
      <w:spacing w:after="240"/>
      <w:jc w:val="both"/>
    </w:pPr>
    <w:rPr>
      <w:rFonts w:eastAsia="宋体"/>
      <w:szCs w:val="20"/>
      <w:lang w:val="en-GB" w:eastAsia="en-US"/>
    </w:rPr>
  </w:style>
  <w:style w:type="paragraph" w:customStyle="1" w:styleId="95">
    <w:name w:val="FWN_L1"/>
    <w:basedOn w:val="1"/>
    <w:qFormat/>
    <w:uiPriority w:val="0"/>
    <w:pPr>
      <w:numPr>
        <w:ilvl w:val="0"/>
        <w:numId w:val="6"/>
      </w:numPr>
      <w:spacing w:after="240"/>
      <w:jc w:val="both"/>
    </w:pPr>
    <w:rPr>
      <w:rFonts w:eastAsia="宋体"/>
      <w:szCs w:val="20"/>
      <w:lang w:val="en-GB" w:eastAsia="en-US"/>
    </w:rPr>
  </w:style>
  <w:style w:type="paragraph" w:customStyle="1" w:styleId="96">
    <w:name w:val="FWN_L2"/>
    <w:basedOn w:val="95"/>
    <w:qFormat/>
    <w:uiPriority w:val="0"/>
    <w:pPr>
      <w:numPr>
        <w:ilvl w:val="1"/>
      </w:numPr>
    </w:pPr>
  </w:style>
  <w:style w:type="paragraph" w:customStyle="1" w:styleId="97">
    <w:name w:val="FWN_L3"/>
    <w:basedOn w:val="96"/>
    <w:qFormat/>
    <w:uiPriority w:val="0"/>
    <w:pPr>
      <w:numPr>
        <w:ilvl w:val="2"/>
      </w:numPr>
    </w:pPr>
  </w:style>
  <w:style w:type="paragraph" w:customStyle="1" w:styleId="98">
    <w:name w:val="FWN_L4"/>
    <w:basedOn w:val="97"/>
    <w:qFormat/>
    <w:uiPriority w:val="0"/>
    <w:pPr>
      <w:numPr>
        <w:ilvl w:val="3"/>
      </w:numPr>
    </w:pPr>
  </w:style>
  <w:style w:type="paragraph" w:customStyle="1" w:styleId="99">
    <w:name w:val="FWN_L5"/>
    <w:basedOn w:val="98"/>
    <w:qFormat/>
    <w:uiPriority w:val="0"/>
    <w:pPr>
      <w:numPr>
        <w:ilvl w:val="4"/>
      </w:numPr>
    </w:pPr>
  </w:style>
  <w:style w:type="paragraph" w:customStyle="1" w:styleId="100">
    <w:name w:val="FWN_L6"/>
    <w:basedOn w:val="99"/>
    <w:qFormat/>
    <w:uiPriority w:val="0"/>
    <w:pPr>
      <w:numPr>
        <w:ilvl w:val="5"/>
      </w:numPr>
    </w:pPr>
  </w:style>
  <w:style w:type="paragraph" w:customStyle="1" w:styleId="101">
    <w:name w:val="FWN_L7"/>
    <w:basedOn w:val="100"/>
    <w:qFormat/>
    <w:uiPriority w:val="0"/>
    <w:pPr>
      <w:numPr>
        <w:ilvl w:val="6"/>
      </w:numPr>
    </w:pPr>
  </w:style>
  <w:style w:type="paragraph" w:customStyle="1" w:styleId="102">
    <w:name w:val="Char Char Char Char Char Char Char"/>
    <w:basedOn w:val="1"/>
    <w:qFormat/>
    <w:uiPriority w:val="0"/>
    <w:pPr>
      <w:spacing w:after="160" w:line="240" w:lineRule="exact"/>
      <w:jc w:val="both"/>
    </w:pPr>
    <w:rPr>
      <w:rFonts w:eastAsia="宋体" w:cs="Arial"/>
      <w:sz w:val="22"/>
      <w:szCs w:val="20"/>
      <w:lang w:eastAsia="en-US"/>
    </w:rPr>
  </w:style>
  <w:style w:type="paragraph" w:customStyle="1" w:styleId="103">
    <w:name w:val="font5"/>
    <w:basedOn w:val="1"/>
    <w:qFormat/>
    <w:uiPriority w:val="0"/>
    <w:pPr>
      <w:spacing w:before="100" w:beforeAutospacing="1" w:after="100" w:afterAutospacing="1"/>
    </w:pPr>
    <w:rPr>
      <w:rFonts w:ascii="宋体" w:hAnsi="宋体" w:eastAsia="宋体" w:cs="宋体"/>
      <w:sz w:val="18"/>
      <w:szCs w:val="18"/>
      <w:lang w:eastAsia="zh-CN"/>
    </w:rPr>
  </w:style>
  <w:style w:type="paragraph" w:customStyle="1" w:styleId="104">
    <w:name w:val="font6"/>
    <w:basedOn w:val="1"/>
    <w:qFormat/>
    <w:uiPriority w:val="0"/>
    <w:pPr>
      <w:spacing w:before="100" w:beforeAutospacing="1" w:after="100" w:afterAutospacing="1"/>
    </w:pPr>
    <w:rPr>
      <w:rFonts w:ascii="宋体" w:hAnsi="宋体" w:eastAsia="宋体" w:cs="宋体"/>
      <w:b/>
      <w:bCs/>
      <w:color w:val="000000"/>
      <w:sz w:val="18"/>
      <w:szCs w:val="18"/>
      <w:lang w:eastAsia="zh-CN"/>
    </w:rPr>
  </w:style>
  <w:style w:type="paragraph" w:customStyle="1" w:styleId="105">
    <w:name w:val="xl26"/>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pPr>
    <w:rPr>
      <w:rFonts w:ascii="宋体" w:hAnsi="宋体" w:eastAsia="宋体" w:cs="宋体"/>
      <w:b/>
      <w:bCs/>
      <w:sz w:val="18"/>
      <w:szCs w:val="18"/>
      <w:lang w:eastAsia="zh-CN"/>
    </w:rPr>
  </w:style>
  <w:style w:type="paragraph" w:customStyle="1" w:styleId="106">
    <w:name w:val="xl27"/>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b/>
      <w:bCs/>
      <w:sz w:val="18"/>
      <w:szCs w:val="18"/>
      <w:lang w:eastAsia="zh-CN"/>
    </w:rPr>
  </w:style>
  <w:style w:type="paragraph" w:customStyle="1" w:styleId="107">
    <w:name w:val="xl28"/>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b/>
      <w:bCs/>
      <w:sz w:val="18"/>
      <w:szCs w:val="18"/>
      <w:lang w:eastAsia="zh-CN"/>
    </w:rPr>
  </w:style>
  <w:style w:type="paragraph" w:customStyle="1" w:styleId="108">
    <w:name w:val="xl29"/>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b/>
      <w:bCs/>
      <w:sz w:val="18"/>
      <w:szCs w:val="18"/>
      <w:lang w:eastAsia="zh-CN"/>
    </w:rPr>
  </w:style>
  <w:style w:type="paragraph" w:customStyle="1" w:styleId="109">
    <w:name w:val="xl30"/>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b/>
      <w:bCs/>
      <w:sz w:val="18"/>
      <w:szCs w:val="18"/>
      <w:lang w:eastAsia="zh-CN"/>
    </w:rPr>
  </w:style>
  <w:style w:type="paragraph" w:customStyle="1" w:styleId="110">
    <w:name w:val="xl3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sz w:val="18"/>
      <w:szCs w:val="18"/>
      <w:lang w:eastAsia="zh-CN"/>
    </w:rPr>
  </w:style>
  <w:style w:type="paragraph" w:customStyle="1" w:styleId="111">
    <w:name w:val="xl3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sz w:val="18"/>
      <w:szCs w:val="18"/>
      <w:lang w:eastAsia="zh-CN"/>
    </w:rPr>
  </w:style>
  <w:style w:type="paragraph" w:customStyle="1" w:styleId="112">
    <w:name w:val="xl3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sz w:val="18"/>
      <w:szCs w:val="18"/>
      <w:lang w:eastAsia="zh-CN"/>
    </w:rPr>
  </w:style>
  <w:style w:type="paragraph" w:customStyle="1" w:styleId="113">
    <w:name w:val="xl3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sz w:val="18"/>
      <w:szCs w:val="18"/>
      <w:lang w:eastAsia="zh-CN"/>
    </w:rPr>
  </w:style>
  <w:style w:type="paragraph" w:customStyle="1" w:styleId="114">
    <w:name w:val="xl3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宋体"/>
      <w:sz w:val="18"/>
      <w:szCs w:val="18"/>
      <w:lang w:eastAsia="zh-CN"/>
    </w:rPr>
  </w:style>
  <w:style w:type="paragraph" w:customStyle="1" w:styleId="115">
    <w:name w:val="xl36"/>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b/>
      <w:bCs/>
      <w:sz w:val="18"/>
      <w:szCs w:val="18"/>
      <w:lang w:eastAsia="zh-CN"/>
    </w:rPr>
  </w:style>
  <w:style w:type="paragraph" w:customStyle="1" w:styleId="116">
    <w:name w:val="xl3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sz w:val="18"/>
      <w:szCs w:val="18"/>
      <w:lang w:eastAsia="zh-CN"/>
    </w:rPr>
  </w:style>
  <w:style w:type="paragraph" w:customStyle="1" w:styleId="117">
    <w:name w:val="xl38"/>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b/>
      <w:bCs/>
      <w:sz w:val="18"/>
      <w:szCs w:val="18"/>
      <w:lang w:eastAsia="zh-CN"/>
    </w:rPr>
  </w:style>
  <w:style w:type="paragraph" w:customStyle="1" w:styleId="118">
    <w:name w:val="xl3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sz w:val="18"/>
      <w:szCs w:val="18"/>
      <w:lang w:eastAsia="zh-CN"/>
    </w:rPr>
  </w:style>
  <w:style w:type="paragraph" w:customStyle="1" w:styleId="119">
    <w:name w:val="xl40"/>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pPr>
    <w:rPr>
      <w:rFonts w:ascii="宋体" w:hAnsi="宋体" w:eastAsia="宋体" w:cs="宋体"/>
      <w:b/>
      <w:bCs/>
      <w:sz w:val="18"/>
      <w:szCs w:val="18"/>
      <w:lang w:eastAsia="zh-CN"/>
    </w:rPr>
  </w:style>
  <w:style w:type="paragraph" w:customStyle="1" w:styleId="120">
    <w:name w:val="xl41"/>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rFonts w:ascii="宋体" w:hAnsi="宋体" w:eastAsia="宋体" w:cs="宋体"/>
      <w:sz w:val="18"/>
      <w:szCs w:val="18"/>
      <w:lang w:eastAsia="zh-CN"/>
    </w:rPr>
  </w:style>
  <w:style w:type="paragraph" w:customStyle="1" w:styleId="121">
    <w:name w:val="xl42"/>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pPr>
    <w:rPr>
      <w:rFonts w:ascii="宋体" w:hAnsi="宋体" w:eastAsia="宋体" w:cs="宋体"/>
      <w:sz w:val="18"/>
      <w:szCs w:val="18"/>
      <w:lang w:eastAsia="zh-CN"/>
    </w:rPr>
  </w:style>
  <w:style w:type="paragraph" w:customStyle="1" w:styleId="122">
    <w:name w:val="xl43"/>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pPr>
    <w:rPr>
      <w:rFonts w:ascii="宋体" w:hAnsi="宋体" w:eastAsia="宋体" w:cs="宋体"/>
      <w:sz w:val="18"/>
      <w:szCs w:val="18"/>
      <w:lang w:eastAsia="zh-CN"/>
    </w:rPr>
  </w:style>
  <w:style w:type="paragraph" w:customStyle="1" w:styleId="123">
    <w:name w:val="xl44"/>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pPr>
    <w:rPr>
      <w:rFonts w:ascii="宋体" w:hAnsi="宋体" w:eastAsia="宋体" w:cs="宋体"/>
      <w:sz w:val="18"/>
      <w:szCs w:val="18"/>
      <w:lang w:eastAsia="zh-CN"/>
    </w:rPr>
  </w:style>
  <w:style w:type="paragraph" w:customStyle="1" w:styleId="124">
    <w:name w:val="xl4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宋体"/>
      <w:sz w:val="18"/>
      <w:szCs w:val="18"/>
      <w:lang w:eastAsia="zh-CN"/>
    </w:rPr>
  </w:style>
  <w:style w:type="paragraph" w:customStyle="1" w:styleId="125">
    <w:name w:val="xl46"/>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pPr>
    <w:rPr>
      <w:rFonts w:ascii="宋体" w:hAnsi="宋体" w:eastAsia="宋体" w:cs="宋体"/>
      <w:sz w:val="18"/>
      <w:szCs w:val="18"/>
      <w:lang w:eastAsia="zh-CN"/>
    </w:rPr>
  </w:style>
  <w:style w:type="paragraph" w:customStyle="1" w:styleId="126">
    <w:name w:val="xl47"/>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pPr>
    <w:rPr>
      <w:rFonts w:ascii="宋体" w:hAnsi="宋体" w:eastAsia="宋体" w:cs="宋体"/>
      <w:sz w:val="18"/>
      <w:szCs w:val="18"/>
      <w:lang w:eastAsia="zh-CN"/>
    </w:rPr>
  </w:style>
  <w:style w:type="paragraph" w:customStyle="1" w:styleId="127">
    <w:name w:val="xl48"/>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pPr>
    <w:rPr>
      <w:rFonts w:ascii="宋体" w:hAnsi="宋体" w:eastAsia="宋体" w:cs="宋体"/>
      <w:sz w:val="18"/>
      <w:szCs w:val="18"/>
      <w:lang w:eastAsia="zh-CN"/>
    </w:rPr>
  </w:style>
  <w:style w:type="paragraph" w:customStyle="1" w:styleId="128">
    <w:name w:val="xl49"/>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pPr>
    <w:rPr>
      <w:rFonts w:ascii="宋体" w:hAnsi="宋体" w:eastAsia="宋体" w:cs="宋体"/>
      <w:sz w:val="18"/>
      <w:szCs w:val="18"/>
      <w:lang w:eastAsia="zh-CN"/>
    </w:rPr>
  </w:style>
  <w:style w:type="paragraph" w:customStyle="1" w:styleId="129">
    <w:name w:val="xl50"/>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pPr>
    <w:rPr>
      <w:rFonts w:ascii="宋体" w:hAnsi="宋体" w:eastAsia="宋体" w:cs="宋体"/>
      <w:sz w:val="18"/>
      <w:szCs w:val="18"/>
      <w:lang w:eastAsia="zh-CN"/>
    </w:rPr>
  </w:style>
  <w:style w:type="paragraph" w:customStyle="1" w:styleId="130">
    <w:name w:val="xl51"/>
    <w:basedOn w:val="1"/>
    <w:qFormat/>
    <w:uiPriority w:val="0"/>
    <w:pPr>
      <w:pBdr>
        <w:top w:val="single" w:color="auto" w:sz="8" w:space="0"/>
        <w:left w:val="single" w:color="auto" w:sz="8" w:space="0"/>
        <w:bottom w:val="single" w:color="auto" w:sz="8" w:space="0"/>
      </w:pBdr>
      <w:spacing w:before="100" w:beforeAutospacing="1" w:after="100" w:afterAutospacing="1"/>
      <w:jc w:val="center"/>
    </w:pPr>
    <w:rPr>
      <w:rFonts w:ascii="宋体" w:hAnsi="宋体" w:eastAsia="宋体" w:cs="宋体"/>
      <w:b/>
      <w:bCs/>
      <w:sz w:val="18"/>
      <w:szCs w:val="18"/>
      <w:lang w:eastAsia="zh-CN"/>
    </w:rPr>
  </w:style>
  <w:style w:type="paragraph" w:customStyle="1" w:styleId="131">
    <w:name w:val="xl52"/>
    <w:basedOn w:val="1"/>
    <w:qFormat/>
    <w:uiPriority w:val="0"/>
    <w:pPr>
      <w:pBdr>
        <w:top w:val="single" w:color="auto" w:sz="8" w:space="0"/>
        <w:bottom w:val="single" w:color="auto" w:sz="8" w:space="0"/>
      </w:pBdr>
      <w:spacing w:before="100" w:beforeAutospacing="1" w:after="100" w:afterAutospacing="1"/>
      <w:jc w:val="center"/>
    </w:pPr>
    <w:rPr>
      <w:rFonts w:ascii="宋体" w:hAnsi="宋体" w:eastAsia="宋体" w:cs="宋体"/>
      <w:b/>
      <w:bCs/>
      <w:sz w:val="18"/>
      <w:szCs w:val="18"/>
      <w:lang w:eastAsia="zh-CN"/>
    </w:rPr>
  </w:style>
  <w:style w:type="paragraph" w:customStyle="1" w:styleId="132">
    <w:name w:val="xl53"/>
    <w:basedOn w:val="1"/>
    <w:qFormat/>
    <w:uiPriority w:val="0"/>
    <w:pPr>
      <w:pBdr>
        <w:top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b/>
      <w:bCs/>
      <w:sz w:val="18"/>
      <w:szCs w:val="18"/>
      <w:lang w:eastAsia="zh-CN"/>
    </w:rPr>
  </w:style>
  <w:style w:type="paragraph" w:customStyle="1" w:styleId="133">
    <w:name w:val="Char Char Char"/>
    <w:basedOn w:val="1"/>
    <w:qFormat/>
    <w:uiPriority w:val="0"/>
    <w:pPr>
      <w:autoSpaceDE w:val="0"/>
      <w:autoSpaceDN w:val="0"/>
      <w:adjustRightInd w:val="0"/>
      <w:spacing w:line="240" w:lineRule="exact"/>
      <w:jc w:val="both"/>
    </w:pPr>
    <w:rPr>
      <w:rFonts w:eastAsia="宋体"/>
      <w:sz w:val="21"/>
      <w:lang w:eastAsia="ja-JP"/>
    </w:rPr>
  </w:style>
  <w:style w:type="character" w:customStyle="1" w:styleId="134">
    <w:name w:val="文档结构图 字符"/>
    <w:link w:val="5"/>
    <w:semiHidden/>
    <w:qFormat/>
    <w:uiPriority w:val="0"/>
    <w:rPr>
      <w:rFonts w:eastAsia="PMingLiU"/>
      <w:sz w:val="24"/>
      <w:szCs w:val="24"/>
      <w:lang w:eastAsia="zh-TW"/>
    </w:rPr>
  </w:style>
  <w:style w:type="character" w:customStyle="1" w:styleId="135">
    <w:name w:val="HTML 预设格式 字符"/>
    <w:basedOn w:val="33"/>
    <w:link w:val="28"/>
    <w:semiHidden/>
    <w:qFormat/>
    <w:uiPriority w:val="99"/>
    <w:rPr>
      <w:rFonts w:ascii="宋体" w:hAnsi="宋体" w:cs="宋体"/>
      <w:sz w:val="24"/>
      <w:szCs w:val="24"/>
    </w:rPr>
  </w:style>
  <w:style w:type="paragraph" w:customStyle="1" w:styleId="136">
    <w:name w:val="修订2"/>
    <w:hidden/>
    <w:unhideWhenUsed/>
    <w:qFormat/>
    <w:uiPriority w:val="99"/>
    <w:rPr>
      <w:rFonts w:ascii="Times New Roman" w:hAnsi="Times New Roman" w:eastAsia="PMingLiU" w:cs="Times New Roman"/>
      <w:sz w:val="24"/>
      <w:szCs w:val="24"/>
      <w:lang w:val="en-US" w:eastAsia="zh-TW" w:bidi="ar-SA"/>
    </w:rPr>
  </w:style>
  <w:style w:type="paragraph" w:customStyle="1" w:styleId="137">
    <w:name w:val="修订3"/>
    <w:hidden/>
    <w:semiHidden/>
    <w:qFormat/>
    <w:uiPriority w:val="99"/>
    <w:rPr>
      <w:rFonts w:ascii="Times New Roman" w:hAnsi="Times New Roman" w:eastAsia="PMingLiU" w:cs="Times New Roman"/>
      <w:sz w:val="24"/>
      <w:szCs w:val="24"/>
      <w:lang w:val="en-US" w:eastAsia="zh-TW" w:bidi="ar-SA"/>
    </w:rPr>
  </w:style>
  <w:style w:type="character" w:customStyle="1" w:styleId="138">
    <w:name w:val="未处理的提及1"/>
    <w:basedOn w:val="33"/>
    <w:semiHidden/>
    <w:unhideWhenUsed/>
    <w:qFormat/>
    <w:uiPriority w:val="99"/>
    <w:rPr>
      <w:color w:val="605E5C"/>
      <w:shd w:val="clear" w:color="auto" w:fill="E1DFDD"/>
    </w:rPr>
  </w:style>
  <w:style w:type="character" w:customStyle="1" w:styleId="139">
    <w:name w:val="未处理的提及2"/>
    <w:basedOn w:val="33"/>
    <w:semiHidden/>
    <w:unhideWhenUsed/>
    <w:qFormat/>
    <w:uiPriority w:val="99"/>
    <w:rPr>
      <w:color w:val="605E5C"/>
      <w:shd w:val="clear" w:color="auto" w:fill="E1DFDD"/>
    </w:rPr>
  </w:style>
  <w:style w:type="paragraph" w:customStyle="1" w:styleId="140">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1">
    <w:name w:val="FWParties"/>
    <w:basedOn w:val="8"/>
    <w:qFormat/>
    <w:uiPriority w:val="0"/>
    <w:pPr>
      <w:tabs>
        <w:tab w:val="left" w:pos="425"/>
      </w:tabs>
      <w:spacing w:after="240"/>
      <w:ind w:left="425" w:hanging="425"/>
      <w:jc w:val="both"/>
    </w:pPr>
    <w:rPr>
      <w:rFonts w:ascii="Cambria" w:hAnsi="Cambria" w:eastAsia="宋体"/>
      <w:bCs/>
      <w:lang w:val="en-GB" w:eastAsia="en-US"/>
    </w:rPr>
  </w:style>
  <w:style w:type="character" w:customStyle="1" w:styleId="142">
    <w:name w:val="未处理的提及3"/>
    <w:basedOn w:val="33"/>
    <w:semiHidden/>
    <w:unhideWhenUsed/>
    <w:qFormat/>
    <w:uiPriority w:val="99"/>
    <w:rPr>
      <w:color w:val="605E5C"/>
      <w:shd w:val="clear" w:color="auto" w:fill="E1DFDD"/>
    </w:rPr>
  </w:style>
  <w:style w:type="character" w:customStyle="1" w:styleId="143">
    <w:name w:val="未处理的提及4"/>
    <w:basedOn w:val="33"/>
    <w:semiHidden/>
    <w:unhideWhenUsed/>
    <w:qFormat/>
    <w:uiPriority w:val="99"/>
    <w:rPr>
      <w:color w:val="605E5C"/>
      <w:shd w:val="clear" w:color="auto" w:fill="E1DFDD"/>
    </w:rPr>
  </w:style>
  <w:style w:type="character" w:customStyle="1" w:styleId="144">
    <w:name w:val="未处理的提及5"/>
    <w:basedOn w:val="33"/>
    <w:semiHidden/>
    <w:unhideWhenUsed/>
    <w:qFormat/>
    <w:uiPriority w:val="99"/>
    <w:rPr>
      <w:color w:val="605E5C"/>
      <w:shd w:val="clear" w:color="auto" w:fill="E1DFDD"/>
    </w:rPr>
  </w:style>
  <w:style w:type="paragraph" w:customStyle="1" w:styleId="145">
    <w:name w:val="浅色网格 - 强调文字颜色 31"/>
    <w:basedOn w:val="1"/>
    <w:qFormat/>
    <w:uiPriority w:val="34"/>
    <w:pPr>
      <w:ind w:firstLine="420" w:firstLineChars="200"/>
    </w:pPr>
  </w:style>
  <w:style w:type="paragraph" w:customStyle="1" w:styleId="146">
    <w:name w:val="Index Heading 2"/>
    <w:basedOn w:val="21"/>
    <w:qFormat/>
    <w:uiPriority w:val="0"/>
    <w:pPr>
      <w:tabs>
        <w:tab w:val="right" w:pos="8280"/>
      </w:tabs>
      <w:spacing w:after="480"/>
    </w:pPr>
    <w:rPr>
      <w:rFonts w:ascii="Times New Roman" w:hAnsi="Times New Roman" w:eastAsia="宋体" w:cs="Times New Roman"/>
      <w:bCs w:val="0"/>
      <w:caps/>
      <w:lang w:val="en-GB" w:eastAsia="en-US"/>
    </w:rPr>
  </w:style>
  <w:style w:type="paragraph" w:customStyle="1" w:styleId="147">
    <w:name w:val="目录 11"/>
    <w:basedOn w:val="1"/>
    <w:next w:val="1"/>
    <w:qFormat/>
    <w:uiPriority w:val="39"/>
    <w:pPr>
      <w:tabs>
        <w:tab w:val="left" w:pos="630"/>
        <w:tab w:val="right" w:leader="dot" w:pos="8296"/>
      </w:tabs>
      <w:spacing w:before="120" w:after="120"/>
    </w:pPr>
    <w:rPr>
      <w:rFonts w:eastAsia="Times New Roman"/>
      <w:b/>
      <w:bCs/>
      <w:caps/>
      <w:szCs w:val="20"/>
    </w:rPr>
  </w:style>
  <w:style w:type="paragraph" w:customStyle="1" w:styleId="148">
    <w:name w:val="修订4"/>
    <w:hidden/>
    <w:unhideWhenUsed/>
    <w:qFormat/>
    <w:uiPriority w:val="99"/>
    <w:rPr>
      <w:rFonts w:ascii="Times New Roman" w:hAnsi="Times New Roman" w:eastAsia="PMingLiU" w:cs="Times New Roman"/>
      <w:sz w:val="24"/>
      <w:szCs w:val="24"/>
      <w:lang w:val="en-US" w:eastAsia="zh-TW" w:bidi="ar-SA"/>
    </w:rPr>
  </w:style>
  <w:style w:type="character" w:customStyle="1" w:styleId="149">
    <w:name w:val="脚注文本 字符"/>
    <w:basedOn w:val="33"/>
    <w:link w:val="23"/>
    <w:semiHidden/>
    <w:qFormat/>
    <w:uiPriority w:val="0"/>
    <w:rPr>
      <w:rFonts w:eastAsia="PMingLiU"/>
      <w:sz w:val="18"/>
      <w:szCs w:val="18"/>
      <w:lang w:eastAsia="zh-TW"/>
    </w:rPr>
  </w:style>
  <w:style w:type="paragraph" w:customStyle="1" w:styleId="150">
    <w:name w:val="修订5"/>
    <w:hidden/>
    <w:unhideWhenUsed/>
    <w:qFormat/>
    <w:uiPriority w:val="99"/>
    <w:rPr>
      <w:rFonts w:ascii="Times New Roman" w:hAnsi="Times New Roman" w:eastAsia="PMingLiU" w:cs="Times New Roman"/>
      <w:sz w:val="24"/>
      <w:szCs w:val="24"/>
      <w:lang w:val="en-US" w:eastAsia="zh-TW" w:bidi="ar-SA"/>
    </w:rPr>
  </w:style>
  <w:style w:type="paragraph" w:customStyle="1" w:styleId="151">
    <w:name w:val="修订6"/>
    <w:hidden/>
    <w:unhideWhenUsed/>
    <w:qFormat/>
    <w:uiPriority w:val="99"/>
    <w:rPr>
      <w:rFonts w:ascii="Times New Roman" w:hAnsi="Times New Roman" w:eastAsia="PMingLiU" w:cs="Times New Roman"/>
      <w:sz w:val="24"/>
      <w:szCs w:val="24"/>
      <w:lang w:val="en-US" w:eastAsia="zh-TW" w:bidi="ar-SA"/>
    </w:rPr>
  </w:style>
  <w:style w:type="paragraph" w:customStyle="1" w:styleId="152">
    <w:name w:val="修订7"/>
    <w:hidden/>
    <w:unhideWhenUsed/>
    <w:qFormat/>
    <w:uiPriority w:val="99"/>
    <w:rPr>
      <w:rFonts w:ascii="Times New Roman" w:hAnsi="Times New Roman" w:eastAsia="PMingLiU" w:cs="Times New Roman"/>
      <w:sz w:val="24"/>
      <w:szCs w:val="24"/>
      <w:lang w:val="en-US" w:eastAsia="zh-TW" w:bidi="ar-SA"/>
    </w:rPr>
  </w:style>
  <w:style w:type="paragraph" w:customStyle="1" w:styleId="153">
    <w:name w:val="Revision"/>
    <w:hidden/>
    <w:unhideWhenUsed/>
    <w:qFormat/>
    <w:uiPriority w:val="99"/>
    <w:rPr>
      <w:rFonts w:ascii="Times New Roman" w:hAnsi="Times New Roman" w:eastAsia="PMingLiU" w:cs="Times New Roman"/>
      <w:sz w:val="24"/>
      <w:szCs w:val="24"/>
      <w:lang w:val="en-US" w:eastAsia="zh-TW"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3.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HSBC</Company>
  <Pages>136</Pages>
  <Words>29116</Words>
  <Characters>29537</Characters>
  <Lines>559</Lines>
  <Paragraphs>157</Paragraphs>
  <TotalTime>20</TotalTime>
  <ScaleCrop>false</ScaleCrop>
  <LinksUpToDate>false</LinksUpToDate>
  <CharactersWithSpaces>29640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2026-02-14T03:29:00Z</dcterms:created>
  <dc:creator>中伦证券化团队</dc:creator>
  <cp:lastModifiedBy>赵澍</cp:lastModifiedBy>
  <cp:lastPrinted>2026-01-24T14:16:00Z</cp:lastPrinted>
  <dcterms:modified xsi:type="dcterms:W3CDTF">2026-05-06T06:21:09Z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eyJoZGlkIjoiOTc3M2Y5NzIzMDFlZjAyY2Q4Njk5ODkyYjFjNzBiNTQiLCJ1c2VySWQiOiI1MDczOTAyNjIifQ==</vt:lpwstr>
  </property>
  <property fmtid="{D5CDD505-2E9C-101B-9397-08002B2CF9AE}" pid="4" name="ICV">
    <vt:lpwstr>1F551D619E0D4BB8A462102965A74210_13</vt:lpwstr>
  </property>
</Properties>
</file>